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adjustRightInd w:val="0"/>
        <w:snapToGrid w:val="0"/>
        <w:jc w:val="center"/>
        <w:outlineLvl w:val="0"/>
        <w:rPr>
          <w:rFonts w:eastAsia="方正小标宋_GBK"/>
          <w:bCs/>
          <w:sz w:val="72"/>
          <w:szCs w:val="72"/>
        </w:rPr>
      </w:pPr>
      <w:r>
        <w:rPr>
          <w:rFonts w:eastAsia="方正小标宋_GBK"/>
          <w:bCs/>
          <w:sz w:val="72"/>
          <w:szCs w:val="72"/>
        </w:rPr>
        <w:t>建设项目环境影响报告表</w:t>
      </w:r>
    </w:p>
    <w:p>
      <w:pPr>
        <w:adjustRightInd w:val="0"/>
        <w:snapToGrid w:val="0"/>
        <w:spacing w:before="192" w:beforeLines="80"/>
        <w:jc w:val="center"/>
        <w:rPr>
          <w:rFonts w:eastAsia="楷体_GB2312"/>
          <w:bCs/>
          <w:sz w:val="48"/>
          <w:szCs w:val="48"/>
        </w:rPr>
      </w:pPr>
      <w:r>
        <w:rPr>
          <w:rFonts w:eastAsia="楷体_GB2312"/>
          <w:bCs/>
          <w:sz w:val="48"/>
          <w:szCs w:val="48"/>
        </w:rPr>
        <w:t>（污染影响类）</w:t>
      </w:r>
    </w:p>
    <w:p>
      <w:pPr>
        <w:adjustRightInd w:val="0"/>
        <w:snapToGrid w:val="0"/>
        <w:spacing w:line="288" w:lineRule="auto"/>
        <w:jc w:val="center"/>
        <w:outlineLvl w:val="0"/>
        <w:rPr>
          <w:rFonts w:eastAsia="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991" w:leftChars="472"/>
        <w:rPr>
          <w:rFonts w:hint="default" w:eastAsia="仿宋_GB2312"/>
          <w:sz w:val="36"/>
          <w:szCs w:val="36"/>
          <w:u w:val="single"/>
          <w:lang w:val="en-US" w:eastAsia="zh-CN"/>
        </w:rPr>
      </w:pPr>
      <w:r>
        <w:rPr>
          <w:rFonts w:eastAsia="仿宋_GB2312"/>
          <w:sz w:val="36"/>
          <w:szCs w:val="36"/>
        </w:rPr>
        <w:t>项目名称：</w:t>
      </w:r>
      <w:r>
        <w:rPr>
          <w:rFonts w:hint="eastAsia" w:eastAsia="仿宋_GB2312"/>
          <w:sz w:val="36"/>
          <w:szCs w:val="36"/>
          <w:u w:val="single"/>
          <w:lang w:eastAsia="zh-CN"/>
        </w:rPr>
        <w:t>吉林省安华消防科技有限公司年产3000台套新型智能消防设备及各类气凝胶灭火器项目</w:t>
      </w:r>
      <w:r>
        <w:rPr>
          <w:rFonts w:hint="eastAsia" w:eastAsia="仿宋_GB2312"/>
          <w:sz w:val="36"/>
          <w:szCs w:val="36"/>
          <w:u w:val="single"/>
          <w:lang w:val="en-US" w:eastAsia="zh-CN"/>
        </w:rPr>
        <w:t xml:space="preserve">                                          </w:t>
      </w:r>
    </w:p>
    <w:p>
      <w:pPr>
        <w:adjustRightInd w:val="0"/>
        <w:snapToGrid w:val="0"/>
        <w:spacing w:line="288" w:lineRule="auto"/>
        <w:ind w:left="991" w:leftChars="472"/>
        <w:rPr>
          <w:rFonts w:hint="default" w:eastAsia="仿宋_GB2312"/>
          <w:sz w:val="36"/>
          <w:szCs w:val="36"/>
          <w:u w:val="single"/>
          <w:lang w:val="en-US" w:eastAsia="zh-CN"/>
        </w:rPr>
      </w:pPr>
      <w:r>
        <w:rPr>
          <w:rFonts w:eastAsia="仿宋_GB2312"/>
          <w:sz w:val="36"/>
          <w:szCs w:val="36"/>
        </w:rPr>
        <w:t>建设单位（盖章）：</w:t>
      </w:r>
      <w:r>
        <w:rPr>
          <w:rFonts w:hint="eastAsia" w:eastAsia="仿宋_GB2312"/>
          <w:sz w:val="36"/>
          <w:szCs w:val="36"/>
          <w:u w:val="single"/>
        </w:rPr>
        <w:t>吉林省安华消防科技有限公司</w:t>
      </w:r>
      <w:r>
        <w:rPr>
          <w:rFonts w:eastAsia="仿宋_GB2312"/>
          <w:sz w:val="36"/>
          <w:szCs w:val="36"/>
          <w:u w:val="single"/>
        </w:rPr>
        <w:t xml:space="preserve">   </w:t>
      </w:r>
      <w:r>
        <w:rPr>
          <w:rFonts w:hint="eastAsia" w:eastAsia="仿宋_GB2312"/>
          <w:sz w:val="36"/>
          <w:szCs w:val="36"/>
          <w:u w:val="single"/>
          <w:lang w:val="en-US" w:eastAsia="zh-CN"/>
        </w:rPr>
        <w:t xml:space="preserve">              </w:t>
      </w:r>
    </w:p>
    <w:p>
      <w:pPr>
        <w:adjustRightInd w:val="0"/>
        <w:snapToGrid w:val="0"/>
        <w:spacing w:line="288" w:lineRule="auto"/>
        <w:ind w:firstLine="1040"/>
        <w:rPr>
          <w:rFonts w:eastAsia="仿宋_GB2312"/>
          <w:sz w:val="36"/>
          <w:szCs w:val="36"/>
          <w:u w:val="single"/>
        </w:rPr>
      </w:pPr>
      <w:r>
        <w:rPr>
          <w:rFonts w:eastAsia="仿宋_GB2312"/>
          <w:sz w:val="36"/>
          <w:szCs w:val="36"/>
        </w:rPr>
        <w:t>编制日期：</w:t>
      </w:r>
      <w:r>
        <w:rPr>
          <w:rFonts w:eastAsia="仿宋_GB2312"/>
          <w:sz w:val="36"/>
          <w:szCs w:val="36"/>
          <w:u w:val="single"/>
        </w:rPr>
        <w:t xml:space="preserve">           202</w:t>
      </w:r>
      <w:r>
        <w:rPr>
          <w:rFonts w:hint="eastAsia" w:eastAsia="仿宋_GB2312"/>
          <w:sz w:val="36"/>
          <w:szCs w:val="36"/>
          <w:u w:val="single"/>
          <w:lang w:val="en-US" w:eastAsia="zh-CN"/>
        </w:rPr>
        <w:t>3</w:t>
      </w:r>
      <w:r>
        <w:rPr>
          <w:rFonts w:eastAsia="仿宋_GB2312"/>
          <w:sz w:val="36"/>
          <w:szCs w:val="36"/>
          <w:u w:val="single"/>
        </w:rPr>
        <w:t>年</w:t>
      </w:r>
      <w:r>
        <w:rPr>
          <w:rFonts w:hint="eastAsia" w:eastAsia="仿宋_GB2312"/>
          <w:sz w:val="36"/>
          <w:szCs w:val="36"/>
          <w:u w:val="single"/>
          <w:lang w:val="en-US" w:eastAsia="zh-CN"/>
        </w:rPr>
        <w:t>8</w:t>
      </w:r>
      <w:r>
        <w:rPr>
          <w:rFonts w:eastAsia="仿宋_GB2312"/>
          <w:sz w:val="36"/>
          <w:szCs w:val="36"/>
          <w:u w:val="single"/>
        </w:rPr>
        <w:t xml:space="preserve">月            </w:t>
      </w:r>
    </w:p>
    <w:p>
      <w:pPr>
        <w:adjustRightInd w:val="0"/>
        <w:snapToGrid w:val="0"/>
        <w:spacing w:line="288" w:lineRule="auto"/>
        <w:ind w:firstLine="1040"/>
        <w:rPr>
          <w:rFonts w:eastAsia="仿宋_GB2312"/>
          <w:sz w:val="36"/>
          <w:szCs w:val="36"/>
          <w:u w:val="single"/>
        </w:rPr>
      </w:pPr>
      <w:bookmarkStart w:id="0"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bookmarkEnd w:id="0"/>
    <w:p>
      <w:pPr>
        <w:adjustRightInd w:val="0"/>
        <w:snapToGrid w:val="0"/>
        <w:spacing w:line="288" w:lineRule="auto"/>
        <w:jc w:val="center"/>
        <w:rPr>
          <w:rFonts w:eastAsia="楷体_GB2312"/>
          <w:sz w:val="36"/>
          <w:szCs w:val="36"/>
        </w:rPr>
      </w:pPr>
      <w:r>
        <w:rPr>
          <w:rFonts w:eastAsia="楷体_GB2312"/>
          <w:sz w:val="36"/>
          <w:szCs w:val="36"/>
        </w:rPr>
        <w:t>中华人民共和国生态环境部制</w:t>
      </w:r>
    </w:p>
    <w:p>
      <w:pPr>
        <w:adjustRightInd w:val="0"/>
        <w:snapToGrid w:val="0"/>
        <w:spacing w:line="288" w:lineRule="auto"/>
        <w:ind w:firstLine="1040"/>
        <w:rPr>
          <w:rFonts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0"/>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一、建设项目基本情况</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382"/>
        <w:gridCol w:w="1637"/>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建设项目名称</w:t>
            </w:r>
          </w:p>
        </w:tc>
        <w:tc>
          <w:tcPr>
            <w:tcW w:w="6488" w:type="dxa"/>
            <w:gridSpan w:val="3"/>
            <w:vAlign w:val="center"/>
          </w:tcPr>
          <w:p>
            <w:pPr>
              <w:adjustRightInd w:val="0"/>
              <w:snapToGrid w:val="0"/>
              <w:jc w:val="center"/>
              <w:rPr>
                <w:rFonts w:hint="default" w:ascii="Times New Roman" w:hAnsi="Times New Roman" w:eastAsia="宋体"/>
                <w:sz w:val="24"/>
                <w:szCs w:val="24"/>
                <w:lang w:val="en-US" w:eastAsia="zh-CN"/>
              </w:rPr>
            </w:pPr>
            <w:r>
              <w:rPr>
                <w:rFonts w:hint="eastAsia"/>
                <w:sz w:val="24"/>
                <w:szCs w:val="24"/>
                <w:lang w:val="en-US" w:eastAsia="zh-CN"/>
              </w:rPr>
              <w:t>吉林省安华消防科技有限公司年产3000台套新型智能消防设备及各类气凝胶灭火器项目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项目代码</w:t>
            </w:r>
          </w:p>
        </w:tc>
        <w:tc>
          <w:tcPr>
            <w:tcW w:w="6488" w:type="dxa"/>
            <w:gridSpan w:val="3"/>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建设单位联系人</w:t>
            </w:r>
          </w:p>
        </w:tc>
        <w:tc>
          <w:tcPr>
            <w:tcW w:w="1637" w:type="dxa"/>
            <w:vAlign w:val="center"/>
          </w:tcPr>
          <w:p>
            <w:pPr>
              <w:adjustRightInd w:val="0"/>
              <w:snapToGrid w:val="0"/>
              <w:jc w:val="center"/>
              <w:rPr>
                <w:rFonts w:hint="eastAsia" w:ascii="Times New Roman" w:hAnsi="Times New Roman" w:eastAsia="宋体"/>
                <w:color w:val="auto"/>
                <w:sz w:val="24"/>
                <w:szCs w:val="24"/>
                <w:lang w:val="en-US" w:eastAsia="zh-CN"/>
              </w:rPr>
            </w:pPr>
            <w:r>
              <w:rPr>
                <w:rFonts w:hint="eastAsia" w:cs="Times New Roman"/>
                <w:color w:val="auto"/>
                <w:sz w:val="24"/>
                <w:szCs w:val="24"/>
                <w:lang w:val="en-US" w:eastAsia="zh-CN"/>
              </w:rPr>
              <w:t>张明</w:t>
            </w:r>
          </w:p>
        </w:tc>
        <w:tc>
          <w:tcPr>
            <w:tcW w:w="2212" w:type="dxa"/>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联系方式</w:t>
            </w:r>
          </w:p>
        </w:tc>
        <w:tc>
          <w:tcPr>
            <w:tcW w:w="2639" w:type="dxa"/>
            <w:vAlign w:val="center"/>
          </w:tcPr>
          <w:p>
            <w:pPr>
              <w:adjustRightInd w:val="0"/>
              <w:snapToGrid w:val="0"/>
              <w:jc w:val="center"/>
              <w:rPr>
                <w:rFonts w:ascii="Times New Roman" w:hAnsi="Times New Roman" w:eastAsia="宋体"/>
                <w:color w:val="auto"/>
                <w:sz w:val="24"/>
                <w:szCs w:val="24"/>
              </w:rPr>
            </w:pPr>
            <w:r>
              <w:rPr>
                <w:rFonts w:hint="eastAsia" w:ascii="Times New Roman" w:hAnsi="Times New Roman" w:eastAsia="宋体" w:cs="Times New Roman"/>
                <w:color w:val="auto"/>
                <w:sz w:val="24"/>
                <w:szCs w:val="24"/>
              </w:rPr>
              <w:t>15764345533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建设地点</w:t>
            </w:r>
          </w:p>
        </w:tc>
        <w:tc>
          <w:tcPr>
            <w:tcW w:w="6488" w:type="dxa"/>
            <w:gridSpan w:val="3"/>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color w:val="auto"/>
                <w:sz w:val="24"/>
                <w:szCs w:val="24"/>
                <w:u w:val="single"/>
                <w:lang w:val="en-US" w:eastAsia="zh-CN"/>
              </w:rPr>
              <w:t xml:space="preserve">吉林 </w:t>
            </w:r>
            <w:r>
              <w:rPr>
                <w:rFonts w:hint="eastAsia"/>
                <w:color w:val="auto"/>
                <w:sz w:val="24"/>
                <w:szCs w:val="24"/>
                <w:lang w:val="en-US" w:eastAsia="zh-CN"/>
              </w:rPr>
              <w:t>省（自治区）</w:t>
            </w:r>
            <w:r>
              <w:rPr>
                <w:rFonts w:hint="eastAsia"/>
                <w:color w:val="auto"/>
                <w:sz w:val="24"/>
                <w:szCs w:val="24"/>
                <w:u w:val="single"/>
                <w:lang w:val="en-US" w:eastAsia="zh-CN"/>
              </w:rPr>
              <w:t xml:space="preserve"> 长春 </w:t>
            </w:r>
            <w:r>
              <w:rPr>
                <w:rFonts w:hint="eastAsia"/>
                <w:color w:val="auto"/>
                <w:sz w:val="24"/>
                <w:szCs w:val="24"/>
                <w:lang w:val="en-US" w:eastAsia="zh-CN"/>
              </w:rPr>
              <w:t>市</w:t>
            </w:r>
            <w:r>
              <w:rPr>
                <w:rFonts w:hint="eastAsia"/>
                <w:color w:val="auto"/>
                <w:sz w:val="24"/>
                <w:szCs w:val="24"/>
                <w:u w:val="single"/>
                <w:lang w:val="en-US" w:eastAsia="zh-CN"/>
              </w:rPr>
              <w:t xml:space="preserve"> 北湖科技开发 </w:t>
            </w:r>
            <w:r>
              <w:rPr>
                <w:rFonts w:hint="eastAsia"/>
                <w:color w:val="auto"/>
                <w:sz w:val="24"/>
                <w:szCs w:val="24"/>
                <w:lang w:val="en-US" w:eastAsia="zh-CN"/>
              </w:rPr>
              <w:t>县（区）/乡（街道）</w:t>
            </w:r>
            <w:r>
              <w:rPr>
                <w:rFonts w:hint="eastAsia"/>
                <w:color w:val="auto"/>
                <w:sz w:val="24"/>
                <w:szCs w:val="24"/>
                <w:u w:val="single"/>
                <w:lang w:val="en-US" w:eastAsia="zh-CN"/>
              </w:rPr>
              <w:t>科智路以北</w:t>
            </w:r>
            <w:r>
              <w:rPr>
                <w:rFonts w:hint="eastAsia"/>
                <w:color w:val="auto"/>
                <w:sz w:val="24"/>
                <w:szCs w:val="24"/>
                <w:lang w:val="en-US" w:eastAsia="zh-CN"/>
              </w:rPr>
              <w:t>（具体地址）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地理坐标</w:t>
            </w:r>
          </w:p>
        </w:tc>
        <w:tc>
          <w:tcPr>
            <w:tcW w:w="6488" w:type="dxa"/>
            <w:gridSpan w:val="3"/>
            <w:vAlign w:val="center"/>
          </w:tcPr>
          <w:p>
            <w:pPr>
              <w:jc w:val="center"/>
              <w:rPr>
                <w:rFonts w:ascii="Times New Roman" w:hAnsi="Times New Roman" w:eastAsia="宋体"/>
                <w:color w:val="auto"/>
                <w:sz w:val="24"/>
                <w:szCs w:val="24"/>
              </w:rPr>
            </w:pPr>
            <w:r>
              <w:rPr>
                <w:rFonts w:ascii="Times New Roman" w:hAnsi="Times New Roman" w:eastAsia="宋体"/>
                <w:color w:val="auto"/>
                <w:sz w:val="24"/>
                <w:szCs w:val="24"/>
              </w:rPr>
              <w:t>（</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lang w:val="en-US" w:eastAsia="zh-CN"/>
              </w:rPr>
              <w:t>125</w:t>
            </w:r>
            <w:r>
              <w:rPr>
                <w:rFonts w:ascii="Times New Roman" w:hAnsi="Times New Roman" w:eastAsia="宋体"/>
                <w:color w:val="auto"/>
                <w:sz w:val="24"/>
                <w:szCs w:val="24"/>
              </w:rPr>
              <w:t>度</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lang w:val="en-US" w:eastAsia="zh-CN"/>
              </w:rPr>
              <w:t>23</w:t>
            </w:r>
            <w:r>
              <w:rPr>
                <w:rFonts w:ascii="Times New Roman" w:hAnsi="Times New Roman" w:eastAsia="宋体"/>
                <w:color w:val="auto"/>
                <w:sz w:val="24"/>
                <w:szCs w:val="24"/>
              </w:rPr>
              <w:t>分</w:t>
            </w:r>
            <w:r>
              <w:rPr>
                <w:rFonts w:ascii="Times New Roman" w:hAnsi="Times New Roman" w:eastAsia="宋体"/>
                <w:color w:val="auto"/>
                <w:sz w:val="24"/>
                <w:szCs w:val="24"/>
                <w:u w:val="single"/>
              </w:rPr>
              <w:t xml:space="preserve"> </w:t>
            </w:r>
            <w:r>
              <w:rPr>
                <w:rFonts w:hint="eastAsia"/>
                <w:color w:val="auto"/>
                <w:sz w:val="24"/>
                <w:szCs w:val="24"/>
                <w:u w:val="single"/>
                <w:lang w:val="en-US" w:eastAsia="zh-CN"/>
              </w:rPr>
              <w:t>28.34</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秒，</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lang w:val="en-US" w:eastAsia="zh-CN"/>
              </w:rPr>
              <w:t>44</w:t>
            </w:r>
            <w:r>
              <w:rPr>
                <w:rFonts w:ascii="Times New Roman" w:hAnsi="Times New Roman" w:eastAsia="宋体"/>
                <w:color w:val="auto"/>
                <w:sz w:val="24"/>
                <w:szCs w:val="24"/>
              </w:rPr>
              <w:t>度</w:t>
            </w:r>
            <w:r>
              <w:rPr>
                <w:rFonts w:hint="eastAsia" w:ascii="Times New Roman" w:hAnsi="Times New Roman" w:eastAsia="宋体"/>
                <w:color w:val="auto"/>
                <w:sz w:val="24"/>
                <w:szCs w:val="24"/>
                <w:u w:val="single"/>
                <w:lang w:val="en-US" w:eastAsia="zh-CN"/>
              </w:rPr>
              <w:t>0</w:t>
            </w:r>
            <w:r>
              <w:rPr>
                <w:rFonts w:hint="eastAsia"/>
                <w:color w:val="auto"/>
                <w:sz w:val="24"/>
                <w:szCs w:val="24"/>
                <w:u w:val="single"/>
                <w:lang w:val="en-US" w:eastAsia="zh-CN"/>
              </w:rPr>
              <w:t>1</w:t>
            </w:r>
            <w:r>
              <w:rPr>
                <w:rFonts w:ascii="Times New Roman" w:hAnsi="Times New Roman" w:eastAsia="宋体"/>
                <w:color w:val="auto"/>
                <w:sz w:val="24"/>
                <w:szCs w:val="24"/>
              </w:rPr>
              <w:t>分</w:t>
            </w:r>
            <w:r>
              <w:rPr>
                <w:rFonts w:ascii="Times New Roman" w:hAnsi="Times New Roman" w:eastAsia="宋体"/>
                <w:color w:val="auto"/>
                <w:sz w:val="24"/>
                <w:szCs w:val="24"/>
                <w:u w:val="single"/>
              </w:rPr>
              <w:t xml:space="preserve"> </w:t>
            </w:r>
            <w:r>
              <w:rPr>
                <w:rFonts w:hint="eastAsia"/>
                <w:color w:val="auto"/>
                <w:sz w:val="24"/>
                <w:szCs w:val="24"/>
                <w:u w:val="single"/>
                <w:lang w:val="en-US" w:eastAsia="zh-CN"/>
              </w:rPr>
              <w:t>43.97</w:t>
            </w:r>
            <w:r>
              <w:rPr>
                <w:rFonts w:ascii="Times New Roman" w:hAnsi="Times New Roman" w:eastAsia="宋体"/>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国民经济</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行业类别</w:t>
            </w:r>
          </w:p>
        </w:tc>
        <w:tc>
          <w:tcPr>
            <w:tcW w:w="1637" w:type="dxa"/>
            <w:vAlign w:val="center"/>
          </w:tcPr>
          <w:p>
            <w:pPr>
              <w:adjustRightInd w:val="0"/>
              <w:snapToGrid w:val="0"/>
              <w:rPr>
                <w:rFonts w:hint="default" w:ascii="Times New Roman" w:hAnsi="Times New Roman" w:eastAsia="宋体"/>
                <w:color w:val="auto"/>
                <w:sz w:val="24"/>
                <w:szCs w:val="24"/>
                <w:lang w:val="en-US" w:eastAsia="zh-CN"/>
              </w:rPr>
            </w:pPr>
            <w:r>
              <w:rPr>
                <w:rFonts w:hint="eastAsia"/>
                <w:color w:val="auto"/>
                <w:sz w:val="24"/>
                <w:szCs w:val="24"/>
                <w:lang w:val="en-US" w:eastAsia="zh-CN"/>
              </w:rPr>
              <w:t>C3595社会公共安全设备及器材制造；</w:t>
            </w:r>
            <w:r>
              <w:rPr>
                <w:rFonts w:ascii="Times New Roman" w:hAnsi="Times New Roman" w:eastAsia="宋体"/>
                <w:color w:val="auto"/>
                <w:sz w:val="24"/>
                <w:szCs w:val="24"/>
              </w:rPr>
              <w:t>D4430热力生产和供应业</w:t>
            </w:r>
          </w:p>
        </w:tc>
        <w:tc>
          <w:tcPr>
            <w:tcW w:w="2212" w:type="dxa"/>
            <w:vAlign w:val="center"/>
          </w:tcPr>
          <w:p>
            <w:pPr>
              <w:adjustRightInd w:val="0"/>
              <w:snapToGrid w:val="0"/>
              <w:jc w:val="center"/>
              <w:rPr>
                <w:rFonts w:ascii="Times New Roman" w:hAnsi="Times New Roman" w:eastAsia="宋体"/>
                <w:color w:val="auto"/>
                <w:sz w:val="24"/>
                <w:szCs w:val="24"/>
              </w:rPr>
            </w:pPr>
            <w:bookmarkStart w:id="1" w:name="_Hlk49843745"/>
            <w:r>
              <w:rPr>
                <w:rFonts w:ascii="Times New Roman" w:hAnsi="Times New Roman" w:eastAsia="宋体"/>
                <w:color w:val="auto"/>
                <w:sz w:val="24"/>
                <w:szCs w:val="24"/>
              </w:rPr>
              <w:t>建设项目</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行业类别</w:t>
            </w:r>
            <w:bookmarkEnd w:id="1"/>
          </w:p>
        </w:tc>
        <w:tc>
          <w:tcPr>
            <w:tcW w:w="2639" w:type="dxa"/>
            <w:vAlign w:val="center"/>
          </w:tcPr>
          <w:p>
            <w:pPr>
              <w:adjustRightInd w:val="0"/>
              <w:snapToGrid w:val="0"/>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rPr>
              <w:t>三十二、专用设备制造业35</w:t>
            </w:r>
            <w:r>
              <w:rPr>
                <w:rFonts w:hint="eastAsia"/>
                <w:color w:val="auto"/>
                <w:sz w:val="24"/>
                <w:szCs w:val="24"/>
                <w:lang w:eastAsia="zh-CN"/>
              </w:rPr>
              <w:t>—环保、邮政、社会公共服务及其他专用设备制造359；四十一、电力、热力生产和供应业—91热力生产和供应工程（包括建设单位自建自用的供热工程）—燃煤锅炉总容量65吨/小时及以下的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建设性质</w:t>
            </w:r>
          </w:p>
        </w:tc>
        <w:tc>
          <w:tcPr>
            <w:tcW w:w="1637" w:type="dxa"/>
            <w:vAlign w:val="center"/>
          </w:tcPr>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52"/>
            </w:r>
            <w:r>
              <w:rPr>
                <w:rFonts w:ascii="Times New Roman" w:hAnsi="Times New Roman" w:eastAsia="宋体"/>
                <w:color w:val="auto"/>
                <w:sz w:val="24"/>
                <w:szCs w:val="24"/>
              </w:rPr>
              <w:t>新建（迁建）</w:t>
            </w:r>
          </w:p>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A3"/>
            </w:r>
            <w:r>
              <w:rPr>
                <w:rFonts w:ascii="Times New Roman" w:hAnsi="Times New Roman" w:eastAsia="宋体"/>
                <w:color w:val="auto"/>
                <w:sz w:val="24"/>
                <w:szCs w:val="24"/>
              </w:rPr>
              <w:t>改建</w:t>
            </w:r>
          </w:p>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A3"/>
            </w:r>
            <w:r>
              <w:rPr>
                <w:rFonts w:ascii="Times New Roman" w:hAnsi="Times New Roman" w:eastAsia="宋体"/>
                <w:color w:val="auto"/>
                <w:sz w:val="24"/>
                <w:szCs w:val="24"/>
              </w:rPr>
              <w:t>扩建</w:t>
            </w:r>
          </w:p>
          <w:p>
            <w:pPr>
              <w:jc w:val="left"/>
              <w:rPr>
                <w:rFonts w:ascii="Times New Roman" w:hAnsi="Times New Roman" w:eastAsia="宋体"/>
                <w:color w:val="auto"/>
                <w:sz w:val="24"/>
                <w:szCs w:val="24"/>
              </w:rPr>
            </w:pPr>
            <w:r>
              <w:rPr>
                <w:rFonts w:ascii="Times New Roman" w:hAnsi="Times New Roman" w:eastAsia="宋体"/>
                <w:color w:val="auto"/>
                <w:sz w:val="24"/>
                <w:szCs w:val="24"/>
              </w:rPr>
              <w:sym w:font="Wingdings 2" w:char="00A3"/>
            </w:r>
            <w:r>
              <w:rPr>
                <w:rFonts w:ascii="Times New Roman" w:hAnsi="Times New Roman" w:eastAsia="宋体"/>
                <w:color w:val="auto"/>
                <w:sz w:val="24"/>
                <w:szCs w:val="24"/>
              </w:rPr>
              <w:t>技术改造</w:t>
            </w:r>
          </w:p>
        </w:tc>
        <w:tc>
          <w:tcPr>
            <w:tcW w:w="2212" w:type="dxa"/>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建设项目</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申报情形</w:t>
            </w:r>
          </w:p>
        </w:tc>
        <w:tc>
          <w:tcPr>
            <w:tcW w:w="2639" w:type="dxa"/>
            <w:vAlign w:val="center"/>
          </w:tcPr>
          <w:p>
            <w:pPr>
              <w:jc w:val="left"/>
              <w:rPr>
                <w:rFonts w:ascii="Times New Roman" w:hAnsi="Times New Roman" w:eastAsia="宋体"/>
                <w:color w:val="auto"/>
                <w:sz w:val="24"/>
                <w:szCs w:val="24"/>
              </w:rPr>
            </w:pP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 eq \o\ac(</w:instrText>
            </w:r>
            <w:r>
              <w:rPr>
                <w:rFonts w:ascii="Times New Roman" w:hAnsi="Times New Roman" w:eastAsia="宋体"/>
                <w:color w:val="auto"/>
                <w:position w:val="-4"/>
                <w:sz w:val="24"/>
                <w:szCs w:val="24"/>
              </w:rPr>
              <w:instrText xml:space="preserve">□</w:instrText>
            </w:r>
            <w:r>
              <w:rPr>
                <w:rFonts w:ascii="Times New Roman" w:hAnsi="Times New Roman" w:eastAsia="宋体"/>
                <w:color w:val="auto"/>
                <w:position w:val="0"/>
                <w:sz w:val="24"/>
                <w:szCs w:val="24"/>
              </w:rPr>
              <w:instrText xml:space="preserve">,√)</w:instrText>
            </w:r>
            <w:r>
              <w:rPr>
                <w:rFonts w:ascii="Times New Roman" w:hAnsi="Times New Roman" w:eastAsia="宋体"/>
                <w:color w:val="auto"/>
                <w:sz w:val="24"/>
                <w:szCs w:val="24"/>
              </w:rPr>
              <w:fldChar w:fldCharType="end"/>
            </w:r>
            <w:r>
              <w:rPr>
                <w:rFonts w:ascii="Times New Roman" w:hAnsi="Times New Roman" w:eastAsia="宋体"/>
                <w:color w:val="auto"/>
                <w:sz w:val="24"/>
                <w:szCs w:val="24"/>
              </w:rPr>
              <w:t xml:space="preserve">首次申报项目             </w:t>
            </w:r>
          </w:p>
          <w:p>
            <w:pPr>
              <w:jc w:val="left"/>
              <w:rPr>
                <w:rFonts w:ascii="Times New Roman" w:hAnsi="Times New Roman" w:eastAsia="宋体"/>
                <w:color w:val="auto"/>
                <w:sz w:val="24"/>
                <w:szCs w:val="24"/>
              </w:rPr>
            </w:pPr>
            <w:r>
              <w:rPr>
                <w:rFonts w:ascii="Times New Roman" w:hAnsi="Times New Roman" w:eastAsia="宋体"/>
                <w:color w:val="auto"/>
                <w:sz w:val="24"/>
                <w:szCs w:val="24"/>
              </w:rPr>
              <w:t>□不予批准后再次申报项目</w:t>
            </w:r>
          </w:p>
          <w:p>
            <w:pPr>
              <w:jc w:val="left"/>
              <w:rPr>
                <w:rFonts w:ascii="Times New Roman" w:hAnsi="Times New Roman" w:eastAsia="宋体"/>
                <w:color w:val="auto"/>
                <w:sz w:val="24"/>
                <w:szCs w:val="24"/>
              </w:rPr>
            </w:pPr>
            <w:r>
              <w:rPr>
                <w:rFonts w:ascii="Times New Roman" w:hAnsi="Times New Roman" w:eastAsia="宋体"/>
                <w:color w:val="auto"/>
                <w:sz w:val="24"/>
                <w:szCs w:val="24"/>
              </w:rPr>
              <w:t xml:space="preserve">□超五年重新审核项目     </w:t>
            </w:r>
          </w:p>
          <w:p>
            <w:pPr>
              <w:jc w:val="left"/>
              <w:rPr>
                <w:rFonts w:ascii="Times New Roman" w:hAnsi="Times New Roman" w:eastAsia="宋体"/>
                <w:color w:val="auto"/>
                <w:sz w:val="24"/>
                <w:szCs w:val="24"/>
              </w:rPr>
            </w:pPr>
            <w:r>
              <w:rPr>
                <w:rFonts w:ascii="Times New Roman" w:hAnsi="Times New Roman" w:eastAsia="宋体"/>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项目审批（核准/</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备案）部门（选填）</w:t>
            </w:r>
          </w:p>
        </w:tc>
        <w:tc>
          <w:tcPr>
            <w:tcW w:w="1637" w:type="dxa"/>
            <w:vAlign w:val="center"/>
          </w:tcPr>
          <w:p>
            <w:pPr>
              <w:adjustRightInd w:val="0"/>
              <w:snapToGrid w:val="0"/>
              <w:jc w:val="center"/>
              <w:rPr>
                <w:rFonts w:ascii="Times New Roman" w:hAnsi="Times New Roman" w:eastAsia="宋体"/>
                <w:color w:val="auto"/>
                <w:sz w:val="24"/>
                <w:szCs w:val="24"/>
              </w:rPr>
            </w:pPr>
            <w:r>
              <w:rPr>
                <w:rFonts w:hint="eastAsia" w:ascii="Times New Roman" w:hAnsi="Times New Roman" w:eastAsia="宋体"/>
                <w:color w:val="auto"/>
                <w:sz w:val="24"/>
                <w:szCs w:val="24"/>
              </w:rPr>
              <w:t>/</w:t>
            </w:r>
          </w:p>
        </w:tc>
        <w:tc>
          <w:tcPr>
            <w:tcW w:w="2212" w:type="dxa"/>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项目审批（核准/</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备案）文号（选填）</w:t>
            </w:r>
          </w:p>
        </w:tc>
        <w:tc>
          <w:tcPr>
            <w:tcW w:w="2639" w:type="dxa"/>
            <w:vAlign w:val="center"/>
          </w:tcPr>
          <w:p>
            <w:pPr>
              <w:adjustRightInd w:val="0"/>
              <w:snapToGrid w:val="0"/>
              <w:jc w:val="center"/>
              <w:rPr>
                <w:rFonts w:ascii="Times New Roman" w:hAnsi="Times New Roman" w:eastAsia="宋体"/>
                <w:color w:val="auto"/>
                <w:sz w:val="24"/>
                <w:szCs w:val="24"/>
              </w:rPr>
            </w:pPr>
            <w:r>
              <w:rPr>
                <w:rFonts w:hint="eastAsia" w:ascii="Times New Roman" w:hAnsi="Times New Roman"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总投资（万元）</w:t>
            </w:r>
          </w:p>
        </w:tc>
        <w:tc>
          <w:tcPr>
            <w:tcW w:w="1637" w:type="dxa"/>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ascii="Times New Roman" w:hAnsi="Times New Roman" w:eastAsia="宋体" w:cs="Times New Roman"/>
                <w:color w:val="auto"/>
                <w:sz w:val="24"/>
                <w:szCs w:val="24"/>
                <w:lang w:val="en-US" w:eastAsia="zh-CN"/>
              </w:rPr>
              <w:t>10000</w:t>
            </w:r>
          </w:p>
        </w:tc>
        <w:tc>
          <w:tcPr>
            <w:tcW w:w="221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环保投资（万元）</w:t>
            </w:r>
          </w:p>
        </w:tc>
        <w:tc>
          <w:tcPr>
            <w:tcW w:w="2639" w:type="dxa"/>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highlight w:val="yellow"/>
              </w:rPr>
            </w:pPr>
            <w:r>
              <w:rPr>
                <w:rFonts w:ascii="Times New Roman" w:hAnsi="Times New Roman" w:eastAsia="宋体"/>
                <w:color w:val="auto"/>
                <w:sz w:val="24"/>
                <w:szCs w:val="24"/>
              </w:rPr>
              <w:t>环保投资占比（%）</w:t>
            </w:r>
          </w:p>
        </w:tc>
        <w:tc>
          <w:tcPr>
            <w:tcW w:w="1637" w:type="dxa"/>
            <w:vAlign w:val="center"/>
          </w:tcPr>
          <w:p>
            <w:pPr>
              <w:adjustRightInd w:val="0"/>
              <w:snapToGrid w:val="0"/>
              <w:jc w:val="center"/>
              <w:rPr>
                <w:rFonts w:hint="default" w:ascii="Times New Roman" w:hAnsi="Times New Roman" w:eastAsia="宋体"/>
                <w:color w:val="auto"/>
                <w:sz w:val="24"/>
                <w:szCs w:val="24"/>
                <w:highlight w:val="yellow"/>
                <w:lang w:val="en-US" w:eastAsia="zh-CN"/>
              </w:rPr>
            </w:pPr>
            <w:r>
              <w:rPr>
                <w:rFonts w:hint="eastAsia"/>
                <w:color w:val="auto"/>
                <w:sz w:val="24"/>
                <w:szCs w:val="24"/>
                <w:highlight w:val="none"/>
                <w:lang w:val="en-US" w:eastAsia="zh-CN"/>
              </w:rPr>
              <w:t>0.1</w:t>
            </w:r>
          </w:p>
        </w:tc>
        <w:tc>
          <w:tcPr>
            <w:tcW w:w="2212" w:type="dxa"/>
            <w:tcMar>
              <w:top w:w="16" w:type="dxa"/>
              <w:left w:w="16" w:type="dxa"/>
              <w:right w:w="16" w:type="dxa"/>
            </w:tcMar>
            <w:vAlign w:val="center"/>
          </w:tcPr>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z w:val="24"/>
                <w:szCs w:val="24"/>
              </w:rPr>
              <w:t>施工工期</w:t>
            </w:r>
          </w:p>
        </w:tc>
        <w:tc>
          <w:tcPr>
            <w:tcW w:w="2639" w:type="dxa"/>
            <w:vAlign w:val="center"/>
          </w:tcPr>
          <w:p>
            <w:pPr>
              <w:adjustRightInd w:val="0"/>
              <w:snapToGrid w:val="0"/>
              <w:jc w:val="center"/>
              <w:rPr>
                <w:rFonts w:hint="default" w:ascii="Times New Roman" w:hAnsi="Times New Roman" w:eastAsia="宋体"/>
                <w:color w:val="auto"/>
                <w:sz w:val="24"/>
                <w:szCs w:val="24"/>
                <w:lang w:val="en-US" w:eastAsia="zh-CN"/>
              </w:rPr>
            </w:pPr>
            <w:r>
              <w:rPr>
                <w:rFonts w:hint="eastAsia"/>
                <w:color w:val="auto"/>
                <w:sz w:val="24"/>
                <w:szCs w:val="24"/>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tcMar>
              <w:top w:w="16" w:type="dxa"/>
              <w:left w:w="16" w:type="dxa"/>
              <w:right w:w="16" w:type="dxa"/>
            </w:tcMar>
            <w:vAlign w:val="center"/>
          </w:tcPr>
          <w:p>
            <w:pPr>
              <w:adjustRightInd w:val="0"/>
              <w:snapToGrid w:val="0"/>
              <w:jc w:val="center"/>
              <w:rPr>
                <w:rFonts w:ascii="Times New Roman" w:hAnsi="Times New Roman" w:eastAsia="宋体"/>
                <w:sz w:val="24"/>
                <w:szCs w:val="24"/>
              </w:rPr>
            </w:pPr>
            <w:r>
              <w:rPr>
                <w:rFonts w:ascii="Times New Roman" w:hAnsi="Times New Roman" w:eastAsia="宋体"/>
                <w:sz w:val="24"/>
                <w:szCs w:val="24"/>
              </w:rPr>
              <w:t>是否开工建设</w:t>
            </w:r>
          </w:p>
        </w:tc>
        <w:tc>
          <w:tcPr>
            <w:tcW w:w="1637" w:type="dxa"/>
            <w:vAlign w:val="center"/>
          </w:tcPr>
          <w:p>
            <w:pPr>
              <w:adjustRightInd w:val="0"/>
              <w:snapToGrid w:val="0"/>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eq \o\ac(</w:instrText>
            </w:r>
            <w:r>
              <w:rPr>
                <w:rFonts w:ascii="Times New Roman" w:hAnsi="Times New Roman" w:eastAsia="宋体"/>
                <w:b/>
                <w:bCs/>
                <w:position w:val="-4"/>
                <w:sz w:val="24"/>
                <w:szCs w:val="24"/>
              </w:rPr>
              <w:instrText xml:space="preserve">□</w:instrText>
            </w:r>
            <w:r>
              <w:rPr>
                <w:rFonts w:hint="eastAsia" w:ascii="Times New Roman" w:hAnsi="Times New Roman" w:eastAsia="宋体"/>
                <w:b/>
                <w:bCs/>
                <w:position w:val="0"/>
                <w:sz w:val="24"/>
                <w:szCs w:val="24"/>
                <w:lang w:eastAsia="zh-CN"/>
              </w:rPr>
              <w:instrText xml:space="preserve">,√</w:instrText>
            </w:r>
            <w:r>
              <w:rPr>
                <w:rFonts w:ascii="Times New Roman" w:hAnsi="Times New Roman" w:eastAsia="宋体"/>
                <w:b/>
                <w:bCs/>
                <w:position w:val="0"/>
                <w:sz w:val="24"/>
                <w:szCs w:val="24"/>
              </w:rPr>
              <w:instrText xml:space="preserve">)</w:instrText>
            </w:r>
            <w:r>
              <w:rPr>
                <w:rFonts w:ascii="Times New Roman" w:hAnsi="Times New Roman" w:eastAsia="宋体"/>
                <w:b/>
                <w:bCs/>
                <w:sz w:val="24"/>
                <w:szCs w:val="24"/>
              </w:rPr>
              <w:fldChar w:fldCharType="end"/>
            </w:r>
            <w:r>
              <w:rPr>
                <w:rFonts w:ascii="Times New Roman" w:hAnsi="Times New Roman" w:eastAsia="宋体"/>
                <w:b/>
                <w:bCs/>
                <w:sz w:val="24"/>
                <w:szCs w:val="24"/>
              </w:rPr>
              <w:t>否</w:t>
            </w:r>
          </w:p>
          <w:p>
            <w:pPr>
              <w:adjustRightInd w:val="0"/>
              <w:snapToGrid w:val="0"/>
              <w:rPr>
                <w:rFonts w:ascii="Times New Roman" w:hAnsi="Times New Roman" w:eastAsia="宋体"/>
                <w:sz w:val="24"/>
                <w:szCs w:val="24"/>
              </w:rPr>
            </w:pPr>
            <w:r>
              <w:rPr>
                <w:rFonts w:ascii="Times New Roman" w:hAnsi="Times New Roman" w:eastAsia="宋体"/>
                <w:sz w:val="24"/>
                <w:szCs w:val="24"/>
              </w:rPr>
              <w:sym w:font="Wingdings 2" w:char="00A3"/>
            </w:r>
            <w:r>
              <w:rPr>
                <w:rFonts w:ascii="Times New Roman" w:hAnsi="Times New Roman" w:eastAsia="宋体"/>
                <w:sz w:val="24"/>
                <w:szCs w:val="24"/>
              </w:rPr>
              <w:t>是：</w:t>
            </w:r>
          </w:p>
        </w:tc>
        <w:tc>
          <w:tcPr>
            <w:tcW w:w="2212" w:type="dxa"/>
            <w:tcMar>
              <w:top w:w="16" w:type="dxa"/>
              <w:left w:w="16" w:type="dxa"/>
              <w:right w:w="16" w:type="dxa"/>
            </w:tcMar>
            <w:vAlign w:val="center"/>
          </w:tcPr>
          <w:p>
            <w:pPr>
              <w:adjustRightInd w:val="0"/>
              <w:snapToGrid w:val="0"/>
              <w:jc w:val="center"/>
              <w:rPr>
                <w:rFonts w:ascii="Times New Roman" w:hAnsi="Times New Roman" w:eastAsia="宋体"/>
                <w:color w:val="auto"/>
                <w:spacing w:val="-6"/>
                <w:sz w:val="24"/>
                <w:szCs w:val="24"/>
              </w:rPr>
            </w:pPr>
            <w:r>
              <w:rPr>
                <w:rFonts w:ascii="Times New Roman" w:hAnsi="Times New Roman" w:eastAsia="宋体"/>
                <w:color w:val="auto"/>
                <w:spacing w:val="-6"/>
                <w:sz w:val="24"/>
                <w:szCs w:val="24"/>
              </w:rPr>
              <w:t>用地（用海）</w:t>
            </w:r>
          </w:p>
          <w:p>
            <w:pPr>
              <w:adjustRightInd w:val="0"/>
              <w:snapToGrid w:val="0"/>
              <w:jc w:val="center"/>
              <w:rPr>
                <w:rFonts w:ascii="Times New Roman" w:hAnsi="Times New Roman" w:eastAsia="宋体"/>
                <w:color w:val="auto"/>
                <w:sz w:val="24"/>
                <w:szCs w:val="24"/>
              </w:rPr>
            </w:pPr>
            <w:r>
              <w:rPr>
                <w:rFonts w:ascii="Times New Roman" w:hAnsi="Times New Roman" w:eastAsia="宋体"/>
                <w:color w:val="auto"/>
                <w:spacing w:val="-6"/>
                <w:sz w:val="24"/>
                <w:szCs w:val="24"/>
              </w:rPr>
              <w:t>面积（m</w:t>
            </w:r>
            <w:r>
              <w:rPr>
                <w:rFonts w:ascii="Times New Roman" w:hAnsi="Times New Roman" w:eastAsia="宋体"/>
                <w:color w:val="auto"/>
                <w:spacing w:val="-6"/>
                <w:sz w:val="24"/>
                <w:szCs w:val="24"/>
                <w:vertAlign w:val="superscript"/>
              </w:rPr>
              <w:t>2</w:t>
            </w:r>
            <w:r>
              <w:rPr>
                <w:rFonts w:ascii="Times New Roman" w:hAnsi="Times New Roman" w:eastAsia="宋体"/>
                <w:color w:val="auto"/>
                <w:spacing w:val="-6"/>
                <w:sz w:val="24"/>
                <w:szCs w:val="24"/>
              </w:rPr>
              <w:t>）</w:t>
            </w:r>
          </w:p>
        </w:tc>
        <w:tc>
          <w:tcPr>
            <w:tcW w:w="2639" w:type="dxa"/>
            <w:vAlign w:val="center"/>
          </w:tcPr>
          <w:p>
            <w:pPr>
              <w:adjustRightInd w:val="0"/>
              <w:snapToGrid w:val="0"/>
              <w:jc w:val="center"/>
              <w:rPr>
                <w:rFonts w:ascii="Times New Roman" w:hAnsi="Times New Roman" w:eastAsia="宋体"/>
                <w:color w:val="auto"/>
                <w:sz w:val="24"/>
                <w:szCs w:val="24"/>
              </w:rPr>
            </w:pPr>
            <w:r>
              <w:rPr>
                <w:rFonts w:hint="eastAsia"/>
                <w:color w:val="auto"/>
                <w:sz w:val="24"/>
                <w:szCs w:val="24"/>
                <w:lang w:val="en-US" w:eastAsia="zh-CN"/>
              </w:rPr>
              <w:t>15000</w:t>
            </w:r>
            <w:r>
              <w:rPr>
                <w:rFonts w:ascii="Times New Roman" w:hAnsi="Times New Roman" w:eastAsia="宋体"/>
                <w:color w:val="auto"/>
                <w:sz w:val="24"/>
                <w:szCs w:val="24"/>
              </w:rPr>
              <w:t>m</w:t>
            </w:r>
            <w:r>
              <w:rPr>
                <w:rFonts w:ascii="Times New Roman" w:hAnsi="Times New Roman" w:eastAsia="宋体"/>
                <w:color w:val="auto"/>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4"/>
                <w:szCs w:val="24"/>
              </w:rPr>
            </w:pPr>
            <w:r>
              <w:rPr>
                <w:rFonts w:ascii="Times New Roman" w:hAnsi="Times New Roman" w:eastAsia="宋体"/>
                <w:kern w:val="0"/>
                <w:sz w:val="24"/>
                <w:szCs w:val="24"/>
              </w:rPr>
              <w:t>专项评价设置情况</w:t>
            </w:r>
          </w:p>
        </w:tc>
        <w:tc>
          <w:tcPr>
            <w:tcW w:w="6488" w:type="dxa"/>
            <w:gridSpan w:val="3"/>
            <w:vAlign w:val="center"/>
          </w:tcPr>
          <w:p>
            <w:pPr>
              <w:autoSpaceDE w:val="0"/>
              <w:autoSpaceDN w:val="0"/>
              <w:adjustRightInd w:val="0"/>
              <w:snapToGrid w:val="0"/>
              <w:jc w:val="center"/>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1"/>
                <w:szCs w:val="21"/>
                <w:u w:val="single"/>
              </w:rPr>
            </w:pPr>
            <w:r>
              <w:rPr>
                <w:rFonts w:ascii="Times New Roman" w:hAnsi="Times New Roman" w:eastAsia="宋体"/>
                <w:sz w:val="21"/>
                <w:szCs w:val="21"/>
                <w:u w:val="none"/>
              </w:rPr>
              <w:t>规划情况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kern w:val="0"/>
                <w:sz w:val="24"/>
                <w:szCs w:val="24"/>
                <w:u w:val="single"/>
                <w:lang w:val="en-US" w:eastAsia="zh-CN"/>
              </w:rPr>
            </w:pPr>
            <w:r>
              <w:rPr>
                <w:rFonts w:hint="eastAsia" w:ascii="Times New Roman" w:hAnsi="Times New Roman" w:eastAsia="宋体" w:cs="宋体"/>
                <w:color w:val="000000"/>
                <w:kern w:val="0"/>
                <w:sz w:val="24"/>
                <w:szCs w:val="24"/>
                <w:lang w:val="en-US" w:eastAsia="zh-CN"/>
              </w:rPr>
              <w:t>长春北湖科技开发区于2016年5月4日取得吉林省人民政府以吉政函[2016]44号《吉林省人民政府关于同意设立长春北湖科技开发区的批复》。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vAlign w:val="center"/>
          </w:tcPr>
          <w:p>
            <w:pPr>
              <w:adjustRightInd w:val="0"/>
              <w:snapToGrid w:val="0"/>
              <w:jc w:val="center"/>
              <w:rPr>
                <w:rFonts w:ascii="Times New Roman" w:hAnsi="Times New Roman" w:eastAsia="宋体"/>
                <w:kern w:val="0"/>
                <w:sz w:val="21"/>
                <w:szCs w:val="21"/>
                <w:u w:val="single"/>
              </w:rPr>
            </w:pPr>
            <w:r>
              <w:rPr>
                <w:rFonts w:ascii="Times New Roman" w:hAnsi="Times New Roman" w:eastAsia="宋体"/>
                <w:sz w:val="24"/>
                <w:szCs w:val="24"/>
                <w:u w:val="none"/>
              </w:rPr>
              <w:t>规划环境影响评价情况</w:t>
            </w:r>
          </w:p>
        </w:tc>
        <w:tc>
          <w:tcPr>
            <w:tcW w:w="6488"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b w:val="0"/>
                <w:bCs w:val="0"/>
                <w:kern w:val="0"/>
                <w:sz w:val="24"/>
                <w:szCs w:val="24"/>
                <w:u w:val="none"/>
                <w:lang w:val="en-US" w:eastAsia="zh-CN"/>
              </w:rPr>
            </w:pPr>
            <w:r>
              <w:rPr>
                <w:rFonts w:hint="eastAsia"/>
                <w:b w:val="0"/>
                <w:bCs w:val="0"/>
                <w:kern w:val="0"/>
                <w:sz w:val="24"/>
                <w:szCs w:val="24"/>
                <w:u w:val="none"/>
                <w:lang w:val="en-US" w:eastAsia="zh-CN"/>
              </w:rPr>
              <w:t>规划环境影响评价文件：《长春北湖科技开发区分区规划（2018-2030）修编》</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b w:val="0"/>
                <w:bCs w:val="0"/>
                <w:kern w:val="0"/>
                <w:sz w:val="24"/>
                <w:szCs w:val="24"/>
                <w:u w:val="none"/>
                <w:lang w:val="en-US" w:eastAsia="zh-CN"/>
              </w:rPr>
            </w:pPr>
            <w:r>
              <w:rPr>
                <w:rFonts w:hint="eastAsia"/>
                <w:b w:val="0"/>
                <w:bCs w:val="0"/>
                <w:kern w:val="0"/>
                <w:sz w:val="24"/>
                <w:szCs w:val="24"/>
                <w:u w:val="none"/>
                <w:lang w:val="en-US" w:eastAsia="zh-CN"/>
              </w:rPr>
              <w:t>规划环评审查文件：《吉林省生态环境厅关于&lt;长春北湖科技开发区分区规划（2018-2030年）修编环境影响报告书&gt;的审查意见》（吉环环评字[2021]27号）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kern w:val="0"/>
                <w:sz w:val="24"/>
                <w:szCs w:val="24"/>
                <w:u w:val="single"/>
                <w:lang w:val="en-US" w:eastAsia="zh-CN"/>
              </w:rPr>
            </w:pPr>
            <w:r>
              <w:rPr>
                <w:rFonts w:hint="eastAsia"/>
                <w:b w:val="0"/>
                <w:bCs w:val="0"/>
                <w:kern w:val="0"/>
                <w:sz w:val="24"/>
                <w:szCs w:val="24"/>
                <w:u w:val="none"/>
                <w:lang w:val="en-US" w:eastAsia="zh-CN"/>
              </w:rPr>
              <w:t>审查机关：吉林省生态环境厅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1"/>
                <w:szCs w:val="21"/>
                <w:u w:val="single"/>
              </w:rPr>
            </w:pPr>
            <w:r>
              <w:rPr>
                <w:rFonts w:ascii="Times New Roman" w:hAnsi="Times New Roman" w:eastAsia="宋体"/>
                <w:kern w:val="0"/>
                <w:sz w:val="24"/>
                <w:szCs w:val="24"/>
                <w:u w:val="none"/>
              </w:rPr>
              <w:t>规划及规划环境影响评价符合性分析</w:t>
            </w:r>
          </w:p>
        </w:tc>
        <w:tc>
          <w:tcPr>
            <w:tcW w:w="6488" w:type="dxa"/>
            <w:gridSpan w:val="3"/>
            <w:vAlign w:val="center"/>
          </w:tcPr>
          <w:p>
            <w:pPr>
              <w:keepNext w:val="0"/>
              <w:keepLines w:val="0"/>
              <w:pageBreakBefore w:val="0"/>
              <w:widowControl/>
              <w:kinsoku/>
              <w:wordWrap/>
              <w:overflowPunct/>
              <w:autoSpaceDE w:val="0"/>
              <w:autoSpaceDN w:val="0"/>
              <w:bidi w:val="0"/>
              <w:adjustRightInd/>
              <w:snapToGrid/>
              <w:spacing w:line="360" w:lineRule="auto"/>
              <w:ind w:firstLine="482" w:firstLineChars="200"/>
              <w:rPr>
                <w:rFonts w:hint="default" w:ascii="Times New Roman" w:hAnsi="Times New Roman" w:cs="Times New Roman"/>
                <w:b/>
                <w:color w:val="000000"/>
                <w:sz w:val="24"/>
              </w:rPr>
            </w:pPr>
            <w:r>
              <w:rPr>
                <w:rFonts w:hint="default" w:ascii="Times New Roman" w:hAnsi="Times New Roman" w:cs="Times New Roman"/>
                <w:b/>
                <w:color w:val="000000"/>
                <w:sz w:val="24"/>
              </w:rPr>
              <w:t>1、产业发展规划符合性</w:t>
            </w:r>
          </w:p>
          <w:p>
            <w:pPr>
              <w:pStyle w:val="7"/>
              <w:keepNext w:val="0"/>
              <w:keepLines w:val="0"/>
              <w:pageBreakBefore w:val="0"/>
              <w:kinsoku/>
              <w:wordWrap/>
              <w:overflowPunct/>
              <w:bidi w:val="0"/>
              <w:adjustRightInd/>
              <w:snapToGrid/>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长春</w:t>
            </w:r>
            <w:r>
              <w:rPr>
                <w:rFonts w:hint="default" w:ascii="Times New Roman" w:hAnsi="Times New Roman" w:cs="Times New Roman"/>
                <w:szCs w:val="24"/>
                <w:lang w:val="en-US" w:eastAsia="zh-CN"/>
              </w:rPr>
              <w:t>北湖科技</w:t>
            </w:r>
            <w:r>
              <w:rPr>
                <w:rFonts w:hint="default" w:ascii="Times New Roman" w:hAnsi="Times New Roman" w:cs="Times New Roman"/>
                <w:szCs w:val="24"/>
              </w:rPr>
              <w:t>开发区的产业定位为：逐步形成以交通工具制造业、医药健康产业、光机电一体化装备制造业、新材料新能源产业、精细化工新材料等产业为支柱，以电商产业、保税物流、专业物流、装备物流为基础，以高端生产性服务业为核心的高端化、集群化、融合型的现代产业体系，实现长春北湖科技开发区产业在总量稳定增长基础上的结构优化，确保长春北湖科技开发区经济的跨越式发展和可持续发展。本项目</w:t>
            </w:r>
            <w:r>
              <w:rPr>
                <w:rFonts w:hint="default" w:ascii="Times New Roman" w:hAnsi="Times New Roman" w:cs="Times New Roman"/>
                <w:szCs w:val="24"/>
                <w:lang w:val="en-US" w:eastAsia="zh-CN"/>
              </w:rPr>
              <w:t>为社会公共安全设备及器材制造</w:t>
            </w:r>
            <w:r>
              <w:rPr>
                <w:rFonts w:hint="default" w:ascii="Times New Roman" w:hAnsi="Times New Roman" w:cs="Times New Roman"/>
                <w:szCs w:val="24"/>
              </w:rPr>
              <w:t>，因此项目符合开发区产业定位。</w:t>
            </w:r>
          </w:p>
          <w:p>
            <w:pPr>
              <w:pStyle w:val="7"/>
              <w:keepNext w:val="0"/>
              <w:keepLines w:val="0"/>
              <w:pageBreakBefore w:val="0"/>
              <w:kinsoku/>
              <w:wordWrap/>
              <w:overflowPunct/>
              <w:bidi w:val="0"/>
              <w:adjustRightInd/>
              <w:snapToGrid/>
              <w:spacing w:line="360" w:lineRule="auto"/>
              <w:ind w:firstLine="482" w:firstLineChars="200"/>
              <w:rPr>
                <w:rFonts w:hint="default" w:ascii="Times New Roman" w:hAnsi="Times New Roman" w:cs="Times New Roman"/>
                <w:b/>
                <w:color w:val="000000"/>
                <w:szCs w:val="24"/>
              </w:rPr>
            </w:pPr>
            <w:r>
              <w:rPr>
                <w:rFonts w:hint="default" w:ascii="Times New Roman" w:hAnsi="Times New Roman" w:cs="Times New Roman"/>
                <w:b/>
                <w:color w:val="000000"/>
                <w:szCs w:val="24"/>
              </w:rPr>
              <w:t>2、用地性质符合性</w:t>
            </w:r>
          </w:p>
          <w:p>
            <w:pPr>
              <w:pStyle w:val="7"/>
              <w:keepNext w:val="0"/>
              <w:keepLines w:val="0"/>
              <w:pageBreakBefore w:val="0"/>
              <w:kinsoku/>
              <w:wordWrap/>
              <w:overflowPunct/>
              <w:bidi w:val="0"/>
              <w:adjustRightInd/>
              <w:snapToGrid/>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本</w:t>
            </w:r>
            <w:r>
              <w:rPr>
                <w:rFonts w:hint="eastAsia" w:ascii="Times New Roman" w:hAnsi="Times New Roman" w:cs="Times New Roman"/>
                <w:szCs w:val="24"/>
                <w:lang w:eastAsia="zh-CN"/>
              </w:rPr>
              <w:t>项目</w:t>
            </w:r>
            <w:r>
              <w:rPr>
                <w:rFonts w:hint="default" w:ascii="Times New Roman" w:hAnsi="Times New Roman" w:cs="Times New Roman"/>
                <w:szCs w:val="24"/>
              </w:rPr>
              <w:t>用地为工业用地，符合开发区用地规划，符合开发区规划布局要求。</w:t>
            </w:r>
          </w:p>
          <w:p>
            <w:pPr>
              <w:pStyle w:val="7"/>
              <w:keepNext w:val="0"/>
              <w:keepLines w:val="0"/>
              <w:pageBreakBefore w:val="0"/>
              <w:kinsoku/>
              <w:wordWrap/>
              <w:overflowPunct/>
              <w:bidi w:val="0"/>
              <w:adjustRightInd/>
              <w:snapToGrid/>
              <w:spacing w:line="360" w:lineRule="auto"/>
              <w:ind w:firstLine="482" w:firstLineChars="200"/>
              <w:rPr>
                <w:rFonts w:hint="default" w:ascii="Times New Roman" w:hAnsi="Times New Roman" w:cs="Times New Roman"/>
                <w:b/>
                <w:bCs/>
                <w:szCs w:val="24"/>
              </w:rPr>
            </w:pPr>
            <w:r>
              <w:rPr>
                <w:rFonts w:hint="default" w:ascii="Times New Roman" w:hAnsi="Times New Roman" w:cs="Times New Roman"/>
                <w:b/>
                <w:bCs/>
                <w:szCs w:val="24"/>
              </w:rPr>
              <w:t>3、本项目与开发区行业准入符合性分析</w:t>
            </w:r>
          </w:p>
          <w:p>
            <w:pPr>
              <w:pStyle w:val="7"/>
              <w:keepNext w:val="0"/>
              <w:keepLines w:val="0"/>
              <w:pageBreakBefore w:val="0"/>
              <w:kinsoku/>
              <w:wordWrap/>
              <w:overflowPunct/>
              <w:bidi w:val="0"/>
              <w:adjustRightInd/>
              <w:snapToGrid/>
              <w:spacing w:line="360" w:lineRule="auto"/>
              <w:ind w:firstLine="480" w:firstLineChars="200"/>
              <w:rPr>
                <w:rFonts w:hint="default" w:ascii="Times New Roman" w:hAnsi="Times New Roman" w:cs="Times New Roman"/>
                <w:szCs w:val="24"/>
              </w:rPr>
            </w:pPr>
            <w:r>
              <w:rPr>
                <w:rFonts w:hint="default" w:ascii="Times New Roman" w:hAnsi="Times New Roman" w:cs="Times New Roman"/>
                <w:szCs w:val="24"/>
              </w:rPr>
              <w:t>根据《长春</w:t>
            </w:r>
            <w:r>
              <w:rPr>
                <w:rFonts w:hint="default" w:ascii="Times New Roman" w:hAnsi="Times New Roman" w:cs="Times New Roman"/>
                <w:szCs w:val="24"/>
                <w:lang w:val="en-US" w:eastAsia="zh-CN"/>
              </w:rPr>
              <w:t>北湖科技</w:t>
            </w:r>
            <w:r>
              <w:rPr>
                <w:rFonts w:hint="default" w:ascii="Times New Roman" w:hAnsi="Times New Roman" w:cs="Times New Roman"/>
                <w:szCs w:val="24"/>
              </w:rPr>
              <w:t>开发区分区规划</w:t>
            </w:r>
            <w:r>
              <w:rPr>
                <w:rFonts w:hint="default" w:ascii="Times New Roman" w:hAnsi="Times New Roman" w:cs="Times New Roman"/>
                <w:szCs w:val="24"/>
                <w:lang w:val="en-US" w:eastAsia="zh-CN"/>
              </w:rPr>
              <w:t>调整</w:t>
            </w:r>
            <w:r>
              <w:rPr>
                <w:rFonts w:hint="default" w:ascii="Times New Roman" w:hAnsi="Times New Roman" w:cs="Times New Roman"/>
                <w:szCs w:val="24"/>
              </w:rPr>
              <w:t>（2018-2030）</w:t>
            </w:r>
            <w:r>
              <w:rPr>
                <w:rFonts w:hint="default" w:ascii="Times New Roman" w:hAnsi="Times New Roman" w:cs="Times New Roman"/>
                <w:szCs w:val="24"/>
                <w:lang w:val="en-US" w:eastAsia="zh-CN"/>
              </w:rPr>
              <w:t>补充环境影响报告书</w:t>
            </w:r>
            <w:r>
              <w:rPr>
                <w:rFonts w:hint="default" w:ascii="Times New Roman" w:hAnsi="Times New Roman" w:cs="Times New Roman"/>
                <w:szCs w:val="24"/>
              </w:rPr>
              <w:t>》，本项目与开发区行业准入符合性分析详见下表1-1。</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Cs w:val="24"/>
                <w:u w:val="none"/>
              </w:rPr>
            </w:pPr>
            <w:r>
              <w:rPr>
                <w:rFonts w:hint="default" w:ascii="Times New Roman" w:hAnsi="Times New Roman" w:cs="Times New Roman"/>
                <w:b/>
                <w:bCs/>
                <w:sz w:val="21"/>
                <w:szCs w:val="21"/>
                <w:u w:val="none"/>
              </w:rPr>
              <w:t>表1-1本项目与开发区行业准入符合性分析</w:t>
            </w:r>
          </w:p>
          <w:tbl>
            <w:tblPr>
              <w:tblStyle w:val="23"/>
              <w:tblW w:w="4999" w:type="pc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897"/>
              <w:gridCol w:w="1640"/>
            </w:tblGrid>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pct"/>
                  <w:tcBorders>
                    <w:left w:val="nil"/>
                  </w:tcBorders>
                  <w:noWrap w:val="0"/>
                  <w:vAlign w:val="top"/>
                </w:tcPr>
                <w:p>
                  <w:pPr>
                    <w:pStyle w:val="7"/>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default" w:ascii="Times New Roman" w:hAnsi="Times New Roman" w:cs="Times New Roman"/>
                      <w:sz w:val="21"/>
                      <w:szCs w:val="21"/>
                    </w:rPr>
                    <w:t>类别</w:t>
                  </w:r>
                </w:p>
              </w:tc>
              <w:tc>
                <w:tcPr>
                  <w:tcW w:w="3112" w:type="pct"/>
                  <w:noWrap w:val="0"/>
                  <w:vAlign w:val="top"/>
                </w:tcPr>
                <w:p>
                  <w:pPr>
                    <w:pStyle w:val="7"/>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default" w:ascii="Times New Roman" w:hAnsi="Times New Roman" w:cs="Times New Roman"/>
                      <w:sz w:val="21"/>
                      <w:szCs w:val="21"/>
                    </w:rPr>
                    <w:t>内容</w:t>
                  </w:r>
                </w:p>
              </w:tc>
              <w:tc>
                <w:tcPr>
                  <w:tcW w:w="1309" w:type="pct"/>
                  <w:tcBorders>
                    <w:right w:val="nil"/>
                  </w:tcBorders>
                  <w:noWrap w:val="0"/>
                  <w:vAlign w:val="top"/>
                </w:tcPr>
                <w:p>
                  <w:pPr>
                    <w:pStyle w:val="7"/>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default" w:ascii="Times New Roman" w:hAnsi="Times New Roman" w:cs="Times New Roman"/>
                      <w:sz w:val="21"/>
                      <w:szCs w:val="21"/>
                    </w:rPr>
                    <w:t>符合性</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允许开发建设活动的要求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1鼓励清洁生产型、高新技术型和节水节能型企业进入，新建企业清洁生产水平应达到国际先进水平。</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2严格按照区域国土空间规划合理选择项目用地；</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3严格按照产业政策要求选择落区项目；</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4重点发展化学原料和化学制品制造业，医药制造业，新型材料制造业，电子信息产业，电子器件制造，智能消费设备制造，铁路、船舶、航空航天及其他运输设备制造业，食品饮料制造业，农副食品加工业，仓储物流业，农业，基因工程食品开发，环保产业，环境诊断试剂，检验检测，科技创新研发领域等。</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本项目为社会公共安全设备及器材制造，</w:t>
                  </w:r>
                  <w:r>
                    <w:rPr>
                      <w:rFonts w:hint="eastAsia" w:cs="Times New Roman"/>
                      <w:sz w:val="21"/>
                      <w:szCs w:val="21"/>
                      <w:lang w:val="en-US" w:eastAsia="zh-CN"/>
                    </w:rPr>
                    <w:t>属于智能消费设备制造</w:t>
                  </w:r>
                  <w:r>
                    <w:rPr>
                      <w:rFonts w:hint="eastAsia" w:ascii="Times New Roman" w:hAnsi="Times New Roman" w:cs="Times New Roman"/>
                      <w:sz w:val="21"/>
                      <w:szCs w:val="21"/>
                      <w:lang w:val="en-US" w:eastAsia="zh-CN"/>
                    </w:rPr>
                    <w:t>项目</w:t>
                  </w:r>
                  <w:r>
                    <w:rPr>
                      <w:rFonts w:hint="eastAsia" w:cs="Times New Roman"/>
                      <w:sz w:val="21"/>
                      <w:szCs w:val="21"/>
                      <w:lang w:val="en-US" w:eastAsia="zh-CN"/>
                    </w:rPr>
                    <w:t>，项目用</w:t>
                  </w:r>
                  <w:r>
                    <w:rPr>
                      <w:rFonts w:hint="eastAsia" w:ascii="Times New Roman" w:hAnsi="Times New Roman" w:cs="Times New Roman"/>
                      <w:sz w:val="21"/>
                      <w:szCs w:val="21"/>
                      <w:lang w:val="en-US" w:eastAsia="zh-CN"/>
                    </w:rPr>
                    <w:t>地为工业用地，</w:t>
                  </w:r>
                  <w:r>
                    <w:rPr>
                      <w:rFonts w:hint="default" w:ascii="Times New Roman" w:hAnsi="Times New Roman" w:cs="Times New Roman"/>
                      <w:sz w:val="21"/>
                      <w:szCs w:val="21"/>
                      <w:lang w:val="en-US" w:eastAsia="zh-CN"/>
                    </w:rPr>
                    <w:t>故本项目符合开发区行业准入清单。</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禁止开发建设活动的要求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1《产业结构调整指导目录》中的“淘汰类”项目；</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2《外商投资产业指导目录》中禁止外商投资的项目；</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3禁止进行违反城市蓝线保护和控制要求的建设活动；</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4禁止引入的项目：①禁止冶金、造纸、制革、农药制造、金属冶炼等对大气及水环境污染严重的项目；②C1351牲畜屠宰、C1352禽类屠宰不得进入该区域。</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5城镇人口密集区禁止新增危险化学品生产企业；</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6城市建成区禁止新建35蒸吨/小时以下的燃煤锅炉，其他区域禁止新建20蒸吨/小时以下的燃煤锅炉；</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7城市绿线内的用地，不得改作他用，不得违反法律法规、强制性标准以及批准的规划进行开发建设；</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8限制“高耗能、高排放项目”入区。</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本项目为社会公共安全设备及器材制造</w:t>
                  </w:r>
                  <w:r>
                    <w:rPr>
                      <w:rFonts w:hint="eastAsia" w:ascii="Times New Roman" w:hAnsi="Times New Roman" w:eastAsia="宋体" w:cs="Times New Roman"/>
                      <w:b w:val="0"/>
                      <w:color w:val="auto"/>
                      <w:kern w:val="2"/>
                      <w:sz w:val="21"/>
                      <w:szCs w:val="21"/>
                      <w:lang w:val="en-US" w:eastAsia="zh-CN" w:bidi="ar-SA"/>
                    </w:rPr>
                    <w:t>，</w:t>
                  </w:r>
                  <w:r>
                    <w:rPr>
                      <w:rFonts w:hint="eastAsia" w:cs="Times New Roman"/>
                      <w:b w:val="0"/>
                      <w:color w:val="auto"/>
                      <w:kern w:val="2"/>
                      <w:sz w:val="21"/>
                      <w:szCs w:val="21"/>
                      <w:lang w:val="en-US" w:eastAsia="zh-CN" w:bidi="ar-SA"/>
                    </w:rPr>
                    <w:t>同时项目建设1</w:t>
                  </w:r>
                  <w:r>
                    <w:rPr>
                      <w:rFonts w:hint="eastAsia" w:ascii="Times New Roman" w:hAnsi="Times New Roman" w:eastAsia="宋体" w:cs="Times New Roman"/>
                      <w:b w:val="0"/>
                      <w:color w:val="auto"/>
                      <w:kern w:val="2"/>
                      <w:sz w:val="21"/>
                      <w:szCs w:val="21"/>
                      <w:lang w:val="en-US" w:eastAsia="zh-CN" w:bidi="ar-SA"/>
                    </w:rPr>
                    <w:t>台</w:t>
                  </w:r>
                  <w:r>
                    <w:rPr>
                      <w:rFonts w:hint="eastAsia" w:cs="Times New Roman"/>
                      <w:b w:val="0"/>
                      <w:color w:val="auto"/>
                      <w:kern w:val="2"/>
                      <w:sz w:val="21"/>
                      <w:szCs w:val="21"/>
                      <w:lang w:val="en-US" w:eastAsia="zh-CN" w:bidi="ar-SA"/>
                    </w:rPr>
                    <w:t>4</w:t>
                  </w:r>
                  <w:r>
                    <w:rPr>
                      <w:rFonts w:hint="eastAsia" w:ascii="Times New Roman" w:hAnsi="Times New Roman" w:eastAsia="宋体" w:cs="Times New Roman"/>
                      <w:b w:val="0"/>
                      <w:color w:val="auto"/>
                      <w:kern w:val="2"/>
                      <w:sz w:val="21"/>
                      <w:szCs w:val="21"/>
                      <w:lang w:val="en-US" w:eastAsia="zh-CN" w:bidi="ar-SA"/>
                    </w:rPr>
                    <w:t>t/h燃气热水锅炉</w:t>
                  </w:r>
                  <w:r>
                    <w:rPr>
                      <w:rFonts w:hint="eastAsia" w:cs="Times New Roman"/>
                      <w:b w:val="0"/>
                      <w:color w:val="auto"/>
                      <w:kern w:val="2"/>
                      <w:sz w:val="21"/>
                      <w:szCs w:val="21"/>
                      <w:lang w:val="en-US" w:eastAsia="zh-CN" w:bidi="ar-SA"/>
                    </w:rPr>
                    <w:t>作为冬季生活热源</w:t>
                  </w:r>
                  <w:r>
                    <w:rPr>
                      <w:rFonts w:hint="eastAsia" w:ascii="Times New Roman" w:hAnsi="Times New Roman" w:eastAsia="宋体" w:cs="Times New Roman"/>
                      <w:b w:val="0"/>
                      <w:color w:val="auto"/>
                      <w:kern w:val="2"/>
                      <w:sz w:val="21"/>
                      <w:szCs w:val="21"/>
                      <w:lang w:val="en-US" w:eastAsia="zh-CN" w:bidi="ar-SA"/>
                    </w:rPr>
                    <w:t>，燃料为天然气，为清洁能源。</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限制开发建设活动的要求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1《产业结构调整指导目录》中的“限制类”项目；</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2限制高耗能、高污染的企业入区。</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本项目为允许类项目，</w:t>
                  </w:r>
                  <w:r>
                    <w:rPr>
                      <w:rFonts w:hint="eastAsia" w:cs="Times New Roman"/>
                      <w:sz w:val="21"/>
                      <w:szCs w:val="21"/>
                      <w:lang w:val="en-US" w:eastAsia="zh-CN"/>
                    </w:rPr>
                    <w:t>不属于高耗能，高污染企业。</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不符合空间布局活动的退出要求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1在充分落实环保措施、对周围环境影响可接受的前提下，允许不符合空间布局的现有项目进行改扩建工程；</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2不符合国土空间规划的企业，在取得合法土地使用证前，禁止扩建和扩大厂区；</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3《产业结构调整指导目录》中的淘汰类，全部列入本类，涉及的产业项目禁止新建和投资，现有企业3-5年内关闭退出。</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本项目不属于淘汰类，为允许类。</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用地环境风险防控要求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2土壤环境污染重点监管企业、危化品仓储企业落实《工矿用地土壤环境管理办法（试行）》要求，实施项目环评、设计建设、拆除设施、终止经营全生命周期土壤和地下水污染防治；</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3开发区应制定环境风险应急预案，成立应急组织机构，定期开展应急演练，提高区域环境风险防范能力；</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4严格管理涉及易导致环境风险的有毒有害和易燃易爆物质的生产、使用、排放、贮运等新建、改扩建项目。</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本项目所在地开发区已制定环境风险应急预案，成立应急组织机构。</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园区环境风险防控要求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成立园区应急组织机构，建立环境风险应急防控体系，定期开展应急演练，提高区域环境风险防范能力；按时完成开发园区应急预案修编。</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开发区引进企业按照产业集中布局原则，新引入的相同类型企业集中布局，形成产业链发展，加强企业环境风险防控。</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园区已成立应急组织机构，建立环境风险应急防控体系。</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企业环境风险防控要求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区内企业应建立完善风险防范体系及风险防范措施，做好与园区的联动；制定应急预案并及时修编，定期演练，加强对于风险防范措施的维护，保证措施有效、</w:t>
                  </w:r>
                  <w:r>
                    <w:rPr>
                      <w:rFonts w:hint="eastAsia" w:ascii="Times New Roman" w:hAnsi="Times New Roman" w:cs="Times New Roman"/>
                      <w:b w:val="0"/>
                      <w:color w:val="auto"/>
                      <w:lang w:eastAsia="zh-CN"/>
                    </w:rPr>
                    <w:t>应急物资</w:t>
                  </w:r>
                  <w:r>
                    <w:rPr>
                      <w:rFonts w:hint="default" w:ascii="Times New Roman" w:hAnsi="Times New Roman" w:cs="Times New Roman"/>
                      <w:b w:val="0"/>
                      <w:color w:val="auto"/>
                    </w:rPr>
                    <w:t>充足。</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cs="Times New Roman"/>
                      <w:sz w:val="21"/>
                      <w:szCs w:val="21"/>
                    </w:rPr>
                  </w:pPr>
                  <w:r>
                    <w:rPr>
                      <w:rFonts w:hint="eastAsia" w:cs="Times New Roman"/>
                      <w:sz w:val="21"/>
                      <w:szCs w:val="21"/>
                      <w:lang w:val="en-US" w:eastAsia="zh-CN"/>
                    </w:rPr>
                    <w:t>企业</w:t>
                  </w:r>
                  <w:r>
                    <w:rPr>
                      <w:rFonts w:hint="eastAsia" w:ascii="Times New Roman" w:hAnsi="Times New Roman" w:cs="Times New Roman"/>
                      <w:sz w:val="21"/>
                      <w:szCs w:val="21"/>
                      <w:lang w:val="en-US" w:eastAsia="zh-CN"/>
                    </w:rPr>
                    <w:t>将成立应急组织机构，定期开展应急演练，提高风险防范能力。</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水资源利用效率要求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开发区单位产值新鲜水耗不大于13.2m</w:t>
                  </w:r>
                  <w:r>
                    <w:rPr>
                      <w:rFonts w:hint="default" w:ascii="Times New Roman" w:hAnsi="Times New Roman" w:cs="Times New Roman"/>
                      <w:b w:val="0"/>
                      <w:color w:val="auto"/>
                      <w:vertAlign w:val="superscript"/>
                    </w:rPr>
                    <w:t>3</w:t>
                  </w:r>
                  <w:r>
                    <w:rPr>
                      <w:rFonts w:hint="default" w:ascii="Times New Roman" w:hAnsi="Times New Roman" w:cs="Times New Roman"/>
                      <w:b w:val="0"/>
                      <w:color w:val="auto"/>
                    </w:rPr>
                    <w:t>/万元。</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规划再生水回用率：不低于25%。</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本项目用水主要</w:t>
                  </w:r>
                  <w:r>
                    <w:rPr>
                      <w:rFonts w:hint="eastAsia" w:cs="Times New Roman"/>
                      <w:sz w:val="21"/>
                      <w:szCs w:val="21"/>
                      <w:lang w:val="en-US" w:eastAsia="zh-CN"/>
                    </w:rPr>
                    <w:t>为</w:t>
                  </w:r>
                  <w:r>
                    <w:rPr>
                      <w:rFonts w:hint="eastAsia" w:ascii="Times New Roman" w:hAnsi="Times New Roman" w:cs="Times New Roman"/>
                      <w:color w:val="auto"/>
                      <w:sz w:val="21"/>
                      <w:szCs w:val="21"/>
                      <w:lang w:val="en-US" w:eastAsia="zh-CN"/>
                    </w:rPr>
                    <w:t>生活用水</w:t>
                  </w:r>
                  <w:r>
                    <w:rPr>
                      <w:rFonts w:hint="eastAsia" w:cs="Times New Roman"/>
                      <w:color w:val="auto"/>
                      <w:sz w:val="21"/>
                      <w:szCs w:val="21"/>
                      <w:lang w:val="en-US" w:eastAsia="zh-CN"/>
                    </w:rPr>
                    <w:t>及锅炉补充水</w:t>
                  </w:r>
                  <w:r>
                    <w:rPr>
                      <w:rFonts w:hint="eastAsia" w:ascii="Times New Roman" w:hAnsi="Times New Roman" w:cs="Times New Roman"/>
                      <w:sz w:val="21"/>
                      <w:szCs w:val="21"/>
                      <w:lang w:val="en-US" w:eastAsia="zh-CN"/>
                    </w:rPr>
                    <w:t>，用水量较小。</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地下水开采要求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严控地下水开采，加快区内供水管网建设，集中供水管网覆盖区域不得私自取用地下水。以水定产，避免区内地下水过度开采。</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本项目用水为市政管网，不涉及地下水开采</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能源利用效率要求</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规划单位工业增加值能耗≤0.5t标煤/万元</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本项目不涉及</w:t>
                  </w:r>
                </w:p>
              </w:tc>
            </w:tr>
            <w:tr>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578" w:type="pct"/>
                  <w:tcBorders>
                    <w:left w:val="nil"/>
                  </w:tcBorders>
                  <w:noWrap w:val="0"/>
                  <w:vAlign w:val="center"/>
                </w:tcPr>
                <w:p>
                  <w:pPr>
                    <w:pStyle w:val="89"/>
                    <w:keepNext w:val="0"/>
                    <w:keepLines w:val="0"/>
                    <w:pageBreakBefore w:val="0"/>
                    <w:kinsoku/>
                    <w:wordWrap/>
                    <w:overflowPunct/>
                    <w:bidi w:val="0"/>
                    <w:adjustRightInd/>
                    <w:snapToGrid/>
                    <w:rPr>
                      <w:rFonts w:hint="default" w:ascii="Times New Roman" w:hAnsi="Times New Roman" w:cs="Times New Roman"/>
                      <w:sz w:val="21"/>
                      <w:szCs w:val="21"/>
                    </w:rPr>
                  </w:pPr>
                  <w:r>
                    <w:rPr>
                      <w:rFonts w:hint="default" w:ascii="Times New Roman" w:hAnsi="Times New Roman" w:cs="Times New Roman"/>
                      <w:b w:val="0"/>
                      <w:color w:val="auto"/>
                    </w:rPr>
                    <w:t>高污染燃料禁燃</w:t>
                  </w:r>
                </w:p>
              </w:tc>
              <w:tc>
                <w:tcPr>
                  <w:tcW w:w="3112" w:type="pct"/>
                  <w:noWrap w:val="0"/>
                  <w:vAlign w:val="center"/>
                </w:tcPr>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1禁燃区为长春市市区范围；</w:t>
                  </w:r>
                </w:p>
                <w:p>
                  <w:pPr>
                    <w:pStyle w:val="89"/>
                    <w:keepNext w:val="0"/>
                    <w:keepLines w:val="0"/>
                    <w:pageBreakBefore w:val="0"/>
                    <w:kinsoku/>
                    <w:wordWrap/>
                    <w:overflowPunct/>
                    <w:bidi w:val="0"/>
                    <w:adjustRightInd/>
                    <w:snapToGrid/>
                    <w:jc w:val="both"/>
                    <w:rPr>
                      <w:rFonts w:hint="default" w:ascii="Times New Roman" w:hAnsi="Times New Roman" w:cs="Times New Roman"/>
                      <w:b w:val="0"/>
                      <w:color w:val="auto"/>
                    </w:rPr>
                  </w:pPr>
                  <w:r>
                    <w:rPr>
                      <w:rFonts w:hint="default" w:ascii="Times New Roman" w:hAnsi="Times New Roman" w:cs="Times New Roman"/>
                      <w:b w:val="0"/>
                      <w:color w:val="auto"/>
                    </w:rPr>
                    <w:t>2禁燃区内单台出力小于20蒸吨/小时（14MW/小时）的锅炉、窑炉等燃用高污染燃料设施，应当在2018年12月31日前，停止燃用高污染燃料。在集中供热管网或者燃气管网覆盖范围内的单台出力小于20蒸吨/小时（14MW/小时）的锅炉、窑炉等燃用高污染燃料设施，应当改用集中供热或者改用天然气、电等清洁能源；未在集中供热管网或者燃气管网覆盖范围内的，可以改用生物质成型燃料或者其他清洁能源，以淘汰燃用高污染燃料的锅炉、窑炉等燃烧设施；</w:t>
                  </w:r>
                </w:p>
                <w:p>
                  <w:pPr>
                    <w:pStyle w:val="89"/>
                    <w:keepNext w:val="0"/>
                    <w:keepLines w:val="0"/>
                    <w:pageBreakBefore w:val="0"/>
                    <w:kinsoku/>
                    <w:wordWrap/>
                    <w:overflowPunct/>
                    <w:bidi w:val="0"/>
                    <w:adjustRightInd/>
                    <w:snapToGrid/>
                    <w:jc w:val="both"/>
                    <w:rPr>
                      <w:rFonts w:hint="default" w:ascii="Times New Roman" w:hAnsi="Times New Roman" w:cs="Times New Roman"/>
                      <w:sz w:val="21"/>
                      <w:szCs w:val="21"/>
                    </w:rPr>
                  </w:pPr>
                  <w:r>
                    <w:rPr>
                      <w:rFonts w:hint="default" w:ascii="Times New Roman" w:hAnsi="Times New Roman" w:cs="Times New Roman"/>
                      <w:b w:val="0"/>
                      <w:color w:val="auto"/>
                    </w:rPr>
                    <w:t>3禁燃区内禁止新建、扩建燃用高污染燃料的锅炉、窑炉等燃烧设施（单台额定功率29MW及以上的集中供热锅炉、热电联产锅炉除外）。</w:t>
                  </w:r>
                </w:p>
              </w:tc>
              <w:tc>
                <w:tcPr>
                  <w:tcW w:w="1309" w:type="pct"/>
                  <w:tcBorders>
                    <w:right w:val="nil"/>
                  </w:tcBorders>
                  <w:noWrap w:val="0"/>
                  <w:vAlign w:val="center"/>
                </w:tcPr>
                <w:p>
                  <w:pPr>
                    <w:pStyle w:val="7"/>
                    <w:keepNext w:val="0"/>
                    <w:keepLines w:val="0"/>
                    <w:pageBreakBefore w:val="0"/>
                    <w:kinsoku/>
                    <w:wordWrap/>
                    <w:overflowPunct/>
                    <w:bidi w:val="0"/>
                    <w:adjustRightInd/>
                    <w:snapToGrid/>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本项目</w:t>
                  </w:r>
                  <w:r>
                    <w:rPr>
                      <w:rFonts w:hint="eastAsia" w:cs="Times New Roman"/>
                      <w:color w:val="auto"/>
                      <w:sz w:val="21"/>
                      <w:szCs w:val="21"/>
                      <w:lang w:val="en-US" w:eastAsia="zh-CN"/>
                    </w:rPr>
                    <w:t>利用1</w:t>
                  </w:r>
                  <w:r>
                    <w:rPr>
                      <w:rFonts w:hint="eastAsia" w:ascii="Times New Roman" w:hAnsi="Times New Roman" w:cs="Times New Roman"/>
                      <w:color w:val="auto"/>
                      <w:sz w:val="21"/>
                      <w:szCs w:val="21"/>
                      <w:lang w:val="en-US" w:eastAsia="zh-CN"/>
                    </w:rPr>
                    <w:t>台</w:t>
                  </w:r>
                  <w:r>
                    <w:rPr>
                      <w:rFonts w:hint="eastAsia" w:cs="Times New Roman"/>
                      <w:color w:val="auto"/>
                      <w:sz w:val="21"/>
                      <w:szCs w:val="21"/>
                      <w:lang w:val="en-US" w:eastAsia="zh-CN"/>
                    </w:rPr>
                    <w:t>4</w:t>
                  </w:r>
                  <w:r>
                    <w:rPr>
                      <w:rFonts w:hint="eastAsia" w:ascii="Times New Roman" w:hAnsi="Times New Roman" w:cs="Times New Roman"/>
                      <w:color w:val="auto"/>
                      <w:sz w:val="21"/>
                      <w:szCs w:val="21"/>
                      <w:lang w:val="en-US" w:eastAsia="zh-CN"/>
                    </w:rPr>
                    <w:t>t/h燃气锅炉</w:t>
                  </w:r>
                  <w:r>
                    <w:rPr>
                      <w:rFonts w:hint="eastAsia" w:cs="Times New Roman"/>
                      <w:color w:val="auto"/>
                      <w:sz w:val="21"/>
                      <w:szCs w:val="21"/>
                      <w:lang w:val="en-US" w:eastAsia="zh-CN"/>
                    </w:rPr>
                    <w:t>为冬季员工生活提供热源</w:t>
                  </w:r>
                  <w:r>
                    <w:rPr>
                      <w:rFonts w:hint="eastAsia" w:ascii="Times New Roman" w:hAnsi="Times New Roman" w:cs="Times New Roman"/>
                      <w:color w:val="auto"/>
                      <w:sz w:val="21"/>
                      <w:szCs w:val="21"/>
                      <w:lang w:val="en-US" w:eastAsia="zh-CN"/>
                    </w:rPr>
                    <w:t>，燃料为天然气</w:t>
                  </w:r>
                  <w:r>
                    <w:rPr>
                      <w:rFonts w:hint="eastAsia" w:cs="Times New Roman"/>
                      <w:color w:val="auto"/>
                      <w:sz w:val="21"/>
                      <w:szCs w:val="21"/>
                      <w:lang w:val="en-US" w:eastAsia="zh-CN"/>
                    </w:rPr>
                    <w:t>。</w:t>
                  </w:r>
                </w:p>
              </w:tc>
            </w:tr>
          </w:tbl>
          <w:p>
            <w:pPr>
              <w:autoSpaceDE w:val="0"/>
              <w:autoSpaceDN w:val="0"/>
              <w:adjustRightInd w:val="0"/>
              <w:snapToGrid w:val="0"/>
              <w:spacing w:line="360" w:lineRule="auto"/>
              <w:jc w:val="left"/>
              <w:rPr>
                <w:rFonts w:ascii="Times New Roman" w:hAnsi="Times New Roman" w:eastAsia="宋体"/>
                <w:kern w:val="0"/>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vAlign w:val="center"/>
          </w:tcPr>
          <w:p>
            <w:pPr>
              <w:autoSpaceDE w:val="0"/>
              <w:autoSpaceDN w:val="0"/>
              <w:adjustRightInd w:val="0"/>
              <w:snapToGrid w:val="0"/>
              <w:jc w:val="center"/>
              <w:rPr>
                <w:rFonts w:ascii="Times New Roman" w:hAnsi="Times New Roman" w:eastAsia="宋体"/>
                <w:kern w:val="0"/>
                <w:sz w:val="21"/>
                <w:szCs w:val="21"/>
              </w:rPr>
            </w:pPr>
            <w:r>
              <w:rPr>
                <w:rFonts w:ascii="Times New Roman" w:hAnsi="Times New Roman" w:eastAsia="宋体"/>
                <w:kern w:val="0"/>
                <w:sz w:val="24"/>
                <w:szCs w:val="24"/>
              </w:rPr>
              <w:t>其他符合性分析</w:t>
            </w:r>
          </w:p>
        </w:tc>
        <w:tc>
          <w:tcPr>
            <w:tcW w:w="6488" w:type="dxa"/>
            <w:gridSpan w:val="3"/>
          </w:tcPr>
          <w:p>
            <w:pPr>
              <w:autoSpaceDE w:val="0"/>
              <w:autoSpaceDN w:val="0"/>
              <w:adjustRightInd w:val="0"/>
              <w:snapToGrid w:val="0"/>
              <w:spacing w:line="360" w:lineRule="auto"/>
              <w:rPr>
                <w:rFonts w:ascii="Times New Roman" w:hAnsi="Times New Roman" w:eastAsia="宋体"/>
                <w:b/>
                <w:bCs/>
                <w:sz w:val="24"/>
                <w:szCs w:val="24"/>
              </w:rPr>
            </w:pPr>
            <w:r>
              <w:rPr>
                <w:rFonts w:hint="eastAsia" w:ascii="Times New Roman" w:hAnsi="Times New Roman" w:eastAsia="宋体"/>
                <w:b/>
                <w:bCs/>
                <w:sz w:val="24"/>
                <w:szCs w:val="24"/>
              </w:rPr>
              <w:t>一</w:t>
            </w:r>
            <w:r>
              <w:rPr>
                <w:rFonts w:ascii="Times New Roman" w:hAnsi="Times New Roman" w:eastAsia="宋体"/>
                <w:b/>
                <w:bCs/>
                <w:sz w:val="24"/>
                <w:szCs w:val="24"/>
              </w:rPr>
              <w:t>、</w:t>
            </w:r>
            <w:r>
              <w:rPr>
                <w:rFonts w:hint="eastAsia" w:ascii="Times New Roman" w:hAnsi="Times New Roman" w:eastAsia="宋体"/>
                <w:b/>
                <w:bCs/>
                <w:sz w:val="24"/>
                <w:szCs w:val="24"/>
              </w:rPr>
              <w:t>“三线</w:t>
            </w:r>
            <w:r>
              <w:rPr>
                <w:rFonts w:ascii="Times New Roman" w:hAnsi="Times New Roman" w:eastAsia="宋体"/>
                <w:b/>
                <w:bCs/>
                <w:sz w:val="24"/>
                <w:szCs w:val="24"/>
              </w:rPr>
              <w:t>一单</w:t>
            </w:r>
            <w:r>
              <w:rPr>
                <w:rFonts w:hint="eastAsia" w:ascii="Times New Roman" w:hAnsi="Times New Roman" w:eastAsia="宋体"/>
                <w:b/>
                <w:bCs/>
                <w:sz w:val="24"/>
                <w:szCs w:val="24"/>
              </w:rPr>
              <w:t>”符合性</w:t>
            </w:r>
            <w:r>
              <w:rPr>
                <w:rFonts w:ascii="Times New Roman" w:hAnsi="Times New Roman" w:eastAsia="宋体"/>
                <w:b/>
                <w:bCs/>
                <w:sz w:val="24"/>
                <w:szCs w:val="24"/>
              </w:rPr>
              <w:t>分析</w:t>
            </w:r>
          </w:p>
          <w:p>
            <w:pPr>
              <w:autoSpaceDE w:val="0"/>
              <w:autoSpaceDN w:val="0"/>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吉林省人民政府关于实施“三线一单”生态环境分区管控的意见》（吉政函[2020]101号），以习近平生态文明思想为指导，全面贯彻党的十九大特别是十九届四中、五中全会精神，坚持生态优先、绿色发展，建立以“三线一单”为核心的生态环境分区管控体系，提升生态环境治理体系和治理能力现代化水平，为筑牢东北生态安全屏障，强化黑土地保护利用，推进东中西“三大板块”建设，优化“一主、六双”产业空间布局，促进生态环境高水平保护和经济社会高质量发展，提供有力支撑和制度保障。</w:t>
            </w:r>
          </w:p>
          <w:p>
            <w:pPr>
              <w:snapToGrid w:val="0"/>
              <w:jc w:val="center"/>
              <w:rPr>
                <w:rFonts w:ascii="Times New Roman" w:hAnsi="Times New Roman" w:eastAsia="宋体"/>
                <w:b/>
                <w:bCs/>
                <w:sz w:val="21"/>
                <w:szCs w:val="21"/>
              </w:rPr>
            </w:pPr>
            <w:r>
              <w:rPr>
                <w:rFonts w:hint="eastAsia" w:ascii="Times New Roman" w:hAnsi="Times New Roman" w:eastAsia="宋体"/>
                <w:b/>
                <w:bCs/>
                <w:sz w:val="21"/>
                <w:szCs w:val="21"/>
              </w:rPr>
              <w:t>表1</w:t>
            </w:r>
            <w:r>
              <w:rPr>
                <w:rFonts w:hint="eastAsia"/>
                <w:b/>
                <w:bCs/>
                <w:sz w:val="21"/>
                <w:szCs w:val="21"/>
                <w:lang w:val="en-US" w:eastAsia="zh-CN"/>
              </w:rPr>
              <w:t>-1</w:t>
            </w:r>
            <w:r>
              <w:rPr>
                <w:rFonts w:ascii="Times New Roman" w:hAnsi="Times New Roman" w:eastAsia="宋体"/>
                <w:b/>
                <w:bCs/>
                <w:sz w:val="21"/>
                <w:szCs w:val="21"/>
              </w:rPr>
              <w:t xml:space="preserve">  </w:t>
            </w:r>
            <w:r>
              <w:rPr>
                <w:rFonts w:hint="eastAsia" w:ascii="Times New Roman" w:hAnsi="Times New Roman" w:eastAsia="宋体"/>
                <w:b/>
                <w:bCs/>
                <w:sz w:val="21"/>
                <w:szCs w:val="21"/>
              </w:rPr>
              <w:t>本项目与吉林省“三线一单”的协调性分析</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9"/>
              <w:gridCol w:w="4020"/>
              <w:gridCol w:w="1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398"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项目</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环境准入及管控要求</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空间布局约束</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禁止新建、扩建《产业结构调整指导目录》（现行）明确的淘汰类项目和引入《市场准入负面清单》（现行）禁止准入类事项。引入项目应符合园区规划、规划环境影响评价和区域产业准入负面清单要求。列入《产业结构调整指导目录》淘汰类的现状企业，应制定调整计划。生态环境治理措施不符合现行生态环境保护要求、资源能源消耗高、涉及大量排放区域超标污染物或持续发生生态环境投诉的现有企业，应制定整治计划。在调整、整治过渡期内，应严格控制相关企业生产规模，禁止新增产生环境污染的产能和产品。</w:t>
                  </w:r>
                </w:p>
              </w:tc>
              <w:tc>
                <w:tcPr>
                  <w:tcW w:w="1397"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default" w:ascii="Times New Roman" w:hAnsi="Times New Roman" w:cs="Times New Roman"/>
                      <w:sz w:val="21"/>
                      <w:szCs w:val="21"/>
                      <w:lang w:val="en-US" w:eastAsia="zh-CN"/>
                    </w:rPr>
                    <w:t>本项目为社会公共安全设备及器材制造</w:t>
                  </w:r>
                  <w:r>
                    <w:rPr>
                      <w:rFonts w:hint="eastAsia" w:ascii="Times New Roman" w:hAnsi="Times New Roman" w:eastAsia="宋体" w:cs="Times New Roman"/>
                      <w:b w:val="0"/>
                      <w:color w:val="auto"/>
                      <w:kern w:val="2"/>
                      <w:sz w:val="21"/>
                      <w:szCs w:val="21"/>
                      <w:lang w:val="en-US" w:eastAsia="zh-CN" w:bidi="ar-SA"/>
                    </w:rPr>
                    <w:t>，</w:t>
                  </w:r>
                  <w:r>
                    <w:rPr>
                      <w:rFonts w:hint="default" w:ascii="Times New Roman" w:hAnsi="Times New Roman" w:cs="Times New Roman"/>
                      <w:b w:val="0"/>
                      <w:bCs/>
                      <w:i w:val="0"/>
                      <w:iCs/>
                      <w:sz w:val="21"/>
                      <w:szCs w:val="21"/>
                      <w:u w:val="none"/>
                    </w:rPr>
                    <w:t>位于北湖科技开发区</w:t>
                  </w:r>
                  <w:r>
                    <w:rPr>
                      <w:rFonts w:hint="default" w:ascii="Times New Roman" w:hAnsi="Times New Roman" w:cs="Times New Roman"/>
                      <w:b w:val="0"/>
                      <w:bCs/>
                      <w:i w:val="0"/>
                      <w:iCs/>
                      <w:sz w:val="21"/>
                      <w:szCs w:val="21"/>
                      <w:u w:val="none"/>
                      <w:lang w:val="en-US" w:eastAsia="zh-CN"/>
                    </w:rPr>
                    <w:t>内</w:t>
                  </w:r>
                  <w:r>
                    <w:rPr>
                      <w:rFonts w:hint="eastAsia" w:cs="Times New Roman"/>
                      <w:b w:val="0"/>
                      <w:bCs/>
                      <w:i w:val="0"/>
                      <w:iCs/>
                      <w:sz w:val="21"/>
                      <w:szCs w:val="21"/>
                      <w:u w:val="none"/>
                      <w:lang w:val="en-US" w:eastAsia="zh-CN"/>
                    </w:rPr>
                    <w:t>，</w:t>
                  </w:r>
                  <w:r>
                    <w:rPr>
                      <w:rFonts w:hint="eastAsia" w:cs="Times New Roman"/>
                      <w:b w:val="0"/>
                      <w:color w:val="auto"/>
                      <w:kern w:val="2"/>
                      <w:sz w:val="21"/>
                      <w:szCs w:val="21"/>
                      <w:lang w:val="en-US" w:eastAsia="zh-CN" w:bidi="ar-SA"/>
                    </w:rPr>
                    <w:t>同时项目建设1</w:t>
                  </w:r>
                  <w:r>
                    <w:rPr>
                      <w:rFonts w:hint="eastAsia" w:ascii="Times New Roman" w:hAnsi="Times New Roman" w:eastAsia="宋体" w:cs="Times New Roman"/>
                      <w:b w:val="0"/>
                      <w:color w:val="auto"/>
                      <w:kern w:val="2"/>
                      <w:sz w:val="21"/>
                      <w:szCs w:val="21"/>
                      <w:lang w:val="en-US" w:eastAsia="zh-CN" w:bidi="ar-SA"/>
                    </w:rPr>
                    <w:t>台</w:t>
                  </w:r>
                  <w:r>
                    <w:rPr>
                      <w:rFonts w:hint="eastAsia" w:cs="Times New Roman"/>
                      <w:b w:val="0"/>
                      <w:color w:val="auto"/>
                      <w:kern w:val="2"/>
                      <w:sz w:val="21"/>
                      <w:szCs w:val="21"/>
                      <w:lang w:val="en-US" w:eastAsia="zh-CN" w:bidi="ar-SA"/>
                    </w:rPr>
                    <w:t>4</w:t>
                  </w:r>
                  <w:r>
                    <w:rPr>
                      <w:rFonts w:hint="eastAsia" w:ascii="Times New Roman" w:hAnsi="Times New Roman" w:eastAsia="宋体" w:cs="Times New Roman"/>
                      <w:b w:val="0"/>
                      <w:color w:val="auto"/>
                      <w:kern w:val="2"/>
                      <w:sz w:val="21"/>
                      <w:szCs w:val="21"/>
                      <w:lang w:val="en-US" w:eastAsia="zh-CN" w:bidi="ar-SA"/>
                    </w:rPr>
                    <w:t>t/h燃气热水锅炉</w:t>
                  </w:r>
                  <w:r>
                    <w:rPr>
                      <w:rFonts w:hint="eastAsia" w:cs="Times New Roman"/>
                      <w:b w:val="0"/>
                      <w:color w:val="auto"/>
                      <w:kern w:val="2"/>
                      <w:sz w:val="21"/>
                      <w:szCs w:val="21"/>
                      <w:lang w:val="en-US" w:eastAsia="zh-CN" w:bidi="ar-SA"/>
                    </w:rPr>
                    <w:t>作为冬季生活热源</w:t>
                  </w:r>
                  <w:r>
                    <w:rPr>
                      <w:rFonts w:hint="eastAsia" w:ascii="Times New Roman" w:hAnsi="Times New Roman" w:eastAsia="宋体" w:cs="Times New Roman"/>
                      <w:b w:val="0"/>
                      <w:color w:val="auto"/>
                      <w:kern w:val="2"/>
                      <w:sz w:val="21"/>
                      <w:szCs w:val="21"/>
                      <w:lang w:val="en-US" w:eastAsia="zh-CN" w:bidi="ar-SA"/>
                    </w:rPr>
                    <w:t>，燃料为天然气</w:t>
                  </w:r>
                  <w:r>
                    <w:rPr>
                      <w:rFonts w:hint="eastAsia" w:cs="Times New Roman"/>
                      <w:b w:val="0"/>
                      <w:color w:val="auto"/>
                      <w:kern w:val="2"/>
                      <w:sz w:val="21"/>
                      <w:szCs w:val="21"/>
                      <w:lang w:val="en-US" w:eastAsia="zh-CN" w:bidi="ar-SA"/>
                    </w:rPr>
                    <w:t>。本项目</w:t>
                  </w:r>
                  <w:r>
                    <w:rPr>
                      <w:rFonts w:hint="default" w:ascii="Times New Roman" w:hAnsi="Times New Roman" w:cs="Times New Roman"/>
                      <w:b w:val="0"/>
                      <w:bCs/>
                      <w:i w:val="0"/>
                      <w:iCs/>
                      <w:sz w:val="21"/>
                      <w:szCs w:val="21"/>
                      <w:u w:val="none"/>
                    </w:rPr>
                    <w:t>属于《产业结构调整指导目录（2019年本）》（国家发展和改革委员会令第29号）中</w:t>
                  </w:r>
                  <w:r>
                    <w:rPr>
                      <w:rFonts w:hint="default" w:ascii="Times New Roman" w:hAnsi="Times New Roman" w:cs="Times New Roman"/>
                      <w:b w:val="0"/>
                      <w:bCs/>
                      <w:i w:val="0"/>
                      <w:iCs/>
                      <w:sz w:val="21"/>
                      <w:szCs w:val="21"/>
                      <w:u w:val="none"/>
                      <w:lang w:val="en-US" w:eastAsia="zh-CN"/>
                    </w:rPr>
                    <w:t>允许类</w:t>
                  </w:r>
                  <w:r>
                    <w:rPr>
                      <w:rFonts w:hint="default" w:ascii="Times New Roman" w:hAnsi="Times New Roman" w:cs="Times New Roman"/>
                      <w:b w:val="0"/>
                      <w:bCs/>
                      <w:i w:val="0"/>
                      <w:iCs/>
                      <w:sz w:val="21"/>
                      <w:szCs w:val="21"/>
                      <w:u w:val="none"/>
                    </w:rPr>
                    <w:t>项目，项目建设符合国家产业政策，符合区域发展规划要求。</w:t>
                  </w:r>
                  <w:r>
                    <w:rPr>
                      <w:rFonts w:hint="default" w:ascii="Times New Roman" w:hAnsi="Times New Roman" w:eastAsia="宋体" w:cs="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环评审批和备案。老工业城市和资源型城市在防止污染转移的基础上，应积极承接有利于延伸产业链、提高技术水平、促进资源综合利用、充分吸纳就业的产业，因地制宜发展优势特色产业。严格控制钢铁、焦化、电解铝、水泥和平板玻璃等行业新增产能，列入去产能的钢铁企业退出时须一并退出配套的烧结、球团、焦炉、高炉等设备。严控尿素、磷铵、电石、烧碱、聚氯乙烯、纯碱、黄磷等过剩行业新增产能，符合政策要求的先进工艺改造提升项目应实行等量或减量置换。</w:t>
                  </w:r>
                </w:p>
              </w:tc>
              <w:tc>
                <w:tcPr>
                  <w:tcW w:w="1397"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ascii="Times New Roman" w:hAnsi="Times New Roman" w:eastAsia="宋体"/>
                      <w:sz w:val="21"/>
                      <w:szCs w:val="21"/>
                    </w:rPr>
                    <w:t>重大项目原则上布局在优化开发区和重点开发区，并符合城乡规划和土地利用总体规划。化工石化、有色冶炼、制浆造纸等可能引发环境风险的项目，以及涉及石化、化工、工业涂装等重点行业高VOCs排放的建设项目，在符合国家产业政策和清洁生产水平要求、满足污重大项目原则上布局在优化开发区和重点开发区，并符合城乡规划和土地利用总体规划。化工石化、有色冶炼、制浆造纸等可能引发环境风险的项目，以及涉及石化、化工、工业涂装等重点行业高VOCs排放的建设项目，在符合国家产业政策和清洁生产水平要求</w:t>
                  </w:r>
                  <w:r>
                    <w:rPr>
                      <w:rFonts w:hint="eastAsia" w:ascii="Times New Roman" w:hAnsi="Times New Roman" w:eastAsia="宋体"/>
                      <w:sz w:val="21"/>
                      <w:szCs w:val="21"/>
                      <w:lang w:eastAsia="zh-CN"/>
                    </w:rPr>
                    <w:t>。</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重大项目原则上布局在优化开发区和重点开发区，并符合城乡规划和土地利用总体规划。化工石化、有色冶炼、制浆造纸等可能引发环境风险的项目，以及涉及石化、化工、工业涂装等重点行业高VOCs排放的建设项目，在符合国家产业政策和清洁生产水平要求</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污染物排放管控</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落实主要污染物总量控制和排污许可制度。新建、改建、扩建重点行业建设项目实行主要污染物排放减量置换。严格涉VOCs建设项目环境影响评价，逐步推进区域内VOCs排放等量或倍量削减替代。</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空气质量未达标地区新建项目涉及二氧化硫、氮氧化物、颗粒物、挥发性有机物（VOCs）全面执行大气污染物特别排放限值。</w:t>
                  </w:r>
                </w:p>
              </w:tc>
              <w:tc>
                <w:tcPr>
                  <w:tcW w:w="1397" w:type="pct"/>
                  <w:shd w:val="clear" w:color="auto" w:fill="auto"/>
                  <w:vAlign w:val="center"/>
                </w:tcPr>
                <w:p>
                  <w:pPr>
                    <w:autoSpaceDE w:val="0"/>
                    <w:autoSpaceDN w:val="0"/>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符合，本项目锅炉烟气执行《锅炉大气污染物排放标准》（GB13271-2014）中特别排放限值要求。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推行秸秆全量化处置，持续推进秸秆肥料化、饲料化、能源化、基料化和原料化，逐步形成秸秆综合利用的长效机制。</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推行秸秆全量化处置，持续推进秸秆肥料化、饲料化、能源化、基料化和原料化，逐步形成秸秆综合利用的长效机制。</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新建、改建、扩建规模化畜禽养殖场（小区）要实施雨污分流和粪便污水资源化利用。</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环境风险防控</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到2025年，城镇人口密集区现有不符合防护距离要求的危险化学品生产企业就地改造达标、搬迁进入规范化工园区或关闭退出，企业安全和环境风险大幅降低。</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加快完成饮用水水源保护区划界立标、隔离防护等规范化建设，拆除、关闭保护区内排污口和违法建设项目，完善风险防控与应急能力建设和相关管理措施，保证饮用水水源水质达标和水源安全。</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资源利用要求</w:t>
                  </w: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98"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3203"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ascii="Times New Roman" w:hAnsi="Times New Roman" w:eastAsia="宋体"/>
                      <w:sz w:val="21"/>
                      <w:szCs w:val="21"/>
                    </w:rPr>
                    <w:t>按照《吉林省黑土地保护条例》实施黑土地保护，加大黑土区水土流失治理力度，发展保护性耕作，促进黑土地可持续发展。</w:t>
                  </w:r>
                </w:p>
              </w:tc>
              <w:tc>
                <w:tcPr>
                  <w:tcW w:w="1397"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bl>
          <w:p>
            <w:pPr>
              <w:snapToGrid w:val="0"/>
              <w:spacing w:line="360" w:lineRule="auto"/>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根据《长春市人民政府关于实施“三线一单”生态环境分区管控的意见》（长府函〔2021〕62号），以习近平生态文明思想为指导，全面贯彻党的十九大和十九届二中、三中、四中、五中全会精神，充分衔接《长春市国民经济和社会发展第十四个五年规划和2035年远景目标纲要》，在吉林省环境管控单元划定成果和生态环境分区管控的总体要求框架下，进一步细化管控要求，形成长春市生态环境准入清单，实现长春市以“三线一单”为核心的生态环境分区管控体系。</w:t>
            </w:r>
          </w:p>
          <w:p>
            <w:pPr>
              <w:snapToGrid w:val="0"/>
              <w:jc w:val="center"/>
              <w:rPr>
                <w:rFonts w:ascii="Times New Roman" w:hAnsi="Times New Roman" w:eastAsia="宋体"/>
                <w:b/>
                <w:bCs/>
                <w:sz w:val="21"/>
                <w:szCs w:val="21"/>
              </w:rPr>
            </w:pPr>
            <w:r>
              <w:rPr>
                <w:rFonts w:hint="eastAsia" w:ascii="Times New Roman" w:hAnsi="Times New Roman" w:eastAsia="宋体"/>
                <w:b/>
                <w:bCs/>
                <w:sz w:val="21"/>
                <w:szCs w:val="21"/>
              </w:rPr>
              <w:t>表</w:t>
            </w:r>
            <w:r>
              <w:rPr>
                <w:rFonts w:hint="eastAsia"/>
                <w:b/>
                <w:bCs/>
                <w:sz w:val="21"/>
                <w:szCs w:val="21"/>
                <w:lang w:val="en-US" w:eastAsia="zh-CN"/>
              </w:rPr>
              <w:t>1-</w:t>
            </w:r>
            <w:r>
              <w:rPr>
                <w:rFonts w:hint="eastAsia" w:ascii="Times New Roman" w:hAnsi="Times New Roman" w:eastAsia="宋体"/>
                <w:b/>
                <w:bCs/>
                <w:sz w:val="21"/>
                <w:szCs w:val="21"/>
                <w:lang w:val="en-US" w:eastAsia="zh-CN"/>
              </w:rPr>
              <w:t>2</w:t>
            </w:r>
            <w:r>
              <w:rPr>
                <w:rFonts w:ascii="Times New Roman" w:hAnsi="Times New Roman" w:eastAsia="宋体"/>
                <w:b/>
                <w:bCs/>
                <w:sz w:val="21"/>
                <w:szCs w:val="21"/>
              </w:rPr>
              <w:t xml:space="preserve">  </w:t>
            </w:r>
            <w:r>
              <w:rPr>
                <w:rFonts w:hint="eastAsia" w:ascii="Times New Roman" w:hAnsi="Times New Roman" w:eastAsia="宋体"/>
                <w:b/>
                <w:bCs/>
                <w:sz w:val="21"/>
                <w:szCs w:val="21"/>
              </w:rPr>
              <w:t>本项目与长春市“三线一单”的协调性分析</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53"/>
              <w:gridCol w:w="2812"/>
              <w:gridCol w:w="21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项目</w:t>
                  </w:r>
                </w:p>
              </w:tc>
              <w:tc>
                <w:tcPr>
                  <w:tcW w:w="2682" w:type="pct"/>
                  <w:gridSpan w:val="2"/>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环境准入及管控要求</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pct"/>
                  <w:shd w:val="clear" w:color="auto" w:fill="auto"/>
                  <w:vAlign w:val="center"/>
                </w:tcPr>
                <w:p>
                  <w:pPr>
                    <w:autoSpaceDE w:val="0"/>
                    <w:autoSpaceDN w:val="0"/>
                    <w:adjustRightInd w:val="0"/>
                    <w:snapToGrid w:val="0"/>
                    <w:jc w:val="center"/>
                    <w:rPr>
                      <w:rFonts w:ascii="Times New Roman" w:hAnsi="Times New Roman" w:eastAsia="宋体"/>
                      <w:color w:val="auto"/>
                      <w:sz w:val="21"/>
                      <w:szCs w:val="21"/>
                    </w:rPr>
                  </w:pPr>
                  <w:r>
                    <w:rPr>
                      <w:rFonts w:hint="eastAsia" w:ascii="Times New Roman" w:hAnsi="Times New Roman" w:eastAsia="宋体"/>
                      <w:color w:val="auto"/>
                      <w:sz w:val="21"/>
                      <w:szCs w:val="21"/>
                    </w:rPr>
                    <w:t>管控领域</w:t>
                  </w:r>
                </w:p>
              </w:tc>
              <w:tc>
                <w:tcPr>
                  <w:tcW w:w="2682" w:type="pct"/>
                  <w:gridSpan w:val="2"/>
                  <w:shd w:val="clear" w:color="auto" w:fill="auto"/>
                  <w:vAlign w:val="center"/>
                </w:tcPr>
                <w:p>
                  <w:pPr>
                    <w:autoSpaceDE w:val="0"/>
                    <w:autoSpaceDN w:val="0"/>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区域划分为优先保护单元、重点保护单元、一般管控单元。</w:t>
                  </w:r>
                </w:p>
              </w:tc>
              <w:tc>
                <w:tcPr>
                  <w:tcW w:w="1705" w:type="pct"/>
                  <w:shd w:val="clear" w:color="auto" w:fill="auto"/>
                  <w:vAlign w:val="center"/>
                </w:tcPr>
                <w:p>
                  <w:pPr>
                    <w:autoSpaceDE w:val="0"/>
                    <w:autoSpaceDN w:val="0"/>
                    <w:adjustRightInd w:val="0"/>
                    <w:snapToGrid w:val="0"/>
                    <w:jc w:val="center"/>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rPr>
                    <w:t>经查《长春市“三线一单”生态环境分区管控的实施意见》，长春市环境管控单元分布图，本项目区域位于重点管控单元</w:t>
                  </w:r>
                  <w:r>
                    <w:rPr>
                      <w:rFonts w:hint="eastAsia"/>
                      <w:color w:val="auto"/>
                      <w:sz w:val="21"/>
                      <w:szCs w:val="21"/>
                      <w:lang w:eastAsia="zh-CN"/>
                    </w:rPr>
                    <w:t>。</w:t>
                  </w:r>
                  <w:r>
                    <w:rPr>
                      <w:rFonts w:hint="eastAsia"/>
                      <w:color w:val="auto"/>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空间布局约束</w:t>
                  </w:r>
                </w:p>
              </w:tc>
              <w:tc>
                <w:tcPr>
                  <w:tcW w:w="2682" w:type="pct"/>
                  <w:gridSpan w:val="2"/>
                  <w:shd w:val="clear" w:color="auto" w:fill="auto"/>
                  <w:vAlign w:val="center"/>
                </w:tcPr>
                <w:p>
                  <w:pPr>
                    <w:pStyle w:val="40"/>
                    <w:spacing w:before="24" w:after="24"/>
                    <w:contextualSpacing/>
                    <w:rPr>
                      <w:rFonts w:ascii="Times New Roman" w:hAnsi="Times New Roman" w:eastAsia="宋体"/>
                      <w:sz w:val="21"/>
                      <w:szCs w:val="21"/>
                    </w:rPr>
                  </w:pPr>
                  <w:r>
                    <w:rPr>
                      <w:rFonts w:hint="eastAsia" w:ascii="Times New Roman" w:hAnsi="Times New Roman" w:eastAsia="宋体"/>
                      <w:sz w:val="21"/>
                      <w:szCs w:val="21"/>
                    </w:rPr>
                    <w:t>严格按照产业结构调整指导目录等相关政策要求，结合区域生态环境保护要求，确定具体措施。对有条件的地区，宜优先提出整合重组、升级改造任务；对存在高污染企业的水污染严重地区、敏感区域、城市建成区、提出退城入园、异地搬迁等任务；对落后产能，提出淘汰关闭任务。</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本项目不属于《产业结构调整指导目录》（2019年本）列出的“淘汰类”、“限制类”目录内，同时项目营运期使用的设备不属于淘汰类设备。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682" w:type="pct"/>
                  <w:gridSpan w:val="2"/>
                  <w:shd w:val="clear" w:color="auto" w:fill="auto"/>
                  <w:vAlign w:val="center"/>
                </w:tcPr>
                <w:p>
                  <w:pPr>
                    <w:pStyle w:val="40"/>
                    <w:spacing w:before="24" w:after="24"/>
                    <w:contextualSpacing/>
                    <w:rPr>
                      <w:rFonts w:ascii="Times New Roman" w:hAnsi="Times New Roman" w:eastAsia="宋体"/>
                      <w:sz w:val="21"/>
                      <w:szCs w:val="21"/>
                    </w:rPr>
                  </w:pPr>
                  <w:r>
                    <w:rPr>
                      <w:rFonts w:hint="eastAsia" w:ascii="Times New Roman" w:hAnsi="Times New Roman" w:eastAsia="宋体"/>
                      <w:sz w:val="21"/>
                      <w:szCs w:val="21"/>
                    </w:rPr>
                    <w:t>新建、扩建“两高”项目应采用先进适用的工艺技术和装备，单位产品物耗、能耗、水耗等达到清洁生产先进水平。</w:t>
                  </w:r>
                </w:p>
              </w:tc>
              <w:tc>
                <w:tcPr>
                  <w:tcW w:w="1705"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hint="eastAsia" w:ascii="Times New Roman" w:hAnsi="Times New Roman"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682" w:type="pct"/>
                  <w:gridSpan w:val="2"/>
                  <w:shd w:val="clear" w:color="auto" w:fill="auto"/>
                  <w:vAlign w:val="center"/>
                </w:tcPr>
                <w:p>
                  <w:pPr>
                    <w:contextualSpacing/>
                    <w:jc w:val="center"/>
                    <w:rPr>
                      <w:rFonts w:ascii="Times New Roman" w:hAnsi="Times New Roman" w:eastAsia="宋体"/>
                      <w:sz w:val="21"/>
                      <w:szCs w:val="21"/>
                    </w:rPr>
                  </w:pPr>
                  <w:r>
                    <w:rPr>
                      <w:rFonts w:hint="eastAsia" w:ascii="Times New Roman" w:hAnsi="Times New Roman" w:eastAsia="宋体"/>
                      <w:sz w:val="21"/>
                      <w:szCs w:val="21"/>
                    </w:rPr>
                    <w:t>市区及榆树市、农安县、德惠市、公主岭市建成区原则上不再新建单台容量</w:t>
                  </w:r>
                  <w:r>
                    <w:rPr>
                      <w:rFonts w:ascii="Times New Roman" w:hAnsi="Times New Roman" w:eastAsia="宋体"/>
                      <w:sz w:val="21"/>
                      <w:szCs w:val="21"/>
                    </w:rPr>
                    <w:t>29</w:t>
                  </w:r>
                  <w:r>
                    <w:rPr>
                      <w:rFonts w:hint="eastAsia" w:ascii="Times New Roman" w:hAnsi="Times New Roman" w:eastAsia="宋体"/>
                      <w:sz w:val="21"/>
                      <w:szCs w:val="21"/>
                    </w:rPr>
                    <w:t>兆瓦</w:t>
                  </w:r>
                  <w:r>
                    <w:rPr>
                      <w:rFonts w:ascii="Times New Roman" w:hAnsi="Times New Roman" w:eastAsia="宋体"/>
                      <w:sz w:val="21"/>
                      <w:szCs w:val="21"/>
                    </w:rPr>
                    <w:t>(40</w:t>
                  </w:r>
                  <w:r>
                    <w:rPr>
                      <w:rFonts w:hint="eastAsia" w:ascii="Times New Roman" w:hAnsi="Times New Roman" w:eastAsia="宋体"/>
                      <w:sz w:val="21"/>
                      <w:szCs w:val="21"/>
                    </w:rPr>
                    <w:t>蒸吨</w:t>
                  </w:r>
                  <w:r>
                    <w:rPr>
                      <w:rFonts w:ascii="Times New Roman" w:hAnsi="Times New Roman" w:eastAsia="宋体"/>
                      <w:sz w:val="21"/>
                      <w:szCs w:val="21"/>
                    </w:rPr>
                    <w:t>/</w:t>
                  </w:r>
                  <w:r>
                    <w:rPr>
                      <w:rFonts w:hint="eastAsia" w:ascii="Times New Roman" w:hAnsi="Times New Roman" w:eastAsia="宋体"/>
                      <w:sz w:val="21"/>
                      <w:szCs w:val="21"/>
                    </w:rPr>
                    <w:t>小时</w:t>
                  </w:r>
                  <w:r>
                    <w:rPr>
                      <w:rFonts w:ascii="Times New Roman" w:hAnsi="Times New Roman" w:eastAsia="宋体"/>
                      <w:sz w:val="21"/>
                      <w:szCs w:val="21"/>
                    </w:rPr>
                    <w:t>)</w:t>
                  </w:r>
                  <w:r>
                    <w:rPr>
                      <w:rFonts w:hint="eastAsia" w:ascii="Times New Roman" w:hAnsi="Times New Roman" w:eastAsia="宋体"/>
                      <w:sz w:val="21"/>
                      <w:szCs w:val="21"/>
                    </w:rPr>
                    <w:t>以下燃煤锅炉，其他区域原则上不再新建单台容量</w:t>
                  </w:r>
                  <w:r>
                    <w:rPr>
                      <w:rFonts w:ascii="Times New Roman" w:hAnsi="Times New Roman" w:eastAsia="宋体"/>
                      <w:sz w:val="21"/>
                      <w:szCs w:val="21"/>
                    </w:rPr>
                    <w:t>14</w:t>
                  </w:r>
                  <w:r>
                    <w:rPr>
                      <w:rFonts w:hint="eastAsia" w:ascii="Times New Roman" w:hAnsi="Times New Roman" w:eastAsia="宋体"/>
                      <w:sz w:val="21"/>
                      <w:szCs w:val="21"/>
                    </w:rPr>
                    <w:t>兆瓦</w:t>
                  </w:r>
                  <w:r>
                    <w:rPr>
                      <w:rFonts w:ascii="Times New Roman" w:hAnsi="Times New Roman" w:eastAsia="宋体"/>
                      <w:sz w:val="21"/>
                      <w:szCs w:val="21"/>
                    </w:rPr>
                    <w:t>(20</w:t>
                  </w:r>
                  <w:r>
                    <w:rPr>
                      <w:rFonts w:hint="eastAsia" w:ascii="Times New Roman" w:hAnsi="Times New Roman" w:eastAsia="宋体"/>
                      <w:sz w:val="21"/>
                      <w:szCs w:val="21"/>
                    </w:rPr>
                    <w:t>蒸吨</w:t>
                  </w:r>
                  <w:r>
                    <w:rPr>
                      <w:rFonts w:ascii="Times New Roman" w:hAnsi="Times New Roman" w:eastAsia="宋体"/>
                      <w:sz w:val="21"/>
                      <w:szCs w:val="21"/>
                    </w:rPr>
                    <w:t>/</w:t>
                  </w:r>
                  <w:r>
                    <w:rPr>
                      <w:rFonts w:hint="eastAsia" w:ascii="Times New Roman" w:hAnsi="Times New Roman" w:eastAsia="宋体"/>
                      <w:sz w:val="21"/>
                      <w:szCs w:val="21"/>
                    </w:rPr>
                    <w:t>小时</w:t>
                  </w:r>
                  <w:r>
                    <w:rPr>
                      <w:rFonts w:ascii="Times New Roman" w:hAnsi="Times New Roman" w:eastAsia="宋体"/>
                      <w:sz w:val="21"/>
                      <w:szCs w:val="21"/>
                    </w:rPr>
                    <w:t>)</w:t>
                  </w:r>
                  <w:r>
                    <w:rPr>
                      <w:rFonts w:hint="eastAsia" w:ascii="Times New Roman" w:hAnsi="Times New Roman" w:eastAsia="宋体"/>
                      <w:sz w:val="21"/>
                      <w:szCs w:val="21"/>
                    </w:rPr>
                    <w:t>以下的燃煤锅炉。</w:t>
                  </w:r>
                </w:p>
              </w:tc>
              <w:tc>
                <w:tcPr>
                  <w:tcW w:w="1705"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污染物排放控制</w:t>
                  </w:r>
                </w:p>
              </w:tc>
              <w:tc>
                <w:tcPr>
                  <w:tcW w:w="441"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环境质量目标</w:t>
                  </w: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2025年全市PM2.5年均浓度达到35微克/立方米以下，城市空气质量优良天数比率达310天以上，重度及以上污染天数实现基本消除。</w:t>
                  </w:r>
                </w:p>
              </w:tc>
              <w:tc>
                <w:tcPr>
                  <w:tcW w:w="1705"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default" w:ascii="Times New Roman" w:hAnsi="Times New Roman" w:cs="Times New Roman"/>
                      <w:szCs w:val="21"/>
                      <w:lang w:val="en-US" w:eastAsia="zh-CN"/>
                    </w:rPr>
                    <w:t>本项目区域</w:t>
                  </w:r>
                  <w:r>
                    <w:rPr>
                      <w:rFonts w:hint="eastAsia" w:cs="Times New Roman"/>
                      <w:szCs w:val="21"/>
                      <w:lang w:val="en-US" w:eastAsia="zh-CN"/>
                    </w:rPr>
                    <w:t>PM</w:t>
                  </w:r>
                  <w:r>
                    <w:rPr>
                      <w:rFonts w:hint="eastAsia" w:cs="Times New Roman"/>
                      <w:szCs w:val="21"/>
                      <w:vertAlign w:val="subscript"/>
                      <w:lang w:val="en-US" w:eastAsia="zh-CN"/>
                    </w:rPr>
                    <w:t>10</w:t>
                  </w:r>
                  <w:r>
                    <w:rPr>
                      <w:rFonts w:hint="default" w:ascii="Times New Roman" w:hAnsi="Times New Roman" w:cs="Times New Roman"/>
                      <w:szCs w:val="21"/>
                    </w:rPr>
                    <w:t>年均浓度</w:t>
                  </w:r>
                  <w:r>
                    <w:rPr>
                      <w:rFonts w:hint="eastAsia" w:cs="Times New Roman"/>
                      <w:szCs w:val="21"/>
                      <w:lang w:val="en-US" w:eastAsia="zh-CN"/>
                    </w:rPr>
                    <w:t>48μ</w:t>
                  </w:r>
                  <w:r>
                    <w:rPr>
                      <w:rFonts w:hint="default" w:ascii="Times New Roman" w:hAnsi="Times New Roman" w:cs="Times New Roman"/>
                      <w:bCs/>
                      <w:kern w:val="0"/>
                      <w:szCs w:val="21"/>
                    </w:rPr>
                    <w:t>g/m</w:t>
                  </w:r>
                  <w:r>
                    <w:rPr>
                      <w:rFonts w:hint="default" w:ascii="Times New Roman" w:hAnsi="Times New Roman" w:cs="Times New Roman"/>
                      <w:bCs/>
                      <w:kern w:val="0"/>
                      <w:szCs w:val="21"/>
                      <w:vertAlign w:val="superscript"/>
                    </w:rPr>
                    <w:t>3</w:t>
                  </w:r>
                  <w:r>
                    <w:rPr>
                      <w:rStyle w:val="28"/>
                      <w:rFonts w:hint="default" w:ascii="Times New Roman" w:hAnsi="Times New Roman" w:cs="Times New Roman"/>
                      <w:kern w:val="0"/>
                      <w:szCs w:val="20"/>
                      <w:lang w:eastAsia="zh-CN"/>
                    </w:rPr>
                    <w:t>，</w:t>
                  </w:r>
                  <w:r>
                    <w:rPr>
                      <w:rStyle w:val="28"/>
                      <w:rFonts w:hint="default" w:ascii="Times New Roman" w:hAnsi="Times New Roman" w:cs="Times New Roman"/>
                      <w:kern w:val="0"/>
                      <w:szCs w:val="20"/>
                      <w:lang w:val="en-US" w:eastAsia="zh-CN"/>
                    </w:rPr>
                    <w:t>SO</w:t>
                  </w:r>
                  <w:r>
                    <w:rPr>
                      <w:rStyle w:val="28"/>
                      <w:rFonts w:hint="default" w:ascii="Times New Roman" w:hAnsi="Times New Roman" w:cs="Times New Roman"/>
                      <w:kern w:val="0"/>
                      <w:szCs w:val="20"/>
                      <w:vertAlign w:val="subscript"/>
                      <w:lang w:val="en-US" w:eastAsia="zh-CN"/>
                    </w:rPr>
                    <w:t>2</w:t>
                  </w:r>
                  <w:r>
                    <w:rPr>
                      <w:rFonts w:hint="default" w:ascii="Times New Roman" w:hAnsi="Times New Roman" w:cs="Times New Roman"/>
                      <w:szCs w:val="21"/>
                    </w:rPr>
                    <w:t>年均浓度</w:t>
                  </w:r>
                  <w:r>
                    <w:rPr>
                      <w:rStyle w:val="28"/>
                      <w:rFonts w:hint="eastAsia" w:cs="Times New Roman"/>
                      <w:kern w:val="0"/>
                      <w:szCs w:val="20"/>
                      <w:vertAlign w:val="baseline"/>
                      <w:lang w:val="en-US" w:eastAsia="zh-CN"/>
                    </w:rPr>
                    <w:t>9</w:t>
                  </w:r>
                  <w:r>
                    <w:rPr>
                      <w:rFonts w:hint="eastAsia" w:cs="Times New Roman"/>
                      <w:szCs w:val="21"/>
                      <w:lang w:val="en-US" w:eastAsia="zh-CN"/>
                    </w:rPr>
                    <w:t>μ</w:t>
                  </w:r>
                  <w:r>
                    <w:rPr>
                      <w:rFonts w:hint="default" w:ascii="Times New Roman" w:hAnsi="Times New Roman" w:cs="Times New Roman"/>
                      <w:bCs/>
                      <w:kern w:val="0"/>
                      <w:szCs w:val="21"/>
                    </w:rPr>
                    <w:t>g/m</w:t>
                  </w:r>
                  <w:r>
                    <w:rPr>
                      <w:rFonts w:hint="default" w:ascii="Times New Roman" w:hAnsi="Times New Roman" w:cs="Times New Roman"/>
                      <w:bCs/>
                      <w:kern w:val="0"/>
                      <w:szCs w:val="21"/>
                      <w:vertAlign w:val="superscript"/>
                    </w:rPr>
                    <w:t>3</w:t>
                  </w:r>
                  <w:r>
                    <w:rPr>
                      <w:rStyle w:val="28"/>
                      <w:rFonts w:hint="default" w:ascii="Times New Roman" w:hAnsi="Times New Roman" w:cs="Times New Roman"/>
                      <w:kern w:val="0"/>
                      <w:szCs w:val="20"/>
                      <w:vertAlign w:val="baseline"/>
                      <w:lang w:val="en-US" w:eastAsia="zh-CN"/>
                    </w:rPr>
                    <w:t>、NO</w:t>
                  </w:r>
                  <w:r>
                    <w:rPr>
                      <w:rStyle w:val="28"/>
                      <w:rFonts w:hint="eastAsia" w:cs="Times New Roman"/>
                      <w:kern w:val="0"/>
                      <w:szCs w:val="20"/>
                      <w:vertAlign w:val="subscript"/>
                      <w:lang w:val="en-US" w:eastAsia="zh-CN"/>
                    </w:rPr>
                    <w:t>2</w:t>
                  </w:r>
                  <w:r>
                    <w:rPr>
                      <w:rFonts w:hint="default" w:ascii="Times New Roman" w:hAnsi="Times New Roman" w:cs="Times New Roman"/>
                      <w:szCs w:val="21"/>
                    </w:rPr>
                    <w:t>年均浓度</w:t>
                  </w:r>
                  <w:r>
                    <w:rPr>
                      <w:rStyle w:val="28"/>
                      <w:rFonts w:hint="eastAsia" w:cs="Times New Roman"/>
                      <w:kern w:val="0"/>
                      <w:szCs w:val="20"/>
                      <w:vertAlign w:val="baseline"/>
                      <w:lang w:val="en-US" w:eastAsia="zh-CN"/>
                    </w:rPr>
                    <w:t>26</w:t>
                  </w:r>
                  <w:r>
                    <w:rPr>
                      <w:rFonts w:hint="eastAsia" w:cs="Times New Roman"/>
                      <w:szCs w:val="21"/>
                      <w:lang w:val="en-US" w:eastAsia="zh-CN"/>
                    </w:rPr>
                    <w:t>μ</w:t>
                  </w:r>
                  <w:r>
                    <w:rPr>
                      <w:rFonts w:hint="default" w:ascii="Times New Roman" w:hAnsi="Times New Roman" w:cs="Times New Roman"/>
                      <w:bCs/>
                      <w:kern w:val="0"/>
                      <w:szCs w:val="21"/>
                    </w:rPr>
                    <w:t>g/m</w:t>
                  </w:r>
                  <w:r>
                    <w:rPr>
                      <w:rFonts w:hint="default" w:ascii="Times New Roman" w:hAnsi="Times New Roman" w:cs="Times New Roman"/>
                      <w:bCs/>
                      <w:kern w:val="0"/>
                      <w:szCs w:val="21"/>
                      <w:vertAlign w:val="superscript"/>
                    </w:rPr>
                    <w:t>3</w:t>
                  </w:r>
                  <w:r>
                    <w:rPr>
                      <w:rFonts w:hint="default" w:ascii="Times New Roman" w:hAnsi="Times New Roman" w:cs="Times New Roman"/>
                      <w:bCs/>
                      <w:kern w:val="0"/>
                      <w:szCs w:val="21"/>
                    </w:rPr>
                    <w:t>；</w:t>
                  </w:r>
                  <w:r>
                    <w:rPr>
                      <w:rFonts w:hint="default" w:ascii="Times New Roman" w:hAnsi="Times New Roman" w:cs="Times New Roman"/>
                      <w:lang w:val="zh-CN"/>
                    </w:rPr>
                    <w:t>地表水体为</w:t>
                  </w:r>
                  <w:r>
                    <w:rPr>
                      <w:rFonts w:hint="eastAsia" w:cs="Times New Roman"/>
                      <w:lang w:val="en-US" w:eastAsia="zh-CN"/>
                    </w:rPr>
                    <w:t>伊通河</w:t>
                  </w:r>
                  <w:r>
                    <w:rPr>
                      <w:rFonts w:hint="default" w:ascii="Times New Roman" w:hAnsi="Times New Roman" w:cs="Times New Roman"/>
                    </w:rPr>
                    <w:t>。本项目废水最终</w:t>
                  </w:r>
                  <w:r>
                    <w:rPr>
                      <w:rFonts w:hint="eastAsia" w:ascii="Times New Roman" w:hAnsi="Times New Roman" w:cs="Times New Roman"/>
                      <w:lang w:val="en-US" w:eastAsia="zh-CN"/>
                    </w:rPr>
                    <w:t>运至</w:t>
                  </w:r>
                  <w:r>
                    <w:rPr>
                      <w:rFonts w:hint="default" w:ascii="Times New Roman" w:hAnsi="Times New Roman" w:cs="Times New Roman"/>
                      <w:szCs w:val="21"/>
                      <w:lang w:val="en-US" w:eastAsia="zh-CN"/>
                    </w:rPr>
                    <w:t>柏林水务长春高新污水处理有限公司</w:t>
                  </w:r>
                  <w:r>
                    <w:rPr>
                      <w:rFonts w:hint="default" w:ascii="Times New Roman" w:hAnsi="Times New Roman" w:cs="Times New Roman"/>
                      <w:szCs w:val="21"/>
                    </w:rPr>
                    <w:t>，达到《城镇污水处理厂污染物排放标准》（GB18918-2002）一级（A）标准后排入</w:t>
                  </w:r>
                  <w:r>
                    <w:rPr>
                      <w:rFonts w:hint="eastAsia" w:cs="Times New Roman"/>
                      <w:szCs w:val="21"/>
                      <w:lang w:val="en-US" w:eastAsia="zh-CN"/>
                    </w:rPr>
                    <w:t>伊通河</w:t>
                  </w:r>
                  <w:r>
                    <w:rPr>
                      <w:rFonts w:hint="default" w:ascii="Times New Roman" w:hAnsi="Times New Roman" w:cs="Times New Roman"/>
                      <w:szCs w:val="21"/>
                    </w:rPr>
                    <w:t>。</w:t>
                  </w:r>
                  <w:r>
                    <w:rPr>
                      <w:rFonts w:hint="eastAsia" w:ascii="Times New Roman" w:hAnsi="Times New Roman" w:eastAsia="宋体"/>
                      <w:sz w:val="21"/>
                      <w:szCs w:val="21"/>
                    </w:rPr>
                    <w:t>符合</w:t>
                  </w:r>
                  <w:r>
                    <w:rPr>
                      <w:rFonts w:hint="eastAsia"/>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2025年，长春地区水生态环境质量实现持续改善，全面消除劣Ⅴ类水体，地表水质量好于Ⅲ类水体比例达到31%以上，水生态功能初步恢复。石头口门水库、新立城水库、农安两家子水库等集中式饮用水水源地水质全部达到或优于Ⅲ类以上标准。</w:t>
                  </w:r>
                </w:p>
              </w:tc>
              <w:tc>
                <w:tcPr>
                  <w:tcW w:w="1705"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2025年畜禽粪污综合利用率达到95%。到2030年，受污染耕地安全利用率达到95%以上，污染地块安全利用率达到95%以上。</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污染物控制要求</w:t>
                  </w: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推进装机容量20万千瓦以下燃煤火电机组的污染治理设施超低排放改造，推动单台容量25兆瓦(35蒸吨/小时)及以上燃煤供热锅炉实施超低排放改造。</w:t>
                  </w:r>
                </w:p>
              </w:tc>
              <w:tc>
                <w:tcPr>
                  <w:tcW w:w="1705" w:type="pct"/>
                  <w:shd w:val="clear" w:color="auto" w:fill="auto"/>
                  <w:vAlign w:val="center"/>
                </w:tcPr>
                <w:p>
                  <w:pPr>
                    <w:autoSpaceDE w:val="0"/>
                    <w:autoSpaceDN w:val="0"/>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长春市新建项目主要污染物全面执行大气污染物特别排放限值，执行期限根据大气环境质量状况和相关文件要求确定。</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lang w:val="en-US" w:eastAsia="zh-CN"/>
                    </w:rPr>
                    <w:t>符合，本项目锅炉烟气执行《锅炉大气污染物排放标准》（GB13271-2014）中特别排放限值要求。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深入推进石化、化工、工业涂装、包装印刷和油品储运</w:t>
                  </w:r>
                  <w:r>
                    <w:rPr>
                      <w:rFonts w:hint="eastAsia" w:ascii="Times New Roman" w:hAnsi="Times New Roman" w:eastAsia="宋体"/>
                      <w:sz w:val="21"/>
                      <w:szCs w:val="21"/>
                      <w:lang w:eastAsia="zh-CN"/>
                    </w:rPr>
                    <w:t>硝</w:t>
                  </w:r>
                  <w:r>
                    <w:rPr>
                      <w:rFonts w:hint="eastAsia" w:ascii="Times New Roman" w:hAnsi="Times New Roman" w:eastAsia="宋体"/>
                      <w:sz w:val="21"/>
                      <w:szCs w:val="21"/>
                    </w:rPr>
                    <w:t>等行业挥发性有机物深度治理，加强挥发性有机物高效收集治理设施建设，实现排气筒与厂界双达标。加快推进挥发性有机物排放重点企业、产业集中园区治理和在线监控设施建设,推动挥发性有机物产品源头替代。</w:t>
                  </w:r>
                </w:p>
              </w:tc>
              <w:tc>
                <w:tcPr>
                  <w:tcW w:w="1705" w:type="pct"/>
                  <w:shd w:val="clear" w:color="auto" w:fill="auto"/>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因地制宜推进清洁供暖，减少民用散烧煤。全面摸清城中村、城乡接合部散煤底数，制定清洁取暖散煤替代方案。</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强化源头防控，鼓励企业采用先进适用的清洁生产原料、技术、工艺和装备。对排放强度高的重污染行业实施清洁化改造。</w:t>
                  </w:r>
                </w:p>
              </w:tc>
              <w:tc>
                <w:tcPr>
                  <w:tcW w:w="1705" w:type="pct"/>
                  <w:shd w:val="clear" w:color="auto" w:fill="auto"/>
                  <w:vAlign w:val="center"/>
                </w:tcPr>
                <w:p>
                  <w:pPr>
                    <w:autoSpaceDE w:val="0"/>
                    <w:autoSpaceDN w:val="0"/>
                    <w:adjustRightInd w:val="0"/>
                    <w:snapToGrid w:val="0"/>
                    <w:jc w:val="center"/>
                    <w:rPr>
                      <w:rFonts w:hint="default" w:ascii="Times New Roman" w:hAnsi="Times New Roman" w:eastAsia="宋体"/>
                      <w:sz w:val="21"/>
                      <w:szCs w:val="21"/>
                      <w:lang w:val="en-US" w:eastAsia="zh-CN"/>
                    </w:rPr>
                  </w:pPr>
                  <w:r>
                    <w:rPr>
                      <w:rFonts w:hint="eastAsia" w:ascii="Times New Roman" w:hAnsi="Times New Roman" w:eastAsia="宋体"/>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2241" w:type="pct"/>
                  <w:shd w:val="clear" w:color="auto" w:fill="auto"/>
                  <w:vAlign w:val="center"/>
                </w:tcPr>
                <w:p>
                  <w:pPr>
                    <w:jc w:val="center"/>
                    <w:rPr>
                      <w:rFonts w:ascii="Times New Roman" w:hAnsi="Times New Roman" w:eastAsia="宋体"/>
                      <w:sz w:val="21"/>
                      <w:szCs w:val="21"/>
                    </w:rPr>
                  </w:pPr>
                  <w:r>
                    <w:rPr>
                      <w:rFonts w:hint="eastAsia" w:ascii="Times New Roman" w:hAnsi="Times New Roman" w:eastAsia="宋体"/>
                      <w:sz w:val="21"/>
                      <w:szCs w:val="21"/>
                    </w:rPr>
                    <w:t>全面推进污泥处理设施能力建设，现有设施能力不足或工艺落后的要进行扩建、改建，保障污泥无害化处理处置达到国家要求。因地制宜推进污泥资源化利用。</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不涉及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restar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资源利用要求</w:t>
                  </w:r>
                </w:p>
              </w:tc>
              <w:tc>
                <w:tcPr>
                  <w:tcW w:w="4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水资源利用</w:t>
                  </w:r>
                </w:p>
              </w:tc>
              <w:tc>
                <w:tcPr>
                  <w:tcW w:w="22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2025年用水量控制在31.95亿立方米内</w:t>
                  </w:r>
                  <w:r>
                    <w:rPr>
                      <w:rFonts w:hint="eastAsia" w:ascii="Times New Roman" w:hAnsi="Times New Roman" w:eastAsia="宋体"/>
                      <w:sz w:val="21"/>
                      <w:szCs w:val="21"/>
                      <w:lang w:eastAsia="zh-CN"/>
                    </w:rPr>
                    <w:t>，</w:t>
                  </w:r>
                  <w:r>
                    <w:rPr>
                      <w:rFonts w:hint="eastAsia" w:ascii="Times New Roman" w:hAnsi="Times New Roman" w:eastAsia="宋体"/>
                      <w:sz w:val="21"/>
                      <w:szCs w:val="21"/>
                    </w:rPr>
                    <w:t>2035年用水量控制在34.53亿立方米内。</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w:t>
                  </w:r>
                  <w:r>
                    <w:rPr>
                      <w:rFonts w:ascii="Times New Roman" w:hAnsi="Times New Roman" w:eastAsia="宋体"/>
                      <w:sz w:val="21"/>
                      <w:szCs w:val="21"/>
                    </w:rPr>
                    <w:t>本项目用水量</w:t>
                  </w:r>
                  <w:r>
                    <w:rPr>
                      <w:rFonts w:hint="eastAsia" w:ascii="Times New Roman" w:hAnsi="Times New Roman" w:eastAsia="宋体"/>
                      <w:sz w:val="21"/>
                      <w:szCs w:val="21"/>
                    </w:rPr>
                    <w:t>不会突破区域符合区域水资源管理指标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土地资源利用</w:t>
                  </w:r>
                </w:p>
              </w:tc>
              <w:tc>
                <w:tcPr>
                  <w:tcW w:w="22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2025年耕地保有量、基本农田保护面积分别不得低于167.34万公顷、143.93万公顷；建设用地总规模、城乡建设用地规模不突破市定指标。</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w:t>
                  </w:r>
                  <w:r>
                    <w:rPr>
                      <w:rFonts w:ascii="Times New Roman" w:hAnsi="Times New Roman" w:eastAsia="宋体"/>
                      <w:sz w:val="21"/>
                      <w:szCs w:val="21"/>
                    </w:rPr>
                    <w:t>本项目</w:t>
                  </w:r>
                  <w:r>
                    <w:rPr>
                      <w:rFonts w:hint="eastAsia" w:ascii="Times New Roman" w:hAnsi="Times New Roman" w:eastAsia="宋体"/>
                      <w:sz w:val="21"/>
                      <w:szCs w:val="21"/>
                    </w:rPr>
                    <w:t>不会突破区域土地资源规划控制指标。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vMerge w:val="continue"/>
                  <w:shd w:val="clear" w:color="auto" w:fill="auto"/>
                  <w:vAlign w:val="center"/>
                </w:tcPr>
                <w:p>
                  <w:pPr>
                    <w:autoSpaceDE w:val="0"/>
                    <w:autoSpaceDN w:val="0"/>
                    <w:adjustRightInd w:val="0"/>
                    <w:snapToGrid w:val="0"/>
                    <w:jc w:val="center"/>
                    <w:rPr>
                      <w:rFonts w:ascii="Times New Roman" w:hAnsi="Times New Roman" w:eastAsia="宋体"/>
                      <w:sz w:val="21"/>
                      <w:szCs w:val="21"/>
                    </w:rPr>
                  </w:pPr>
                </w:p>
              </w:tc>
              <w:tc>
                <w:tcPr>
                  <w:tcW w:w="4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能源利用</w:t>
                  </w:r>
                </w:p>
              </w:tc>
              <w:tc>
                <w:tcPr>
                  <w:tcW w:w="2241"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2025年，能源消费总量、煤炭占一次能源消费总量不高于省定指标，非化石能源占能源消费总量比重不低于省定指标。</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符合。本项目不会改域能源利用结构，不会突破域能源费总量。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2"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生态保护红线</w:t>
                  </w:r>
                </w:p>
              </w:tc>
              <w:tc>
                <w:tcPr>
                  <w:tcW w:w="2682" w:type="pct"/>
                  <w:gridSpan w:val="2"/>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成果报告中环境管控单元分布图</w:t>
                  </w:r>
                </w:p>
              </w:tc>
              <w:tc>
                <w:tcPr>
                  <w:tcW w:w="1705" w:type="pct"/>
                  <w:shd w:val="clear" w:color="auto" w:fill="auto"/>
                  <w:vAlign w:val="center"/>
                </w:tcPr>
                <w:p>
                  <w:pPr>
                    <w:autoSpaceDE w:val="0"/>
                    <w:autoSpaceDN w:val="0"/>
                    <w:adjustRightInd w:val="0"/>
                    <w:snapToGrid w:val="0"/>
                    <w:jc w:val="center"/>
                    <w:rPr>
                      <w:rFonts w:ascii="Times New Roman" w:hAnsi="Times New Roman" w:eastAsia="宋体"/>
                      <w:sz w:val="21"/>
                      <w:szCs w:val="21"/>
                    </w:rPr>
                  </w:pPr>
                  <w:r>
                    <w:rPr>
                      <w:rFonts w:hint="eastAsia" w:ascii="Times New Roman" w:hAnsi="Times New Roman" w:eastAsia="宋体"/>
                      <w:sz w:val="21"/>
                      <w:szCs w:val="21"/>
                    </w:rPr>
                    <w:t>符合。本项目不在生态保护红线范围内。</w:t>
                  </w:r>
                </w:p>
              </w:tc>
            </w:tr>
          </w:tbl>
          <w:p>
            <w:pPr>
              <w:snapToGrid w:val="0"/>
              <w:jc w:val="center"/>
              <w:rPr>
                <w:rFonts w:hint="eastAsia" w:ascii="Times New Roman" w:hAnsi="Times New Roman" w:eastAsia="宋体"/>
                <w:b/>
                <w:bCs/>
                <w:sz w:val="21"/>
                <w:szCs w:val="21"/>
              </w:rPr>
            </w:pPr>
          </w:p>
          <w:p>
            <w:pPr>
              <w:snapToGrid w:val="0"/>
              <w:jc w:val="center"/>
              <w:rPr>
                <w:rFonts w:ascii="Times New Roman" w:hAnsi="Times New Roman" w:eastAsia="宋体"/>
                <w:b/>
                <w:bCs/>
                <w:sz w:val="21"/>
                <w:szCs w:val="21"/>
              </w:rPr>
            </w:pPr>
            <w:r>
              <w:rPr>
                <w:rFonts w:hint="eastAsia" w:ascii="Times New Roman" w:hAnsi="Times New Roman" w:eastAsia="宋体"/>
                <w:b/>
                <w:bCs/>
                <w:sz w:val="21"/>
                <w:szCs w:val="21"/>
              </w:rPr>
              <w:t>表</w:t>
            </w:r>
            <w:r>
              <w:rPr>
                <w:rFonts w:hint="eastAsia"/>
                <w:b/>
                <w:bCs/>
                <w:sz w:val="21"/>
                <w:szCs w:val="21"/>
                <w:lang w:val="en-US" w:eastAsia="zh-CN"/>
              </w:rPr>
              <w:t>1-3</w:t>
            </w:r>
            <w:r>
              <w:rPr>
                <w:rFonts w:ascii="Times New Roman" w:hAnsi="Times New Roman" w:eastAsia="宋体"/>
                <w:b/>
                <w:bCs/>
                <w:sz w:val="21"/>
                <w:szCs w:val="21"/>
              </w:rPr>
              <w:t xml:space="preserve">  </w:t>
            </w:r>
            <w:r>
              <w:rPr>
                <w:rFonts w:hint="eastAsia" w:ascii="Times New Roman" w:hAnsi="Times New Roman" w:eastAsia="宋体"/>
                <w:b/>
                <w:bCs/>
                <w:sz w:val="21"/>
                <w:szCs w:val="21"/>
              </w:rPr>
              <w:t>长春北湖科技开发区生态环境准入清单</w:t>
            </w:r>
          </w:p>
          <w:tbl>
            <w:tblPr>
              <w:tblStyle w:val="23"/>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82"/>
              <w:gridCol w:w="675"/>
              <w:gridCol w:w="697"/>
              <w:gridCol w:w="2175"/>
              <w:gridCol w:w="11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0"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环境管控单元编码</w:t>
                  </w:r>
                </w:p>
              </w:tc>
              <w:tc>
                <w:tcPr>
                  <w:tcW w:w="623"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环境管控单元名称</w:t>
                  </w:r>
                </w:p>
              </w:tc>
              <w:tc>
                <w:tcPr>
                  <w:tcW w:w="538"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管控单元分类</w:t>
                  </w:r>
                </w:p>
              </w:tc>
              <w:tc>
                <w:tcPr>
                  <w:tcW w:w="556"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管控类型</w:t>
                  </w:r>
                </w:p>
              </w:tc>
              <w:tc>
                <w:tcPr>
                  <w:tcW w:w="1735"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管控要求</w:t>
                  </w:r>
                </w:p>
              </w:tc>
              <w:tc>
                <w:tcPr>
                  <w:tcW w:w="955"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bCs/>
                      <w:iCs/>
                      <w:color w:val="000000"/>
                      <w:kern w:val="0"/>
                      <w:szCs w:val="21"/>
                    </w:rPr>
                  </w:pPr>
                  <w:r>
                    <w:rPr>
                      <w:rFonts w:hint="default" w:ascii="Times New Roman" w:hAnsi="Times New Roman" w:cs="Times New Roman"/>
                      <w:bCs/>
                      <w:iCs/>
                      <w:color w:val="000000"/>
                      <w:kern w:val="0"/>
                      <w:szCs w:val="21"/>
                    </w:rPr>
                    <w:t>本项目符合性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590" w:type="pct"/>
                  <w:vMerge w:val="restart"/>
                  <w:noWrap w:val="0"/>
                  <w:vAlign w:val="center"/>
                </w:tcPr>
                <w:p>
                  <w:pPr>
                    <w:keepNext w:val="0"/>
                    <w:keepLines w:val="0"/>
                    <w:pageBreakBefore w:val="0"/>
                    <w:widowControl/>
                    <w:kinsoku/>
                    <w:wordWrap/>
                    <w:overflowPunct/>
                    <w:bidi w:val="0"/>
                    <w:adjustRightInd/>
                    <w:snapToGrid/>
                    <w:jc w:val="center"/>
                    <w:rPr>
                      <w:rFonts w:hint="default" w:ascii="Times New Roman" w:hAnsi="Times New Roman" w:eastAsia="宋体" w:cs="Times New Roman"/>
                      <w:bCs/>
                      <w:iCs/>
                      <w:color w:val="000000"/>
                      <w:szCs w:val="21"/>
                      <w:lang w:eastAsia="zh-CN"/>
                    </w:rPr>
                  </w:pPr>
                  <w:r>
                    <w:rPr>
                      <w:rFonts w:hint="default" w:ascii="Times New Roman" w:hAnsi="Times New Roman" w:cs="Times New Roman"/>
                      <w:szCs w:val="21"/>
                    </w:rPr>
                    <w:t>ZH2201</w:t>
                  </w:r>
                  <w:r>
                    <w:rPr>
                      <w:rFonts w:hint="default" w:ascii="Times New Roman" w:hAnsi="Times New Roman" w:cs="Times New Roman"/>
                      <w:szCs w:val="21"/>
                      <w:lang w:val="en-US" w:eastAsia="zh-CN"/>
                    </w:rPr>
                    <w:t>13</w:t>
                  </w:r>
                  <w:r>
                    <w:rPr>
                      <w:rFonts w:hint="default" w:ascii="Times New Roman" w:hAnsi="Times New Roman" w:cs="Times New Roman"/>
                      <w:szCs w:val="21"/>
                    </w:rPr>
                    <w:t>2000</w:t>
                  </w:r>
                  <w:r>
                    <w:rPr>
                      <w:rFonts w:hint="default" w:ascii="Times New Roman" w:hAnsi="Times New Roman" w:cs="Times New Roman"/>
                      <w:szCs w:val="21"/>
                      <w:lang w:val="en-US" w:eastAsia="zh-CN"/>
                    </w:rPr>
                    <w:t>3</w:t>
                  </w:r>
                </w:p>
              </w:tc>
              <w:tc>
                <w:tcPr>
                  <w:tcW w:w="623" w:type="pct"/>
                  <w:vMerge w:val="restar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长春</w:t>
                  </w:r>
                  <w:r>
                    <w:rPr>
                      <w:rFonts w:hint="default" w:ascii="Times New Roman" w:hAnsi="Times New Roman" w:cs="Times New Roman"/>
                      <w:bCs/>
                      <w:iCs/>
                      <w:color w:val="000000"/>
                      <w:szCs w:val="21"/>
                      <w:lang w:val="en-US" w:eastAsia="zh-CN"/>
                    </w:rPr>
                    <w:t>北湖科技</w:t>
                  </w:r>
                  <w:r>
                    <w:rPr>
                      <w:rFonts w:hint="default" w:ascii="Times New Roman" w:hAnsi="Times New Roman" w:cs="Times New Roman"/>
                      <w:bCs/>
                      <w:iCs/>
                      <w:color w:val="000000"/>
                      <w:szCs w:val="21"/>
                    </w:rPr>
                    <w:t>开发区</w:t>
                  </w:r>
                </w:p>
              </w:tc>
              <w:tc>
                <w:tcPr>
                  <w:tcW w:w="538" w:type="pct"/>
                  <w:vMerge w:val="restar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2</w:t>
                  </w:r>
                  <w:r>
                    <w:rPr>
                      <w:rFonts w:hint="eastAsia" w:ascii="Times New Roman" w:hAnsi="Times New Roman" w:cs="Times New Roman"/>
                      <w:bCs/>
                      <w:iCs/>
                      <w:color w:val="000000"/>
                      <w:szCs w:val="21"/>
                      <w:lang w:eastAsia="zh-CN"/>
                    </w:rPr>
                    <w:t>－</w:t>
                  </w:r>
                  <w:r>
                    <w:rPr>
                      <w:rFonts w:hint="default" w:ascii="Times New Roman" w:hAnsi="Times New Roman" w:cs="Times New Roman"/>
                      <w:bCs/>
                      <w:iCs/>
                      <w:color w:val="000000"/>
                      <w:szCs w:val="21"/>
                    </w:rPr>
                    <w:t>重点管控</w:t>
                  </w:r>
                </w:p>
              </w:tc>
              <w:tc>
                <w:tcPr>
                  <w:tcW w:w="556"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eastAsia="宋体" w:cs="Times New Roman"/>
                      <w:bCs/>
                      <w:iCs/>
                      <w:color w:val="000000"/>
                      <w:szCs w:val="21"/>
                      <w:lang w:eastAsia="zh-CN"/>
                    </w:rPr>
                  </w:pPr>
                  <w:r>
                    <w:rPr>
                      <w:rFonts w:hint="default" w:ascii="Times New Roman" w:hAnsi="Times New Roman" w:cs="Times New Roman"/>
                      <w:bCs/>
                      <w:iCs/>
                      <w:color w:val="000000"/>
                      <w:szCs w:val="21"/>
                      <w:lang w:val="en-US" w:eastAsia="zh-CN"/>
                    </w:rPr>
                    <w:t>空间布局约束</w:t>
                  </w:r>
                </w:p>
              </w:tc>
              <w:tc>
                <w:tcPr>
                  <w:tcW w:w="1735" w:type="pct"/>
                  <w:noWrap w:val="0"/>
                  <w:vAlign w:val="center"/>
                </w:tcPr>
                <w:p>
                  <w:pPr>
                    <w:keepNext w:val="0"/>
                    <w:keepLines w:val="0"/>
                    <w:pageBreakBefore w:val="0"/>
                    <w:widowControl/>
                    <w:suppressLineNumbers w:val="0"/>
                    <w:kinsoku/>
                    <w:wordWrap/>
                    <w:overflowPunct/>
                    <w:bidi w:val="0"/>
                    <w:adjustRightInd/>
                    <w:snapToGrid/>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1.禁止含双对氯苯基三氯乙烷、三丁基锡、全氟辛酸及其盐类、全氟辛烷磺酸、红丹等有害物质的涂料；含苯类、苯酚、苯甲醛和二（三）氯甲烷的脱漆剂，立德粉，聚氯乙烯建筑防水接缝材料</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焦油型</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的化工材料产业。</w:t>
                  </w:r>
                </w:p>
                <w:p>
                  <w:pPr>
                    <w:keepNext w:val="0"/>
                    <w:keepLines w:val="0"/>
                    <w:pageBreakBefore w:val="0"/>
                    <w:widowControl/>
                    <w:suppressLineNumbers w:val="0"/>
                    <w:kinsoku/>
                    <w:wordWrap/>
                    <w:overflowPunct/>
                    <w:bidi w:val="0"/>
                    <w:adjustRightInd/>
                    <w:snapToGrid/>
                    <w:jc w:val="both"/>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2.禁止新建高毒、高残留以及对环境影响大的农药原药生产装置产业。</w:t>
                  </w:r>
                </w:p>
                <w:p>
                  <w:pPr>
                    <w:keepNext w:val="0"/>
                    <w:keepLines w:val="0"/>
                    <w:pageBreakBefore w:val="0"/>
                    <w:widowControl/>
                    <w:suppressLineNumbers w:val="0"/>
                    <w:kinsoku/>
                    <w:wordWrap/>
                    <w:overflowPunct/>
                    <w:bidi w:val="0"/>
                    <w:adjustRightInd/>
                    <w:snapToGrid/>
                    <w:jc w:val="both"/>
                    <w:rPr>
                      <w:rFonts w:hint="default" w:ascii="Times New Roman" w:hAnsi="Times New Roman" w:cs="Times New Roman"/>
                      <w:bCs/>
                      <w:iCs/>
                      <w:color w:val="000000"/>
                      <w:szCs w:val="21"/>
                    </w:rPr>
                  </w:pPr>
                  <w:r>
                    <w:rPr>
                      <w:rFonts w:hint="default" w:ascii="Times New Roman" w:hAnsi="Times New Roman" w:eastAsia="宋体" w:cs="Times New Roman"/>
                      <w:color w:val="000000"/>
                      <w:kern w:val="0"/>
                      <w:sz w:val="21"/>
                      <w:szCs w:val="21"/>
                      <w:lang w:val="en-US" w:eastAsia="zh-CN" w:bidi="ar"/>
                    </w:rPr>
                    <w:t>3.禁止造成恶臭污染的橡胶和塑料制品业及重金属污染的铅蓄电池行业。</w:t>
                  </w:r>
                </w:p>
              </w:tc>
              <w:tc>
                <w:tcPr>
                  <w:tcW w:w="95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本项目为</w:t>
                  </w:r>
                  <w:r>
                    <w:rPr>
                      <w:rFonts w:hint="default" w:ascii="Times New Roman" w:hAnsi="Times New Roman" w:cs="Times New Roman"/>
                      <w:sz w:val="21"/>
                      <w:szCs w:val="21"/>
                      <w:lang w:val="en-US" w:eastAsia="zh-CN"/>
                    </w:rPr>
                    <w:t>社会公共安全设备及器材制造</w:t>
                  </w:r>
                  <w:r>
                    <w:rPr>
                      <w:rFonts w:hint="default" w:ascii="Times New Roman" w:hAnsi="Times New Roman" w:cs="Times New Roman"/>
                      <w:szCs w:val="21"/>
                      <w:lang w:val="en-US" w:eastAsia="zh-CN"/>
                    </w:rPr>
                    <w:t>，</w:t>
                  </w:r>
                  <w:r>
                    <w:rPr>
                      <w:rFonts w:hint="eastAsia" w:cs="Times New Roman"/>
                      <w:szCs w:val="21"/>
                      <w:lang w:val="en-US" w:eastAsia="zh-CN"/>
                    </w:rPr>
                    <w:t>不属于禁止入园的项目，</w:t>
                  </w:r>
                  <w:r>
                    <w:rPr>
                      <w:rFonts w:hint="default" w:ascii="Times New Roman" w:hAnsi="Times New Roman" w:cs="Times New Roman"/>
                      <w:szCs w:val="21"/>
                      <w:lang w:val="en-US" w:eastAsia="zh-CN"/>
                    </w:rPr>
                    <w:t>对环境影响较小</w:t>
                  </w:r>
                  <w:r>
                    <w:rPr>
                      <w:rFonts w:hint="default" w:ascii="Times New Roman" w:hAnsi="Times New Roman" w:cs="Times New Roman"/>
                      <w:bCs/>
                      <w:iCs/>
                      <w:color w:val="00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90"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szCs w:val="21"/>
                    </w:rPr>
                  </w:pPr>
                </w:p>
              </w:tc>
              <w:tc>
                <w:tcPr>
                  <w:tcW w:w="623"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38"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56"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2"/>
                      <w:sz w:val="21"/>
                      <w:szCs w:val="21"/>
                      <w:lang w:val="en-US" w:eastAsia="zh-CN" w:bidi="ar-SA"/>
                    </w:rPr>
                  </w:pPr>
                  <w:r>
                    <w:rPr>
                      <w:rFonts w:hint="default" w:ascii="Times New Roman" w:hAnsi="Times New Roman" w:cs="Times New Roman"/>
                      <w:bCs/>
                      <w:iCs/>
                      <w:color w:val="000000"/>
                      <w:szCs w:val="21"/>
                    </w:rPr>
                    <w:t>污染物排放管控</w:t>
                  </w:r>
                </w:p>
              </w:tc>
              <w:tc>
                <w:tcPr>
                  <w:tcW w:w="173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2"/>
                      <w:sz w:val="21"/>
                      <w:szCs w:val="21"/>
                      <w:lang w:val="en-US" w:eastAsia="zh-CN" w:bidi="ar-SA"/>
                    </w:rPr>
                  </w:pPr>
                  <w:r>
                    <w:rPr>
                      <w:rFonts w:hint="default" w:ascii="Times New Roman" w:hAnsi="Times New Roman" w:cs="Times New Roman"/>
                      <w:kern w:val="0"/>
                      <w:szCs w:val="21"/>
                    </w:rPr>
                    <w:t>重点行业污染治理升级改造，推进各类园区循环化改造；强化堆场扬尘控制。</w:t>
                  </w:r>
                </w:p>
              </w:tc>
              <w:tc>
                <w:tcPr>
                  <w:tcW w:w="95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kern w:val="2"/>
                      <w:sz w:val="21"/>
                      <w:szCs w:val="21"/>
                      <w:lang w:val="en-US" w:eastAsia="zh-CN" w:bidi="ar-SA"/>
                    </w:rPr>
                  </w:pPr>
                  <w:r>
                    <w:rPr>
                      <w:rFonts w:hint="default" w:ascii="Times New Roman" w:hAnsi="Times New Roman" w:cs="Times New Roman"/>
                      <w:bCs/>
                      <w:iCs/>
                      <w:color w:val="000000"/>
                      <w:szCs w:val="21"/>
                    </w:rPr>
                    <w:t>本项目为</w:t>
                  </w:r>
                  <w:r>
                    <w:rPr>
                      <w:rFonts w:hint="default" w:ascii="Times New Roman" w:hAnsi="Times New Roman" w:cs="Times New Roman"/>
                      <w:sz w:val="21"/>
                      <w:szCs w:val="21"/>
                      <w:lang w:val="en-US" w:eastAsia="zh-CN"/>
                    </w:rPr>
                    <w:t>社会公共安全设备及器材制造</w:t>
                  </w:r>
                  <w:r>
                    <w:rPr>
                      <w:rFonts w:hint="default" w:ascii="Times New Roman" w:hAnsi="Times New Roman" w:cs="Times New Roman"/>
                      <w:szCs w:val="21"/>
                      <w:lang w:val="en-US" w:eastAsia="zh-CN"/>
                    </w:rPr>
                    <w:t>，不属于重点行业</w:t>
                  </w:r>
                  <w:r>
                    <w:rPr>
                      <w:rFonts w:hint="default" w:ascii="Times New Roman" w:hAnsi="Times New Roman" w:cs="Times New Roman"/>
                      <w:bCs/>
                      <w:iCs/>
                      <w:color w:val="00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590"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623"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38" w:type="pct"/>
                  <w:vMerge w:val="continue"/>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p>
              </w:tc>
              <w:tc>
                <w:tcPr>
                  <w:tcW w:w="556" w:type="pct"/>
                  <w:noWrap w:val="0"/>
                  <w:vAlign w:val="center"/>
                </w:tcPr>
                <w:p>
                  <w:pPr>
                    <w:keepNext w:val="0"/>
                    <w:keepLines w:val="0"/>
                    <w:pageBreakBefore w:val="0"/>
                    <w:kinsoku/>
                    <w:wordWrap/>
                    <w:overflowPunct/>
                    <w:bidi w:val="0"/>
                    <w:adjustRightInd/>
                    <w:snapToGrid/>
                    <w:jc w:val="left"/>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bCs/>
                      <w:iCs/>
                      <w:color w:val="000000"/>
                      <w:szCs w:val="21"/>
                    </w:rPr>
                    <w:t>资源开发效率</w:t>
                  </w:r>
                </w:p>
              </w:tc>
              <w:tc>
                <w:tcPr>
                  <w:tcW w:w="1735" w:type="pct"/>
                  <w:noWrap w:val="0"/>
                  <w:vAlign w:val="center"/>
                </w:tcPr>
                <w:p>
                  <w:pPr>
                    <w:keepNext w:val="0"/>
                    <w:keepLines w:val="0"/>
                    <w:pageBreakBefore w:val="0"/>
                    <w:kinsoku/>
                    <w:wordWrap/>
                    <w:overflowPunct/>
                    <w:bidi w:val="0"/>
                    <w:adjustRightInd/>
                    <w:snapToGrid/>
                    <w:jc w:val="center"/>
                    <w:rPr>
                      <w:rFonts w:hint="default" w:ascii="Times New Roman" w:hAnsi="Times New Roman" w:eastAsia="仿宋_GB2312" w:cs="Times New Roman"/>
                      <w:kern w:val="2"/>
                      <w:sz w:val="20"/>
                      <w:szCs w:val="20"/>
                      <w:highlight w:val="yellow"/>
                      <w:lang w:val="en-US" w:eastAsia="zh-CN" w:bidi="ar-SA"/>
                    </w:rPr>
                  </w:pPr>
                  <w:r>
                    <w:rPr>
                      <w:rFonts w:hint="default" w:ascii="Times New Roman" w:hAnsi="Times New Roman" w:cs="Times New Roman"/>
                      <w:szCs w:val="21"/>
                    </w:rPr>
                    <w:t>推广园区集中供热，园区新建供热设施须执行特别排放限值。</w:t>
                  </w:r>
                </w:p>
              </w:tc>
              <w:tc>
                <w:tcPr>
                  <w:tcW w:w="955" w:type="pct"/>
                  <w:noWrap w:val="0"/>
                  <w:vAlign w:val="center"/>
                </w:tcPr>
                <w:p>
                  <w:pPr>
                    <w:keepNext w:val="0"/>
                    <w:keepLines w:val="0"/>
                    <w:pageBreakBefore w:val="0"/>
                    <w:widowControl/>
                    <w:kinsoku/>
                    <w:wordWrap/>
                    <w:overflowPunct/>
                    <w:bidi w:val="0"/>
                    <w:adjustRightInd/>
                    <w:snapToGrid/>
                    <w:jc w:val="left"/>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szCs w:val="21"/>
                    </w:rPr>
                    <w:t>本项目</w:t>
                  </w:r>
                  <w:r>
                    <w:rPr>
                      <w:rFonts w:hint="default" w:ascii="Times New Roman" w:hAnsi="Times New Roman" w:cs="Times New Roman"/>
                      <w:kern w:val="0"/>
                      <w:szCs w:val="21"/>
                      <w:lang w:val="en-US" w:eastAsia="zh-CN" w:bidi="ar"/>
                    </w:rPr>
                    <w:t>为</w:t>
                  </w:r>
                  <w:r>
                    <w:rPr>
                      <w:rFonts w:hint="default" w:ascii="Times New Roman" w:hAnsi="Times New Roman" w:cs="Times New Roman"/>
                      <w:sz w:val="21"/>
                      <w:szCs w:val="21"/>
                      <w:lang w:val="en-US" w:eastAsia="zh-CN"/>
                    </w:rPr>
                    <w:t>社会公共安全设备及器材制造</w:t>
                  </w:r>
                  <w:r>
                    <w:rPr>
                      <w:rFonts w:hint="default" w:ascii="Times New Roman" w:hAnsi="Times New Roman" w:cs="Times New Roman"/>
                      <w:kern w:val="0"/>
                      <w:szCs w:val="21"/>
                      <w:lang w:val="en-US" w:eastAsia="zh-CN" w:bidi="ar"/>
                    </w:rPr>
                    <w:t>，</w:t>
                  </w:r>
                  <w:r>
                    <w:rPr>
                      <w:rFonts w:hint="default" w:ascii="Times New Roman" w:hAnsi="Times New Roman" w:cs="Times New Roman"/>
                      <w:kern w:val="0"/>
                      <w:szCs w:val="21"/>
                      <w:lang w:bidi="ar"/>
                    </w:rPr>
                    <w:t>产生的SO</w:t>
                  </w:r>
                  <w:r>
                    <w:rPr>
                      <w:rFonts w:hint="default" w:ascii="Times New Roman" w:hAnsi="Times New Roman" w:cs="Times New Roman"/>
                      <w:kern w:val="0"/>
                      <w:szCs w:val="21"/>
                      <w:vertAlign w:val="subscript"/>
                      <w:lang w:bidi="ar"/>
                    </w:rPr>
                    <w:t>2</w:t>
                  </w:r>
                  <w:r>
                    <w:rPr>
                      <w:rFonts w:hint="default" w:ascii="Times New Roman" w:hAnsi="Times New Roman" w:cs="Times New Roman"/>
                      <w:kern w:val="0"/>
                      <w:szCs w:val="21"/>
                      <w:lang w:bidi="ar"/>
                    </w:rPr>
                    <w:t>和NOx</w:t>
                  </w:r>
                  <w:r>
                    <w:rPr>
                      <w:rFonts w:hint="default" w:ascii="Times New Roman" w:hAnsi="Times New Roman" w:cs="Times New Roman"/>
                      <w:kern w:val="0"/>
                      <w:szCs w:val="21"/>
                      <w:lang w:eastAsia="zh-CN" w:bidi="ar"/>
                    </w:rPr>
                    <w:t>、</w:t>
                  </w:r>
                  <w:r>
                    <w:rPr>
                      <w:rFonts w:hint="default" w:ascii="Times New Roman" w:hAnsi="Times New Roman" w:cs="Times New Roman"/>
                      <w:kern w:val="0"/>
                      <w:szCs w:val="21"/>
                      <w:lang w:val="en-US" w:eastAsia="zh-CN" w:bidi="ar"/>
                    </w:rPr>
                    <w:t>烟气</w:t>
                  </w:r>
                  <w:r>
                    <w:rPr>
                      <w:rFonts w:hint="default" w:ascii="Times New Roman" w:hAnsi="Times New Roman" w:cs="Times New Roman"/>
                      <w:kern w:val="0"/>
                      <w:szCs w:val="21"/>
                      <w:lang w:bidi="ar"/>
                    </w:rPr>
                    <w:t>符合《锅炉大气污染物</w:t>
                  </w:r>
                  <w:r>
                    <w:rPr>
                      <w:rFonts w:hint="default" w:ascii="Times New Roman" w:hAnsi="Times New Roman" w:cs="Times New Roman"/>
                      <w:kern w:val="0"/>
                      <w:szCs w:val="21"/>
                      <w:lang w:val="en-US" w:eastAsia="zh-CN" w:bidi="ar"/>
                    </w:rPr>
                    <w:t>排放标准》</w:t>
                  </w:r>
                  <w:r>
                    <w:rPr>
                      <w:rFonts w:hint="default"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0" w:type="pct"/>
                  <w:vMerge w:val="continue"/>
                  <w:noWrap w:val="0"/>
                  <w:vAlign w:val="center"/>
                </w:tcPr>
                <w:p>
                  <w:pPr>
                    <w:keepNext w:val="0"/>
                    <w:keepLines w:val="0"/>
                    <w:pageBreakBefore w:val="0"/>
                    <w:widowControl/>
                    <w:kinsoku/>
                    <w:wordWrap/>
                    <w:overflowPunct/>
                    <w:bidi w:val="0"/>
                    <w:adjustRightInd/>
                    <w:snapToGrid/>
                    <w:jc w:val="left"/>
                    <w:rPr>
                      <w:rFonts w:hint="default" w:ascii="Times New Roman" w:hAnsi="Times New Roman" w:cs="Times New Roman"/>
                      <w:bCs/>
                      <w:iCs/>
                      <w:color w:val="000000"/>
                      <w:szCs w:val="21"/>
                    </w:rPr>
                  </w:pPr>
                </w:p>
              </w:tc>
              <w:tc>
                <w:tcPr>
                  <w:tcW w:w="623" w:type="pct"/>
                  <w:vMerge w:val="continue"/>
                  <w:noWrap w:val="0"/>
                  <w:vAlign w:val="center"/>
                </w:tcPr>
                <w:p>
                  <w:pPr>
                    <w:keepNext w:val="0"/>
                    <w:keepLines w:val="0"/>
                    <w:pageBreakBefore w:val="0"/>
                    <w:widowControl/>
                    <w:kinsoku/>
                    <w:wordWrap/>
                    <w:overflowPunct/>
                    <w:bidi w:val="0"/>
                    <w:adjustRightInd/>
                    <w:snapToGrid/>
                    <w:jc w:val="left"/>
                    <w:rPr>
                      <w:rFonts w:hint="default" w:ascii="Times New Roman" w:hAnsi="Times New Roman" w:cs="Times New Roman"/>
                      <w:bCs/>
                      <w:iCs/>
                      <w:color w:val="000000"/>
                      <w:szCs w:val="21"/>
                    </w:rPr>
                  </w:pPr>
                </w:p>
              </w:tc>
              <w:tc>
                <w:tcPr>
                  <w:tcW w:w="538" w:type="pct"/>
                  <w:vMerge w:val="continue"/>
                  <w:noWrap w:val="0"/>
                  <w:vAlign w:val="center"/>
                </w:tcPr>
                <w:p>
                  <w:pPr>
                    <w:keepNext w:val="0"/>
                    <w:keepLines w:val="0"/>
                    <w:pageBreakBefore w:val="0"/>
                    <w:widowControl/>
                    <w:kinsoku/>
                    <w:wordWrap/>
                    <w:overflowPunct/>
                    <w:bidi w:val="0"/>
                    <w:adjustRightInd/>
                    <w:snapToGrid/>
                    <w:jc w:val="left"/>
                    <w:rPr>
                      <w:rFonts w:hint="default" w:ascii="Times New Roman" w:hAnsi="Times New Roman" w:cs="Times New Roman"/>
                      <w:bCs/>
                      <w:iCs/>
                      <w:color w:val="000000"/>
                      <w:szCs w:val="21"/>
                    </w:rPr>
                  </w:pPr>
                </w:p>
              </w:tc>
              <w:tc>
                <w:tcPr>
                  <w:tcW w:w="556" w:type="pct"/>
                  <w:noWrap w:val="0"/>
                  <w:vAlign w:val="center"/>
                </w:tcPr>
                <w:p>
                  <w:pPr>
                    <w:keepNext w:val="0"/>
                    <w:keepLines w:val="0"/>
                    <w:pageBreakBefore w:val="0"/>
                    <w:kinsoku/>
                    <w:wordWrap/>
                    <w:overflowPunct/>
                    <w:bidi w:val="0"/>
                    <w:adjustRightInd/>
                    <w:snapToGrid/>
                    <w:jc w:val="center"/>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bCs/>
                      <w:iCs/>
                      <w:color w:val="000000"/>
                      <w:szCs w:val="21"/>
                    </w:rPr>
                    <w:t>环境风险防控</w:t>
                  </w:r>
                </w:p>
              </w:tc>
              <w:tc>
                <w:tcPr>
                  <w:tcW w:w="1735" w:type="pct"/>
                  <w:noWrap w:val="0"/>
                  <w:vAlign w:val="center"/>
                </w:tcPr>
                <w:p>
                  <w:pPr>
                    <w:keepNext w:val="0"/>
                    <w:keepLines w:val="0"/>
                    <w:pageBreakBefore w:val="0"/>
                    <w:kinsoku/>
                    <w:wordWrap/>
                    <w:overflowPunct/>
                    <w:bidi w:val="0"/>
                    <w:adjustRightInd/>
                    <w:snapToGrid/>
                    <w:jc w:val="center"/>
                    <w:rPr>
                      <w:rFonts w:hint="default" w:ascii="Times New Roman" w:hAnsi="Times New Roman" w:cs="Times New Roman"/>
                      <w:szCs w:val="21"/>
                    </w:rPr>
                  </w:pPr>
                  <w:r>
                    <w:rPr>
                      <w:rFonts w:hint="default" w:ascii="Times New Roman" w:hAnsi="Times New Roman" w:cs="Times New Roman"/>
                      <w:szCs w:val="21"/>
                    </w:rPr>
                    <w:t>1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w:t>
                  </w:r>
                </w:p>
                <w:p>
                  <w:pPr>
                    <w:keepNext w:val="0"/>
                    <w:keepLines w:val="0"/>
                    <w:pageBreakBefore w:val="0"/>
                    <w:kinsoku/>
                    <w:wordWrap/>
                    <w:overflowPunct/>
                    <w:bidi w:val="0"/>
                    <w:adjustRightInd/>
                    <w:snapToGrid/>
                    <w:jc w:val="center"/>
                    <w:rPr>
                      <w:rFonts w:hint="default" w:ascii="Times New Roman" w:hAnsi="Times New Roman" w:cs="Times New Roman"/>
                      <w:szCs w:val="21"/>
                    </w:rPr>
                  </w:pPr>
                  <w:r>
                    <w:rPr>
                      <w:rFonts w:hint="default" w:ascii="Times New Roman" w:hAnsi="Times New Roman" w:cs="Times New Roman"/>
                      <w:szCs w:val="21"/>
                    </w:rPr>
                    <w:t>2土壤环境污染重点监管企业、危化品仓储企业落实《工矿用地土壤环境管理办法（试行）》要求，实施项目环评、设计建设、拆除设施、终止经营全生命周期土壤和地下水污染防治。</w:t>
                  </w:r>
                </w:p>
                <w:p>
                  <w:pPr>
                    <w:keepNext w:val="0"/>
                    <w:keepLines w:val="0"/>
                    <w:pageBreakBefore w:val="0"/>
                    <w:kinsoku/>
                    <w:wordWrap/>
                    <w:overflowPunct/>
                    <w:bidi w:val="0"/>
                    <w:adjustRightInd/>
                    <w:snapToGrid/>
                    <w:jc w:val="center"/>
                    <w:rPr>
                      <w:rFonts w:hint="default" w:ascii="Times New Roman" w:hAnsi="Times New Roman" w:cs="Times New Roman"/>
                      <w:szCs w:val="21"/>
                    </w:rPr>
                  </w:pPr>
                  <w:r>
                    <w:rPr>
                      <w:rFonts w:hint="default" w:ascii="Times New Roman" w:hAnsi="Times New Roman" w:cs="Times New Roman"/>
                      <w:szCs w:val="21"/>
                    </w:rPr>
                    <w:t>3开发区应制定环境风险应急预案，成立应急组织机构，定期开展应急演练，提高区域环境风险防范能力。</w:t>
                  </w:r>
                </w:p>
                <w:p>
                  <w:pPr>
                    <w:keepNext w:val="0"/>
                    <w:keepLines w:val="0"/>
                    <w:pageBreakBefore w:val="0"/>
                    <w:kinsoku/>
                    <w:wordWrap/>
                    <w:overflowPunct/>
                    <w:bidi w:val="0"/>
                    <w:adjustRightInd/>
                    <w:snapToGrid/>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4</w:t>
                  </w:r>
                  <w:r>
                    <w:rPr>
                      <w:rFonts w:hint="default" w:ascii="Times New Roman" w:hAnsi="Times New Roman" w:cs="Times New Roman"/>
                      <w:kern w:val="0"/>
                      <w:szCs w:val="21"/>
                    </w:rPr>
                    <w:t>严格管理涉及易导致环境风险的有毒有害和易燃易爆物质的生产、使用、排放、贮运等新建、改扩建项目。</w:t>
                  </w:r>
                </w:p>
              </w:tc>
              <w:tc>
                <w:tcPr>
                  <w:tcW w:w="955" w:type="pct"/>
                  <w:noWrap w:val="0"/>
                  <w:vAlign w:val="center"/>
                </w:tcPr>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1.本项目</w:t>
                  </w:r>
                  <w:r>
                    <w:rPr>
                      <w:rFonts w:hint="eastAsia" w:cs="Times New Roman"/>
                      <w:bCs/>
                      <w:iCs/>
                      <w:color w:val="000000"/>
                      <w:szCs w:val="21"/>
                      <w:lang w:val="en-US" w:eastAsia="zh-CN"/>
                    </w:rPr>
                    <w:t>所在地理位置</w:t>
                  </w:r>
                  <w:r>
                    <w:rPr>
                      <w:rFonts w:hint="default" w:ascii="Times New Roman" w:hAnsi="Times New Roman" w:cs="Times New Roman"/>
                      <w:bCs/>
                      <w:iCs/>
                      <w:color w:val="000000"/>
                      <w:szCs w:val="21"/>
                    </w:rPr>
                    <w:t>不属于污染地块。</w:t>
                  </w:r>
                </w:p>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2.本项目不属于土壤环境污染重点监管企业。</w:t>
                  </w:r>
                </w:p>
                <w:p>
                  <w:pPr>
                    <w:keepNext w:val="0"/>
                    <w:keepLines w:val="0"/>
                    <w:pageBreakBefore w:val="0"/>
                    <w:widowControl/>
                    <w:kinsoku/>
                    <w:wordWrap/>
                    <w:overflowPunct/>
                    <w:bidi w:val="0"/>
                    <w:adjustRightInd/>
                    <w:snapToGrid/>
                    <w:jc w:val="center"/>
                    <w:rPr>
                      <w:rFonts w:hint="default" w:ascii="Times New Roman" w:hAnsi="Times New Roman" w:cs="Times New Roman"/>
                      <w:bCs/>
                      <w:iCs/>
                      <w:color w:val="000000"/>
                      <w:szCs w:val="21"/>
                    </w:rPr>
                  </w:pPr>
                  <w:r>
                    <w:rPr>
                      <w:rFonts w:hint="default" w:ascii="Times New Roman" w:hAnsi="Times New Roman" w:cs="Times New Roman"/>
                      <w:bCs/>
                      <w:iCs/>
                      <w:color w:val="000000"/>
                      <w:szCs w:val="21"/>
                    </w:rPr>
                    <w:t>3开发区已制定环境风险应急预案，成立应急组织机构，定期开展应急演练，提高区域环境风险防范能力。</w:t>
                  </w:r>
                </w:p>
                <w:p>
                  <w:pPr>
                    <w:keepNext w:val="0"/>
                    <w:keepLines w:val="0"/>
                    <w:pageBreakBefore w:val="0"/>
                    <w:widowControl/>
                    <w:kinsoku/>
                    <w:wordWrap/>
                    <w:overflowPunct/>
                    <w:bidi w:val="0"/>
                    <w:adjustRightInd/>
                    <w:snapToGrid/>
                    <w:jc w:val="center"/>
                    <w:rPr>
                      <w:rFonts w:hint="default" w:ascii="Times New Roman" w:hAnsi="Times New Roman" w:eastAsia="宋体" w:cs="Times New Roman"/>
                      <w:bCs/>
                      <w:iCs/>
                      <w:color w:val="000000"/>
                      <w:kern w:val="2"/>
                      <w:sz w:val="21"/>
                      <w:szCs w:val="21"/>
                      <w:lang w:val="en-US" w:eastAsia="zh-CN" w:bidi="ar-SA"/>
                    </w:rPr>
                  </w:pPr>
                  <w:r>
                    <w:rPr>
                      <w:rFonts w:hint="default" w:ascii="Times New Roman" w:hAnsi="Times New Roman" w:cs="Times New Roman"/>
                      <w:bCs/>
                      <w:iCs/>
                      <w:color w:val="000000"/>
                      <w:szCs w:val="21"/>
                    </w:rPr>
                    <w:t>4本项目</w:t>
                  </w:r>
                  <w:r>
                    <w:rPr>
                      <w:rFonts w:hint="default" w:ascii="Times New Roman" w:hAnsi="Times New Roman" w:cs="Times New Roman"/>
                      <w:bCs/>
                      <w:iCs/>
                      <w:szCs w:val="21"/>
                    </w:rPr>
                    <w:t>主要风险物</w:t>
                  </w:r>
                  <w:r>
                    <w:rPr>
                      <w:rStyle w:val="28"/>
                      <w:rFonts w:hint="default" w:ascii="Times New Roman" w:hAnsi="Times New Roman" w:cs="Times New Roman"/>
                      <w:kern w:val="0"/>
                      <w:szCs w:val="20"/>
                      <w:lang w:val="en-US" w:eastAsia="zh-CN"/>
                    </w:rPr>
                    <w:t>质</w:t>
                  </w:r>
                  <w:r>
                    <w:rPr>
                      <w:rFonts w:hint="default" w:ascii="Times New Roman" w:hAnsi="Times New Roman" w:cs="Times New Roman"/>
                      <w:bCs/>
                      <w:iCs/>
                      <w:szCs w:val="21"/>
                    </w:rPr>
                    <w:t>天然气，已设置相应的风险防范措施并会严格管理</w:t>
                  </w:r>
                  <w:r>
                    <w:rPr>
                      <w:rFonts w:hint="default" w:ascii="Times New Roman" w:hAnsi="Times New Roman" w:cs="Times New Roman"/>
                      <w:bCs/>
                      <w:iCs/>
                      <w:color w:val="000000"/>
                      <w:szCs w:val="21"/>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b w:val="0"/>
                <w:bCs w:val="0"/>
                <w:sz w:val="24"/>
                <w:szCs w:val="24"/>
                <w:u w:val="none"/>
              </w:rPr>
            </w:pPr>
            <w:r>
              <w:rPr>
                <w:rFonts w:hint="eastAsia" w:ascii="Times New Roman" w:hAnsi="Times New Roman" w:eastAsia="宋体"/>
                <w:b w:val="0"/>
                <w:bCs w:val="0"/>
                <w:sz w:val="24"/>
                <w:szCs w:val="24"/>
                <w:u w:val="none"/>
              </w:rPr>
              <w:t>根据以上分析，本项目符合“三线一单”相关要求。</w:t>
            </w:r>
          </w:p>
          <w:p>
            <w:pPr>
              <w:autoSpaceDE w:val="0"/>
              <w:autoSpaceDN w:val="0"/>
              <w:adjustRightInd w:val="0"/>
              <w:snapToGrid w:val="0"/>
              <w:spacing w:line="360" w:lineRule="auto"/>
              <w:rPr>
                <w:rFonts w:ascii="Times New Roman" w:hAnsi="Times New Roman" w:eastAsia="宋体"/>
                <w:b/>
                <w:bCs/>
                <w:sz w:val="24"/>
                <w:szCs w:val="24"/>
                <w:u w:val="none"/>
              </w:rPr>
            </w:pPr>
            <w:r>
              <w:rPr>
                <w:rFonts w:hint="eastAsia" w:ascii="Times New Roman" w:hAnsi="Times New Roman" w:eastAsia="宋体"/>
                <w:b/>
                <w:bCs/>
                <w:sz w:val="24"/>
                <w:szCs w:val="24"/>
                <w:u w:val="none"/>
              </w:rPr>
              <w:t>二</w:t>
            </w:r>
            <w:r>
              <w:rPr>
                <w:rFonts w:ascii="Times New Roman" w:hAnsi="Times New Roman" w:eastAsia="宋体"/>
                <w:b/>
                <w:bCs/>
                <w:sz w:val="24"/>
                <w:szCs w:val="24"/>
                <w:u w:val="none"/>
              </w:rPr>
              <w:t>、</w:t>
            </w:r>
            <w:r>
              <w:rPr>
                <w:rFonts w:hint="eastAsia" w:ascii="Times New Roman" w:hAnsi="Times New Roman" w:eastAsia="宋体"/>
                <w:b/>
                <w:bCs/>
                <w:sz w:val="24"/>
                <w:szCs w:val="24"/>
                <w:u w:val="none"/>
              </w:rPr>
              <w:t>产业政策相符性分析</w:t>
            </w:r>
          </w:p>
          <w:p>
            <w:pPr>
              <w:spacing w:line="360" w:lineRule="auto"/>
              <w:ind w:firstLine="480" w:firstLineChars="200"/>
              <w:rPr>
                <w:rFonts w:ascii="Times New Roman" w:hAnsi="Times New Roman" w:eastAsia="宋体"/>
                <w:sz w:val="24"/>
                <w:szCs w:val="24"/>
                <w:u w:val="none"/>
              </w:rPr>
            </w:pPr>
            <w:r>
              <w:rPr>
                <w:rFonts w:ascii="Times New Roman" w:hAnsi="Times New Roman" w:eastAsia="宋体"/>
                <w:sz w:val="24"/>
                <w:szCs w:val="24"/>
                <w:u w:val="none"/>
              </w:rPr>
              <w:t>1</w:t>
            </w:r>
            <w:r>
              <w:rPr>
                <w:rFonts w:hint="eastAsia" w:ascii="Times New Roman" w:hAnsi="Times New Roman" w:eastAsia="宋体"/>
                <w:sz w:val="24"/>
                <w:szCs w:val="24"/>
                <w:u w:val="none"/>
              </w:rPr>
              <w:t>、产业结构相符性</w:t>
            </w:r>
          </w:p>
          <w:p>
            <w:pPr>
              <w:spacing w:line="360" w:lineRule="auto"/>
              <w:ind w:firstLine="480" w:firstLineChars="20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本项目</w:t>
            </w:r>
            <w:r>
              <w:rPr>
                <w:rFonts w:hint="eastAsia" w:ascii="Times New Roman" w:hAnsi="Times New Roman" w:eastAsia="宋体" w:cs="宋体"/>
                <w:sz w:val="24"/>
                <w:szCs w:val="24"/>
                <w:u w:val="none"/>
                <w:lang w:val="en-US" w:eastAsia="zh-CN"/>
              </w:rPr>
              <w:t>为社会公共安全设备及器材制造</w:t>
            </w:r>
            <w:r>
              <w:rPr>
                <w:rFonts w:hint="eastAsia" w:ascii="Times New Roman" w:hAnsi="Times New Roman" w:eastAsia="宋体" w:cs="宋体"/>
                <w:sz w:val="24"/>
                <w:szCs w:val="24"/>
                <w:u w:val="none"/>
              </w:rPr>
              <w:t>项目，根据《产业结构调整指导目录》（2019年本），本项目不属于列出的“鼓励类”、“淘汰类”、“限制类”目录内，同时项目营运期使用的设备不属于淘汰类设备，因此本项目属于“允许类”。综上所述，本项目符合国家产业政策要求。</w:t>
            </w:r>
          </w:p>
          <w:p>
            <w:pPr>
              <w:spacing w:line="360" w:lineRule="auto"/>
              <w:ind w:firstLine="480" w:firstLineChars="200"/>
              <w:rPr>
                <w:rFonts w:hint="eastAsia" w:ascii="Times New Roman" w:hAnsi="Times New Roman" w:eastAsia="宋体" w:cs="宋体"/>
                <w:b w:val="0"/>
                <w:bCs w:val="0"/>
                <w:iCs/>
                <w:sz w:val="24"/>
                <w:szCs w:val="24"/>
                <w:u w:val="none"/>
              </w:rPr>
            </w:pPr>
            <w:r>
              <w:rPr>
                <w:rFonts w:hint="eastAsia" w:ascii="Times New Roman" w:hAnsi="Times New Roman" w:eastAsia="宋体" w:cs="宋体"/>
                <w:b w:val="0"/>
                <w:bCs w:val="0"/>
                <w:sz w:val="24"/>
                <w:szCs w:val="24"/>
                <w:u w:val="none"/>
              </w:rPr>
              <w:t>2、</w:t>
            </w:r>
            <w:r>
              <w:rPr>
                <w:rFonts w:hint="eastAsia" w:ascii="Times New Roman" w:hAnsi="Times New Roman" w:eastAsia="宋体" w:cs="宋体"/>
                <w:b w:val="0"/>
                <w:bCs w:val="0"/>
                <w:iCs/>
                <w:sz w:val="24"/>
                <w:szCs w:val="24"/>
                <w:u w:val="none"/>
              </w:rPr>
              <w:t>本项目与《吉林省的空气质量提升巩固方案》（吉政办发【2021】10号）相符性分析</w:t>
            </w:r>
          </w:p>
          <w:p>
            <w:pPr>
              <w:jc w:val="center"/>
              <w:rPr>
                <w:rFonts w:ascii="Times New Roman" w:hAnsi="Times New Roman" w:eastAsia="宋体"/>
                <w:b/>
                <w:bCs/>
                <w:sz w:val="21"/>
                <w:szCs w:val="21"/>
                <w:u w:val="none"/>
              </w:rPr>
            </w:pPr>
            <w:r>
              <w:rPr>
                <w:rFonts w:ascii="Times New Roman" w:hAnsi="Times New Roman" w:eastAsia="宋体"/>
                <w:b/>
                <w:bCs/>
                <w:sz w:val="21"/>
                <w:szCs w:val="21"/>
                <w:u w:val="none"/>
              </w:rPr>
              <w:t>表</w:t>
            </w:r>
            <w:r>
              <w:rPr>
                <w:rFonts w:hint="eastAsia"/>
                <w:b/>
                <w:bCs/>
                <w:sz w:val="21"/>
                <w:szCs w:val="21"/>
                <w:u w:val="none"/>
                <w:lang w:val="en-US" w:eastAsia="zh-CN"/>
              </w:rPr>
              <w:t>1-4</w:t>
            </w:r>
            <w:r>
              <w:rPr>
                <w:rFonts w:ascii="Times New Roman" w:hAnsi="Times New Roman" w:eastAsia="宋体"/>
                <w:b/>
                <w:bCs/>
                <w:sz w:val="21"/>
                <w:szCs w:val="21"/>
                <w:u w:val="none"/>
              </w:rPr>
              <w:t xml:space="preserve"> 本项目与吉林省的空气质量提升巩固方案相符性分析表</w:t>
            </w:r>
          </w:p>
          <w:tbl>
            <w:tblPr>
              <w:tblStyle w:val="2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499"/>
              <w:gridCol w:w="2540"/>
              <w:gridCol w:w="10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98" w:type="pct"/>
                  <w:gridSpan w:val="2"/>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内容</w:t>
                  </w:r>
                </w:p>
              </w:tc>
              <w:tc>
                <w:tcPr>
                  <w:tcW w:w="2025"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符合性分析</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深入推进秸秆禁烧和氨排放控制</w:t>
                  </w: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全面推进秸秆综合利用</w:t>
                  </w:r>
                </w:p>
              </w:tc>
              <w:tc>
                <w:tcPr>
                  <w:tcW w:w="2025" w:type="pct"/>
                  <w:noWrap w:val="0"/>
                  <w:vAlign w:val="center"/>
                </w:tcPr>
                <w:p>
                  <w:pPr>
                    <w:jc w:val="center"/>
                    <w:rPr>
                      <w:rFonts w:hint="eastAsia" w:ascii="Times New Roman" w:hAnsi="Times New Roman" w:eastAsia="宋体"/>
                      <w:b w:val="0"/>
                      <w:bCs w:val="0"/>
                      <w:sz w:val="21"/>
                      <w:szCs w:val="21"/>
                      <w:highlight w:val="yellow"/>
                      <w:u w:val="none"/>
                    </w:rPr>
                  </w:pPr>
                  <w:r>
                    <w:rPr>
                      <w:rFonts w:ascii="Times New Roman" w:hAnsi="Times New Roman" w:eastAsia="宋体"/>
                      <w:b w:val="0"/>
                      <w:bCs w:val="0"/>
                      <w:sz w:val="21"/>
                      <w:szCs w:val="21"/>
                      <w:u w:val="none"/>
                    </w:rPr>
                    <w:t>本项目采用</w:t>
                  </w:r>
                  <w:r>
                    <w:rPr>
                      <w:rFonts w:hint="eastAsia" w:ascii="Times New Roman" w:hAnsi="Times New Roman" w:eastAsia="宋体"/>
                      <w:b w:val="0"/>
                      <w:bCs w:val="0"/>
                      <w:sz w:val="21"/>
                      <w:szCs w:val="21"/>
                      <w:u w:val="none"/>
                      <w:lang w:val="en-US" w:eastAsia="zh-CN"/>
                    </w:rPr>
                    <w:t>天然气</w:t>
                  </w:r>
                  <w:r>
                    <w:rPr>
                      <w:rFonts w:ascii="Times New Roman" w:hAnsi="Times New Roman" w:eastAsia="宋体"/>
                      <w:b w:val="0"/>
                      <w:bCs w:val="0"/>
                      <w:sz w:val="21"/>
                      <w:szCs w:val="21"/>
                      <w:u w:val="none"/>
                    </w:rPr>
                    <w:t>作为燃料</w:t>
                  </w:r>
                  <w:r>
                    <w:rPr>
                      <w:rFonts w:hint="eastAsia" w:ascii="Times New Roman" w:hAnsi="Times New Roman" w:eastAsia="宋体"/>
                      <w:b w:val="0"/>
                      <w:bCs w:val="0"/>
                      <w:sz w:val="21"/>
                      <w:szCs w:val="21"/>
                      <w:u w:val="none"/>
                    </w:rPr>
                    <w:t>。</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restar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深入推进燃煤污染控制</w:t>
                  </w: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实行煤炭消费总量控制</w:t>
                  </w:r>
                </w:p>
              </w:tc>
              <w:tc>
                <w:tcPr>
                  <w:tcW w:w="2025"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本项目不以煤为原料</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continue"/>
                  <w:noWrap w:val="0"/>
                  <w:vAlign w:val="center"/>
                </w:tcPr>
                <w:p>
                  <w:pPr>
                    <w:jc w:val="center"/>
                    <w:rPr>
                      <w:rFonts w:ascii="Times New Roman" w:hAnsi="Times New Roman" w:eastAsia="宋体"/>
                      <w:b w:val="0"/>
                      <w:bCs w:val="0"/>
                      <w:sz w:val="21"/>
                      <w:szCs w:val="21"/>
                      <w:u w:val="none"/>
                    </w:rPr>
                  </w:pP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继续推进清洁供暖</w:t>
                  </w:r>
                </w:p>
              </w:tc>
              <w:tc>
                <w:tcPr>
                  <w:tcW w:w="2025" w:type="pct"/>
                  <w:noWrap w:val="0"/>
                  <w:vAlign w:val="center"/>
                </w:tcPr>
                <w:p>
                  <w:pPr>
                    <w:jc w:val="center"/>
                    <w:rPr>
                      <w:rFonts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本项目拟建锅炉</w:t>
                  </w:r>
                  <w:r>
                    <w:rPr>
                      <w:rFonts w:ascii="Times New Roman" w:hAnsi="Times New Roman" w:eastAsia="宋体"/>
                      <w:b w:val="0"/>
                      <w:bCs w:val="0"/>
                      <w:sz w:val="21"/>
                      <w:szCs w:val="21"/>
                      <w:u w:val="none"/>
                    </w:rPr>
                    <w:t>采用</w:t>
                  </w:r>
                  <w:r>
                    <w:rPr>
                      <w:rFonts w:hint="eastAsia" w:ascii="Times New Roman" w:hAnsi="Times New Roman" w:eastAsia="宋体"/>
                      <w:b w:val="0"/>
                      <w:bCs w:val="0"/>
                      <w:sz w:val="21"/>
                      <w:szCs w:val="21"/>
                      <w:u w:val="none"/>
                      <w:lang w:val="en-US" w:eastAsia="zh-CN"/>
                    </w:rPr>
                    <w:t>天然气</w:t>
                  </w:r>
                  <w:r>
                    <w:rPr>
                      <w:rFonts w:ascii="Times New Roman" w:hAnsi="Times New Roman" w:eastAsia="宋体"/>
                      <w:b w:val="0"/>
                      <w:bCs w:val="0"/>
                      <w:sz w:val="21"/>
                      <w:szCs w:val="21"/>
                      <w:u w:val="none"/>
                    </w:rPr>
                    <w:t>作为燃料</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continue"/>
                  <w:noWrap w:val="0"/>
                  <w:vAlign w:val="center"/>
                </w:tcPr>
                <w:p>
                  <w:pPr>
                    <w:jc w:val="center"/>
                    <w:rPr>
                      <w:rFonts w:ascii="Times New Roman" w:hAnsi="Times New Roman" w:eastAsia="宋体"/>
                      <w:b w:val="0"/>
                      <w:bCs w:val="0"/>
                      <w:sz w:val="21"/>
                      <w:szCs w:val="21"/>
                      <w:u w:val="none"/>
                    </w:rPr>
                  </w:pP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加大燃煤锅炉淘汰力度</w:t>
                  </w:r>
                </w:p>
              </w:tc>
              <w:tc>
                <w:tcPr>
                  <w:tcW w:w="2025" w:type="pct"/>
                  <w:noWrap w:val="0"/>
                  <w:vAlign w:val="center"/>
                </w:tcPr>
                <w:p>
                  <w:pPr>
                    <w:jc w:val="center"/>
                    <w:rPr>
                      <w:rFonts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本项目拟建锅炉采用天然气作为燃料</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vMerge w:val="continue"/>
                  <w:noWrap w:val="0"/>
                  <w:vAlign w:val="center"/>
                </w:tcPr>
                <w:p>
                  <w:pPr>
                    <w:jc w:val="center"/>
                    <w:rPr>
                      <w:rFonts w:ascii="Times New Roman" w:hAnsi="Times New Roman" w:eastAsia="宋体"/>
                      <w:b w:val="0"/>
                      <w:bCs w:val="0"/>
                      <w:sz w:val="21"/>
                      <w:szCs w:val="21"/>
                      <w:u w:val="none"/>
                    </w:rPr>
                  </w:pP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加大燃煤锅炉监管力度</w:t>
                  </w:r>
                </w:p>
              </w:tc>
              <w:tc>
                <w:tcPr>
                  <w:tcW w:w="2025" w:type="pct"/>
                  <w:noWrap w:val="0"/>
                  <w:vAlign w:val="center"/>
                </w:tcPr>
                <w:p>
                  <w:pPr>
                    <w:jc w:val="center"/>
                    <w:rPr>
                      <w:rFonts w:hint="default" w:ascii="Times New Roman" w:hAnsi="Times New Roman" w:eastAsia="宋体"/>
                      <w:b w:val="0"/>
                      <w:bCs w:val="0"/>
                      <w:sz w:val="21"/>
                      <w:szCs w:val="21"/>
                      <w:u w:val="none"/>
                      <w:lang w:val="en-US"/>
                    </w:rPr>
                  </w:pPr>
                  <w:r>
                    <w:rPr>
                      <w:rFonts w:ascii="Times New Roman" w:hAnsi="Times New Roman" w:eastAsia="宋体"/>
                      <w:b w:val="0"/>
                      <w:bCs w:val="0"/>
                      <w:sz w:val="21"/>
                      <w:szCs w:val="21"/>
                      <w:u w:val="none"/>
                    </w:rPr>
                    <w:t>本项目</w:t>
                  </w:r>
                  <w:r>
                    <w:rPr>
                      <w:rFonts w:hint="eastAsia" w:ascii="Times New Roman" w:hAnsi="Times New Roman" w:eastAsia="宋体"/>
                      <w:b w:val="0"/>
                      <w:bCs w:val="0"/>
                      <w:sz w:val="21"/>
                      <w:szCs w:val="21"/>
                      <w:u w:val="none"/>
                    </w:rPr>
                    <w:t>新</w:t>
                  </w:r>
                  <w:r>
                    <w:rPr>
                      <w:rFonts w:hint="eastAsia" w:ascii="Times New Roman" w:hAnsi="Times New Roman" w:eastAsia="宋体"/>
                      <w:b w:val="0"/>
                      <w:bCs w:val="0"/>
                      <w:sz w:val="21"/>
                      <w:szCs w:val="21"/>
                      <w:u w:val="none"/>
                      <w:lang w:val="en-US" w:eastAsia="zh-CN"/>
                    </w:rPr>
                    <w:t>建</w:t>
                  </w:r>
                  <w:r>
                    <w:rPr>
                      <w:rFonts w:hint="eastAsia"/>
                      <w:b w:val="0"/>
                      <w:bCs w:val="0"/>
                      <w:sz w:val="21"/>
                      <w:szCs w:val="21"/>
                      <w:u w:val="none"/>
                      <w:lang w:val="en-US" w:eastAsia="zh-CN"/>
                    </w:rPr>
                    <w:t>1台4t/h</w:t>
                  </w:r>
                  <w:r>
                    <w:rPr>
                      <w:rFonts w:hint="eastAsia"/>
                      <w:b w:val="0"/>
                      <w:bCs w:val="0"/>
                      <w:iCs/>
                      <w:sz w:val="21"/>
                      <w:szCs w:val="21"/>
                      <w:u w:val="none"/>
                      <w:lang w:val="en-US" w:eastAsia="zh-CN"/>
                    </w:rPr>
                    <w:t>燃天然热水锅炉为员工冬季生活取暖</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深入推进工业污染源治理</w:t>
                  </w:r>
                </w:p>
              </w:tc>
              <w:tc>
                <w:tcPr>
                  <w:tcW w:w="1194"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持续推进工业污染源全面达标排放</w:t>
                  </w:r>
                </w:p>
              </w:tc>
              <w:tc>
                <w:tcPr>
                  <w:tcW w:w="2025" w:type="pct"/>
                  <w:noWrap w:val="0"/>
                  <w:vAlign w:val="center"/>
                </w:tcPr>
                <w:p>
                  <w:pPr>
                    <w:jc w:val="center"/>
                    <w:rPr>
                      <w:rFonts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本项目拟建</w:t>
                  </w:r>
                  <w:r>
                    <w:rPr>
                      <w:rFonts w:hint="eastAsia" w:ascii="Times New Roman" w:hAnsi="Times New Roman" w:eastAsia="宋体"/>
                      <w:b w:val="0"/>
                      <w:bCs w:val="0"/>
                      <w:sz w:val="21"/>
                      <w:szCs w:val="21"/>
                      <w:u w:val="none"/>
                      <w:lang w:val="en-US" w:eastAsia="zh-CN"/>
                    </w:rPr>
                    <w:t>天然气热水</w:t>
                  </w:r>
                  <w:r>
                    <w:rPr>
                      <w:rFonts w:hint="eastAsia" w:ascii="Times New Roman" w:hAnsi="Times New Roman" w:eastAsia="宋体"/>
                      <w:b w:val="0"/>
                      <w:bCs w:val="0"/>
                      <w:sz w:val="21"/>
                      <w:szCs w:val="21"/>
                      <w:u w:val="none"/>
                    </w:rPr>
                    <w:t>锅炉排放的废气中</w:t>
                  </w:r>
                  <w:r>
                    <w:rPr>
                      <w:rFonts w:ascii="Times New Roman" w:hAnsi="Times New Roman" w:eastAsia="宋体"/>
                      <w:b w:val="0"/>
                      <w:bCs w:val="0"/>
                      <w:sz w:val="21"/>
                      <w:szCs w:val="21"/>
                      <w:u w:val="none"/>
                    </w:rPr>
                    <w:t>各种污染物稳定达标排放，污染物的排放符合总量控制的要求</w:t>
                  </w:r>
                </w:p>
              </w:tc>
              <w:tc>
                <w:tcPr>
                  <w:tcW w:w="876" w:type="pct"/>
                  <w:noWrap w:val="0"/>
                  <w:vAlign w:val="center"/>
                </w:tcPr>
                <w:p>
                  <w:pPr>
                    <w:jc w:val="center"/>
                    <w:rPr>
                      <w:rFonts w:ascii="Times New Roman" w:hAnsi="Times New Roman" w:eastAsia="宋体"/>
                      <w:b w:val="0"/>
                      <w:bCs w:val="0"/>
                      <w:sz w:val="21"/>
                      <w:szCs w:val="21"/>
                      <w:u w:val="none"/>
                    </w:rPr>
                  </w:pPr>
                  <w:r>
                    <w:rPr>
                      <w:rFonts w:ascii="Times New Roman" w:hAnsi="Times New Roman" w:eastAsia="宋体"/>
                      <w:b w:val="0"/>
                      <w:bCs w:val="0"/>
                      <w:sz w:val="21"/>
                      <w:szCs w:val="21"/>
                      <w:u w:val="none"/>
                    </w:rPr>
                    <w:t>符合</w:t>
                  </w:r>
                </w:p>
              </w:tc>
            </w:tr>
          </w:tbl>
          <w:p>
            <w:pPr>
              <w:autoSpaceDE w:val="0"/>
              <w:autoSpaceDN w:val="0"/>
              <w:adjustRightInd w:val="0"/>
              <w:snapToGrid w:val="0"/>
              <w:spacing w:line="360" w:lineRule="auto"/>
              <w:ind w:firstLine="480" w:firstLineChars="200"/>
              <w:rPr>
                <w:rFonts w:hint="eastAsia" w:ascii="Times New Roman" w:hAnsi="Times New Roman" w:eastAsia="宋体" w:cs="宋体"/>
                <w:b w:val="0"/>
                <w:bCs w:val="0"/>
                <w:sz w:val="24"/>
                <w:szCs w:val="24"/>
                <w:u w:val="none"/>
              </w:rPr>
            </w:pPr>
            <w:r>
              <w:rPr>
                <w:rFonts w:hint="eastAsia" w:ascii="Times New Roman" w:hAnsi="Times New Roman" w:eastAsia="宋体" w:cs="宋体"/>
                <w:b w:val="0"/>
                <w:bCs w:val="0"/>
                <w:sz w:val="24"/>
                <w:szCs w:val="24"/>
                <w:u w:val="none"/>
              </w:rPr>
              <w:t>综上，本项目的建设符合《吉林省的空气质量提升巩固方案》的相关要求。</w:t>
            </w:r>
          </w:p>
          <w:p>
            <w:pPr>
              <w:kinsoku w:val="0"/>
              <w:overflowPunct w:val="0"/>
              <w:autoSpaceDE w:val="0"/>
              <w:autoSpaceDN w:val="0"/>
              <w:adjustRightInd w:val="0"/>
              <w:spacing w:line="360" w:lineRule="auto"/>
              <w:ind w:firstLine="480" w:firstLineChars="200"/>
              <w:rPr>
                <w:rFonts w:hint="eastAsia" w:ascii="Times New Roman" w:hAnsi="Times New Roman" w:eastAsia="宋体" w:cs="宋体"/>
                <w:b/>
                <w:bCs/>
                <w:color w:val="auto"/>
                <w:sz w:val="24"/>
                <w:szCs w:val="24"/>
                <w:u w:val="none"/>
              </w:rPr>
            </w:pPr>
            <w:r>
              <w:rPr>
                <w:rFonts w:hint="eastAsia" w:ascii="Times New Roman" w:hAnsi="Times New Roman" w:eastAsia="宋体"/>
                <w:b w:val="0"/>
                <w:bCs w:val="0"/>
                <w:sz w:val="24"/>
                <w:szCs w:val="24"/>
                <w:u w:val="none"/>
                <w:lang w:val="en-US" w:eastAsia="zh-CN"/>
              </w:rPr>
              <w:t>3</w:t>
            </w:r>
            <w:r>
              <w:rPr>
                <w:rFonts w:hint="eastAsia" w:ascii="Times New Roman" w:hAnsi="Times New Roman" w:eastAsia="宋体"/>
                <w:b w:val="0"/>
                <w:bCs w:val="0"/>
                <w:sz w:val="24"/>
                <w:szCs w:val="24"/>
                <w:u w:val="none"/>
              </w:rPr>
              <w:t>、</w:t>
            </w:r>
            <w:r>
              <w:rPr>
                <w:rFonts w:ascii="Times New Roman" w:hAnsi="Times New Roman" w:eastAsia="宋体"/>
                <w:b w:val="0"/>
                <w:bCs w:val="0"/>
                <w:sz w:val="24"/>
                <w:szCs w:val="24"/>
                <w:u w:val="none"/>
              </w:rPr>
              <w:t>与《吉林省水环境质量巩固提升行动方案》符合性分析</w:t>
            </w:r>
          </w:p>
          <w:p>
            <w:pPr>
              <w:pStyle w:val="29"/>
              <w:jc w:val="center"/>
              <w:rPr>
                <w:rFonts w:hint="eastAsia" w:ascii="Times New Roman" w:hAnsi="Times New Roman" w:eastAsia="宋体" w:cs="宋体"/>
                <w:b/>
                <w:bCs/>
                <w:color w:val="auto"/>
                <w:sz w:val="21"/>
                <w:szCs w:val="21"/>
                <w:u w:val="none"/>
              </w:rPr>
            </w:pPr>
            <w:r>
              <w:rPr>
                <w:rFonts w:hint="eastAsia" w:ascii="Times New Roman" w:hAnsi="Times New Roman" w:eastAsia="宋体" w:cs="宋体"/>
                <w:b/>
                <w:bCs/>
                <w:color w:val="auto"/>
                <w:sz w:val="21"/>
                <w:szCs w:val="21"/>
                <w:u w:val="none"/>
              </w:rPr>
              <w:t>表</w:t>
            </w:r>
            <w:r>
              <w:rPr>
                <w:rFonts w:hint="eastAsia" w:ascii="Times New Roman" w:hAnsi="Times New Roman" w:eastAsia="宋体" w:cs="宋体"/>
                <w:b/>
                <w:bCs/>
                <w:color w:val="auto"/>
                <w:sz w:val="21"/>
                <w:szCs w:val="21"/>
                <w:u w:val="none"/>
                <w:lang w:val="en-US" w:eastAsia="zh-CN"/>
              </w:rPr>
              <w:t xml:space="preserve">1-5  </w:t>
            </w:r>
            <w:r>
              <w:rPr>
                <w:rFonts w:hint="eastAsia" w:ascii="Times New Roman" w:hAnsi="Times New Roman" w:eastAsia="宋体" w:cs="宋体"/>
                <w:b/>
                <w:bCs/>
                <w:color w:val="auto"/>
                <w:sz w:val="21"/>
                <w:szCs w:val="21"/>
                <w:u w:val="none"/>
              </w:rPr>
              <w:t>与《吉林省水环境质量巩固提升行动方案》符合性分析</w:t>
            </w:r>
          </w:p>
          <w:tbl>
            <w:tblPr>
              <w:tblStyle w:val="23"/>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65"/>
              <w:gridCol w:w="16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19" w:type="pct"/>
                  <w:tcBorders>
                    <w:top w:val="single" w:color="auto" w:sz="12" w:space="0"/>
                  </w:tcBorders>
                  <w:noWrap w:val="0"/>
                  <w:vAlign w:val="center"/>
                </w:tcPr>
                <w:p>
                  <w:pPr>
                    <w:pStyle w:val="29"/>
                    <w:jc w:val="center"/>
                    <w:rPr>
                      <w:rFonts w:hint="eastAsia" w:ascii="Times New Roman" w:hAnsi="Times New Roman" w:eastAsia="宋体" w:cs="宋体"/>
                      <w:b w:val="0"/>
                      <w:bCs w:val="0"/>
                      <w:color w:val="auto"/>
                      <w:sz w:val="21"/>
                      <w:szCs w:val="21"/>
                      <w:u w:val="none"/>
                    </w:rPr>
                  </w:pPr>
                  <w:r>
                    <w:rPr>
                      <w:rFonts w:hint="eastAsia" w:ascii="Times New Roman" w:hAnsi="Times New Roman" w:eastAsia="宋体" w:cs="宋体"/>
                      <w:b w:val="0"/>
                      <w:bCs w:val="0"/>
                      <w:color w:val="auto"/>
                      <w:sz w:val="21"/>
                      <w:szCs w:val="21"/>
                      <w:u w:val="none"/>
                    </w:rPr>
                    <w:t>《吉林省水环境质量巩固提升行动方案》摘录</w:t>
                  </w:r>
                </w:p>
              </w:tc>
              <w:tc>
                <w:tcPr>
                  <w:tcW w:w="1280" w:type="pct"/>
                  <w:tcBorders>
                    <w:top w:val="single" w:color="auto" w:sz="12" w:space="0"/>
                  </w:tcBorders>
                  <w:noWrap w:val="0"/>
                  <w:vAlign w:val="center"/>
                </w:tcPr>
                <w:p>
                  <w:pPr>
                    <w:pStyle w:val="29"/>
                    <w:jc w:val="center"/>
                    <w:rPr>
                      <w:rFonts w:hint="eastAsia" w:ascii="Times New Roman" w:hAnsi="Times New Roman" w:eastAsia="宋体" w:cs="宋体"/>
                      <w:b w:val="0"/>
                      <w:bCs w:val="0"/>
                      <w:color w:val="auto"/>
                      <w:sz w:val="21"/>
                      <w:szCs w:val="21"/>
                      <w:u w:val="none"/>
                    </w:rPr>
                  </w:pPr>
                  <w:r>
                    <w:rPr>
                      <w:rFonts w:hint="eastAsia" w:ascii="Times New Roman" w:hAnsi="Times New Roman" w:eastAsia="宋体" w:cs="宋体"/>
                      <w:b w:val="0"/>
                      <w:bCs w:val="0"/>
                      <w:color w:val="auto"/>
                      <w:sz w:val="21"/>
                      <w:szCs w:val="21"/>
                      <w:u w:val="none"/>
                    </w:rPr>
                    <w:t>符合性分析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3719" w:type="pct"/>
                  <w:noWrap w:val="0"/>
                  <w:vAlign w:val="center"/>
                </w:tcPr>
                <w:p>
                  <w:pPr>
                    <w:pStyle w:val="51"/>
                    <w:keepNext w:val="0"/>
                    <w:keepLines w:val="0"/>
                    <w:pageBreakBefore w:val="0"/>
                    <w:widowControl/>
                    <w:kinsoku/>
                    <w:wordWrap/>
                    <w:overflowPunct/>
                    <w:topLinePunct w:val="0"/>
                    <w:autoSpaceDE/>
                    <w:autoSpaceDN/>
                    <w:bidi w:val="0"/>
                    <w:adjustRightInd/>
                    <w:snapToGrid/>
                    <w:ind w:firstLine="0"/>
                    <w:textAlignment w:val="auto"/>
                    <w:rPr>
                      <w:rFonts w:hint="eastAsia" w:ascii="Times New Roman" w:hAnsi="Times New Roman" w:eastAsia="宋体"/>
                      <w:b w:val="0"/>
                      <w:bCs w:val="0"/>
                      <w:sz w:val="21"/>
                      <w:szCs w:val="21"/>
                      <w:u w:val="none"/>
                    </w:rPr>
                  </w:pPr>
                  <w:r>
                    <w:rPr>
                      <w:rFonts w:hint="eastAsia" w:ascii="Times New Roman" w:hAnsi="Times New Roman" w:eastAsia="宋体"/>
                      <w:b w:val="0"/>
                      <w:bCs w:val="0"/>
                      <w:sz w:val="21"/>
                      <w:szCs w:val="21"/>
                      <w:u w:val="none"/>
                    </w:rPr>
                    <w:t>加强重点行业管控和清洁化改造。严格落实“三线一单”环境管控要求，按照环境管控单元和环境准入清单实施分类管理，对不符合生态环境准入清单要求的企业一律禁止准入。全面推动农副食品加工、化工、造纸、钢铁、氮肥、印染、制药、农药、电镀、染料颜料等行业实施绿色化改造，推进清洁生产，减少工业企业污染物排放量。</w:t>
                  </w:r>
                </w:p>
              </w:tc>
              <w:tc>
                <w:tcPr>
                  <w:tcW w:w="1280" w:type="pct"/>
                  <w:noWrap w:val="0"/>
                  <w:vAlign w:val="center"/>
                </w:tcPr>
                <w:p>
                  <w:pPr>
                    <w:jc w:val="center"/>
                    <w:rPr>
                      <w:rFonts w:hint="eastAsia" w:ascii="Times New Roman" w:hAnsi="Times New Roman" w:eastAsia="宋体" w:cs="宋体"/>
                      <w:b w:val="0"/>
                      <w:bCs w:val="0"/>
                      <w:sz w:val="21"/>
                      <w:szCs w:val="21"/>
                      <w:u w:val="none"/>
                    </w:rPr>
                  </w:pPr>
                  <w:r>
                    <w:rPr>
                      <w:rFonts w:hint="eastAsia" w:ascii="Times New Roman" w:hAnsi="Times New Roman" w:eastAsia="宋体" w:cs="宋体"/>
                      <w:b w:val="0"/>
                      <w:bCs w:val="0"/>
                      <w:sz w:val="21"/>
                      <w:szCs w:val="21"/>
                      <w:u w:val="none"/>
                    </w:rPr>
                    <w:t>符合：根据前文分析，本项目符合“三线一单”环境管控要求。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3719" w:type="pct"/>
                  <w:tcBorders>
                    <w:bottom w:val="single" w:color="auto" w:sz="12" w:space="0"/>
                  </w:tcBorders>
                  <w:noWrap w:val="0"/>
                  <w:vAlign w:val="center"/>
                </w:tcPr>
                <w:p>
                  <w:pPr>
                    <w:pStyle w:val="51"/>
                    <w:keepNext w:val="0"/>
                    <w:keepLines w:val="0"/>
                    <w:pageBreakBefore w:val="0"/>
                    <w:widowControl/>
                    <w:kinsoku/>
                    <w:wordWrap/>
                    <w:overflowPunct/>
                    <w:topLinePunct w:val="0"/>
                    <w:autoSpaceDE/>
                    <w:autoSpaceDN/>
                    <w:bidi w:val="0"/>
                    <w:adjustRightInd/>
                    <w:snapToGrid/>
                    <w:ind w:firstLine="0"/>
                    <w:textAlignment w:val="auto"/>
                    <w:rPr>
                      <w:rFonts w:hint="eastAsia" w:ascii="Times New Roman" w:hAnsi="Times New Roman" w:eastAsia="宋体"/>
                      <w:b w:val="0"/>
                      <w:bCs w:val="0"/>
                      <w:spacing w:val="2"/>
                      <w:sz w:val="21"/>
                      <w:szCs w:val="21"/>
                      <w:u w:val="none"/>
                    </w:rPr>
                  </w:pPr>
                  <w:r>
                    <w:rPr>
                      <w:rFonts w:hint="eastAsia" w:ascii="Times New Roman" w:hAnsi="Times New Roman" w:eastAsia="宋体"/>
                      <w:b w:val="0"/>
                      <w:bCs w:val="0"/>
                      <w:sz w:val="21"/>
                      <w:szCs w:val="21"/>
                      <w:u w:val="none"/>
                    </w:rPr>
                    <w:t>持续开展入河（湖、库）排污口规范化整治。对入河（湖、库）排污口实行台账式、清单式管理。对新设置的排污口要严格审批，达到规范化建设要求。对已批准设置的排污口，要稳步推进规范化整治，设立标识牌并具备采样监测条件。对规模以上入河(湖、库)排污口，要具备水量和水质同步监测的能力。</w:t>
                  </w:r>
                </w:p>
              </w:tc>
              <w:tc>
                <w:tcPr>
                  <w:tcW w:w="1280" w:type="pct"/>
                  <w:tcBorders>
                    <w:bottom w:val="single" w:color="auto" w:sz="12" w:space="0"/>
                  </w:tcBorders>
                  <w:noWrap w:val="0"/>
                  <w:vAlign w:val="center"/>
                </w:tcPr>
                <w:p>
                  <w:pPr>
                    <w:jc w:val="left"/>
                    <w:rPr>
                      <w:rFonts w:hint="eastAsia" w:ascii="Times New Roman" w:hAnsi="Times New Roman" w:eastAsia="宋体" w:cs="宋体"/>
                      <w:b w:val="0"/>
                      <w:bCs w:val="0"/>
                      <w:sz w:val="21"/>
                      <w:szCs w:val="21"/>
                      <w:u w:val="none"/>
                    </w:rPr>
                  </w:pPr>
                  <w:r>
                    <w:rPr>
                      <w:rFonts w:hint="eastAsia" w:ascii="Times New Roman" w:hAnsi="Times New Roman" w:eastAsia="宋体" w:cs="宋体"/>
                      <w:b w:val="0"/>
                      <w:bCs w:val="0"/>
                      <w:sz w:val="21"/>
                      <w:szCs w:val="21"/>
                      <w:u w:val="none"/>
                    </w:rPr>
                    <w:t>符合：本项目</w:t>
                  </w:r>
                  <w:r>
                    <w:rPr>
                      <w:rFonts w:hint="eastAsia" w:ascii="Times New Roman" w:hAnsi="Times New Roman" w:eastAsia="宋体" w:cs="宋体"/>
                      <w:b w:val="0"/>
                      <w:bCs w:val="0"/>
                      <w:sz w:val="21"/>
                      <w:szCs w:val="21"/>
                      <w:u w:val="none"/>
                      <w:lang w:val="en-US" w:eastAsia="zh-CN"/>
                    </w:rPr>
                    <w:t>产生的锅炉排污水，为清净下水可直接排入市政污水管网</w:t>
                  </w:r>
                  <w:r>
                    <w:rPr>
                      <w:rFonts w:hint="eastAsia" w:ascii="Times New Roman" w:hAnsi="Times New Roman" w:eastAsia="宋体" w:cs="宋体"/>
                      <w:b w:val="0"/>
                      <w:bCs w:val="0"/>
                      <w:sz w:val="21"/>
                      <w:szCs w:val="21"/>
                      <w:u w:val="none"/>
                    </w:rPr>
                    <w:t>。</w:t>
                  </w:r>
                </w:p>
              </w:tc>
            </w:tr>
          </w:tbl>
          <w:p>
            <w:pPr>
              <w:kinsoku w:val="0"/>
              <w:overflowPunct w:val="0"/>
              <w:autoSpaceDE w:val="0"/>
              <w:autoSpaceDN w:val="0"/>
              <w:adjustRightInd w:val="0"/>
              <w:spacing w:line="360" w:lineRule="auto"/>
              <w:ind w:firstLine="480" w:firstLineChars="200"/>
              <w:rPr>
                <w:rFonts w:hint="eastAsia" w:ascii="Times New Roman" w:hAnsi="Times New Roman" w:eastAsia="宋体"/>
                <w:b w:val="0"/>
                <w:bCs w:val="0"/>
                <w:sz w:val="24"/>
                <w:szCs w:val="24"/>
                <w:u w:val="none"/>
              </w:rPr>
            </w:pPr>
            <w:r>
              <w:rPr>
                <w:rFonts w:ascii="Times New Roman" w:hAnsi="Times New Roman" w:eastAsia="宋体"/>
                <w:b w:val="0"/>
                <w:bCs w:val="0"/>
                <w:sz w:val="24"/>
                <w:szCs w:val="24"/>
                <w:u w:val="none"/>
              </w:rPr>
              <w:t>综上，本项目符合《吉林省水环境质量巩固提升行动方案</w:t>
            </w:r>
            <w:r>
              <w:rPr>
                <w:rFonts w:hint="eastAsia" w:ascii="Times New Roman" w:hAnsi="Times New Roman" w:eastAsia="宋体"/>
                <w:b w:val="0"/>
                <w:bCs w:val="0"/>
                <w:sz w:val="24"/>
                <w:szCs w:val="24"/>
                <w:u w:val="none"/>
              </w:rPr>
              <w:t>》相关规定。</w:t>
            </w:r>
          </w:p>
          <w:p>
            <w:pPr>
              <w:adjustRightInd w:val="0"/>
              <w:snapToGrid w:val="0"/>
              <w:spacing w:line="360" w:lineRule="auto"/>
              <w:ind w:firstLine="480" w:firstLineChars="200"/>
              <w:jc w:val="left"/>
              <w:rPr>
                <w:rFonts w:ascii="Times New Roman" w:hAnsi="Times New Roman" w:eastAsia="宋体"/>
                <w:b w:val="0"/>
                <w:bCs w:val="0"/>
                <w:i w:val="0"/>
                <w:iCs w:val="0"/>
                <w:sz w:val="24"/>
                <w:szCs w:val="24"/>
                <w:u w:val="none"/>
              </w:rPr>
            </w:pPr>
            <w:r>
              <w:rPr>
                <w:rFonts w:hint="eastAsia" w:ascii="Times New Roman" w:hAnsi="Times New Roman" w:eastAsia="宋体"/>
                <w:b w:val="0"/>
                <w:bCs w:val="0"/>
                <w:i w:val="0"/>
                <w:iCs w:val="0"/>
                <w:sz w:val="24"/>
                <w:szCs w:val="24"/>
                <w:u w:val="none"/>
                <w:lang w:val="en-US" w:eastAsia="zh-CN"/>
              </w:rPr>
              <w:t>4</w:t>
            </w:r>
            <w:r>
              <w:rPr>
                <w:rFonts w:hint="eastAsia" w:ascii="Times New Roman" w:hAnsi="Times New Roman" w:eastAsia="宋体"/>
                <w:b w:val="0"/>
                <w:bCs w:val="0"/>
                <w:i w:val="0"/>
                <w:iCs w:val="0"/>
                <w:sz w:val="24"/>
                <w:szCs w:val="24"/>
                <w:u w:val="none"/>
              </w:rPr>
              <w:t>、</w:t>
            </w:r>
            <w:r>
              <w:rPr>
                <w:rFonts w:ascii="Times New Roman" w:hAnsi="Times New Roman" w:eastAsia="宋体"/>
                <w:b w:val="0"/>
                <w:bCs w:val="0"/>
                <w:i w:val="0"/>
                <w:iCs w:val="0"/>
                <w:sz w:val="24"/>
                <w:szCs w:val="24"/>
                <w:u w:val="none"/>
              </w:rPr>
              <w:t>本项目与《吉林省的</w:t>
            </w:r>
            <w:r>
              <w:rPr>
                <w:rFonts w:hint="eastAsia" w:ascii="Times New Roman" w:hAnsi="Times New Roman" w:eastAsia="宋体"/>
                <w:b w:val="0"/>
                <w:bCs w:val="0"/>
                <w:i w:val="0"/>
                <w:iCs w:val="0"/>
                <w:sz w:val="24"/>
                <w:szCs w:val="24"/>
                <w:u w:val="none"/>
              </w:rPr>
              <w:t>土壤</w:t>
            </w:r>
            <w:r>
              <w:rPr>
                <w:rFonts w:ascii="Times New Roman" w:hAnsi="Times New Roman" w:eastAsia="宋体"/>
                <w:b w:val="0"/>
                <w:bCs w:val="0"/>
                <w:i w:val="0"/>
                <w:iCs w:val="0"/>
                <w:sz w:val="24"/>
                <w:szCs w:val="24"/>
                <w:u w:val="none"/>
              </w:rPr>
              <w:t>质量提升巩固方案》相符性分析</w:t>
            </w:r>
          </w:p>
          <w:p>
            <w:pPr>
              <w:jc w:val="center"/>
              <w:rPr>
                <w:rFonts w:ascii="Times New Roman" w:hAnsi="Times New Roman" w:eastAsia="宋体"/>
                <w:b/>
                <w:bCs/>
                <w:i w:val="0"/>
                <w:iCs w:val="0"/>
                <w:sz w:val="21"/>
                <w:szCs w:val="21"/>
                <w:u w:val="none"/>
              </w:rPr>
            </w:pPr>
            <w:r>
              <w:rPr>
                <w:rFonts w:ascii="Times New Roman" w:hAnsi="Times New Roman" w:eastAsia="宋体"/>
                <w:b/>
                <w:bCs/>
                <w:i w:val="0"/>
                <w:iCs w:val="0"/>
                <w:sz w:val="21"/>
                <w:szCs w:val="21"/>
                <w:u w:val="none"/>
              </w:rPr>
              <w:t>表</w:t>
            </w:r>
            <w:r>
              <w:rPr>
                <w:rFonts w:hint="eastAsia"/>
                <w:b/>
                <w:bCs/>
                <w:i w:val="0"/>
                <w:iCs w:val="0"/>
                <w:sz w:val="21"/>
                <w:szCs w:val="21"/>
                <w:u w:val="none"/>
                <w:lang w:val="en-US" w:eastAsia="zh-CN"/>
              </w:rPr>
              <w:t>1-6</w:t>
            </w:r>
            <w:r>
              <w:rPr>
                <w:rFonts w:hint="eastAsia" w:ascii="Times New Roman" w:hAnsi="Times New Roman" w:eastAsia="宋体"/>
                <w:b/>
                <w:bCs/>
                <w:i w:val="0"/>
                <w:iCs w:val="0"/>
                <w:sz w:val="21"/>
                <w:szCs w:val="21"/>
                <w:u w:val="none"/>
                <w:lang w:val="en-US" w:eastAsia="zh-CN"/>
              </w:rPr>
              <w:t xml:space="preserve"> </w:t>
            </w:r>
            <w:r>
              <w:rPr>
                <w:rFonts w:ascii="Times New Roman" w:hAnsi="Times New Roman" w:eastAsia="宋体"/>
                <w:b/>
                <w:bCs/>
                <w:i w:val="0"/>
                <w:iCs w:val="0"/>
                <w:sz w:val="21"/>
                <w:szCs w:val="21"/>
                <w:u w:val="none"/>
              </w:rPr>
              <w:t>本项目与吉林省的空气质量提升巩固方案相符性分析表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729"/>
              <w:gridCol w:w="1098"/>
              <w:gridCol w:w="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06" w:type="pct"/>
                  <w:gridSpan w:val="2"/>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内容</w:t>
                  </w:r>
                </w:p>
              </w:tc>
              <w:tc>
                <w:tcPr>
                  <w:tcW w:w="875"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符合性分析</w:t>
                  </w:r>
                </w:p>
              </w:tc>
              <w:tc>
                <w:tcPr>
                  <w:tcW w:w="618"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 w:type="pct"/>
                  <w:vMerge w:val="restar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加强土壤重点监管企业管控</w:t>
                  </w:r>
                </w:p>
              </w:tc>
              <w:tc>
                <w:tcPr>
                  <w:tcW w:w="2972" w:type="pct"/>
                  <w:noWrap w:val="0"/>
                  <w:vAlign w:val="center"/>
                </w:tcPr>
                <w:p>
                  <w:pPr>
                    <w:jc w:val="left"/>
                    <w:rPr>
                      <w:rFonts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落实有色金属冶炼、石油加工、化工、焦化、电镀、制革等土壤污染重点监管企业污染隐患排查、自行监测、拆除生产设备污染防治方案备案等制度，制定环境污染事件应急预案。完成重点企业地下储罐核实登记。开展重点企业周边土壤环境质量监测</w:t>
                  </w:r>
                </w:p>
              </w:tc>
              <w:tc>
                <w:tcPr>
                  <w:tcW w:w="875" w:type="pct"/>
                  <w:noWrap w:val="0"/>
                  <w:vAlign w:val="center"/>
                </w:tcPr>
                <w:p>
                  <w:pPr>
                    <w:jc w:val="left"/>
                    <w:rPr>
                      <w:rFonts w:hint="eastAsia"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本项目不属于土壤监管重点行业和企业。</w:t>
                  </w:r>
                </w:p>
              </w:tc>
              <w:tc>
                <w:tcPr>
                  <w:tcW w:w="618"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33" w:type="pct"/>
                  <w:vMerge w:val="continue"/>
                  <w:noWrap w:val="0"/>
                  <w:vAlign w:val="center"/>
                </w:tcPr>
                <w:p>
                  <w:pPr>
                    <w:jc w:val="center"/>
                    <w:rPr>
                      <w:rFonts w:ascii="Times New Roman" w:hAnsi="Times New Roman" w:eastAsia="宋体"/>
                      <w:b w:val="0"/>
                      <w:bCs w:val="0"/>
                      <w:i w:val="0"/>
                      <w:iCs w:val="0"/>
                      <w:sz w:val="21"/>
                      <w:szCs w:val="21"/>
                      <w:u w:val="none"/>
                    </w:rPr>
                  </w:pPr>
                </w:p>
              </w:tc>
              <w:tc>
                <w:tcPr>
                  <w:tcW w:w="2972" w:type="pct"/>
                  <w:noWrap w:val="0"/>
                  <w:vAlign w:val="center"/>
                </w:tcPr>
                <w:p>
                  <w:pPr>
                    <w:rPr>
                      <w:rFonts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推进疑似污染地块土壤环境质量状况调查评估和污染地块治理修复、效果评估及其评审，促进评审结果可视化应用。污染地块依据土壤环境质量调查报告和评估报告，合理规划土地用途，纳入国土空间规划“一张图”管理。建立污染地块名录，污染地块经治理修复和效果评估符合土壤环境质量要求后再开发利用。</w:t>
                  </w:r>
                </w:p>
              </w:tc>
              <w:tc>
                <w:tcPr>
                  <w:tcW w:w="875" w:type="pct"/>
                  <w:noWrap w:val="0"/>
                  <w:vAlign w:val="center"/>
                </w:tcPr>
                <w:p>
                  <w:pPr>
                    <w:jc w:val="left"/>
                    <w:rPr>
                      <w:rFonts w:ascii="Times New Roman" w:hAnsi="Times New Roman" w:eastAsia="宋体"/>
                      <w:b w:val="0"/>
                      <w:bCs w:val="0"/>
                      <w:i w:val="0"/>
                      <w:iCs w:val="0"/>
                      <w:sz w:val="21"/>
                      <w:szCs w:val="21"/>
                      <w:u w:val="none"/>
                    </w:rPr>
                  </w:pPr>
                  <w:r>
                    <w:rPr>
                      <w:rFonts w:hint="eastAsia" w:ascii="Times New Roman" w:hAnsi="Times New Roman" w:eastAsia="宋体"/>
                      <w:b w:val="0"/>
                      <w:bCs w:val="0"/>
                      <w:i w:val="0"/>
                      <w:iCs w:val="0"/>
                      <w:sz w:val="21"/>
                      <w:szCs w:val="21"/>
                      <w:u w:val="none"/>
                    </w:rPr>
                    <w:t>本项目所在地块土壤环境质量良好。</w:t>
                  </w:r>
                </w:p>
              </w:tc>
              <w:tc>
                <w:tcPr>
                  <w:tcW w:w="618" w:type="pct"/>
                  <w:noWrap w:val="0"/>
                  <w:vAlign w:val="center"/>
                </w:tcPr>
                <w:p>
                  <w:pPr>
                    <w:jc w:val="center"/>
                    <w:rPr>
                      <w:rFonts w:ascii="Times New Roman" w:hAnsi="Times New Roman" w:eastAsia="宋体"/>
                      <w:b w:val="0"/>
                      <w:bCs w:val="0"/>
                      <w:i w:val="0"/>
                      <w:iCs w:val="0"/>
                      <w:sz w:val="21"/>
                      <w:szCs w:val="21"/>
                      <w:u w:val="none"/>
                    </w:rPr>
                  </w:pPr>
                  <w:r>
                    <w:rPr>
                      <w:rFonts w:ascii="Times New Roman" w:hAnsi="Times New Roman" w:eastAsia="宋体"/>
                      <w:b w:val="0"/>
                      <w:bCs w:val="0"/>
                      <w:i w:val="0"/>
                      <w:iCs w:val="0"/>
                      <w:sz w:val="21"/>
                      <w:szCs w:val="21"/>
                      <w:u w:val="none"/>
                    </w:rPr>
                    <w:t>符合</w:t>
                  </w:r>
                </w:p>
              </w:tc>
            </w:tr>
          </w:tbl>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r>
              <w:rPr>
                <w:rFonts w:ascii="Times New Roman" w:hAnsi="Times New Roman" w:eastAsia="宋体"/>
                <w:b w:val="0"/>
                <w:bCs w:val="0"/>
                <w:i w:val="0"/>
                <w:iCs w:val="0"/>
                <w:sz w:val="24"/>
                <w:szCs w:val="24"/>
                <w:u w:val="none"/>
              </w:rPr>
              <w:t>综上，本项目的建设符合</w:t>
            </w:r>
            <w:r>
              <w:rPr>
                <w:rFonts w:hint="eastAsia" w:ascii="Times New Roman" w:hAnsi="Times New Roman" w:eastAsia="宋体"/>
                <w:b w:val="0"/>
                <w:bCs w:val="0"/>
                <w:i w:val="0"/>
                <w:iCs w:val="0"/>
                <w:sz w:val="24"/>
                <w:szCs w:val="24"/>
                <w:u w:val="none"/>
              </w:rPr>
              <w:t>《</w:t>
            </w:r>
            <w:r>
              <w:rPr>
                <w:rFonts w:ascii="Times New Roman" w:hAnsi="Times New Roman" w:eastAsia="宋体"/>
                <w:b w:val="0"/>
                <w:bCs w:val="0"/>
                <w:i w:val="0"/>
                <w:iCs w:val="0"/>
                <w:sz w:val="24"/>
                <w:szCs w:val="24"/>
                <w:u w:val="none"/>
              </w:rPr>
              <w:t>吉林省</w:t>
            </w:r>
            <w:r>
              <w:rPr>
                <w:rFonts w:hint="eastAsia" w:ascii="Times New Roman" w:hAnsi="Times New Roman" w:eastAsia="宋体"/>
                <w:b w:val="0"/>
                <w:bCs w:val="0"/>
                <w:i w:val="0"/>
                <w:iCs w:val="0"/>
                <w:sz w:val="24"/>
                <w:szCs w:val="24"/>
                <w:u w:val="none"/>
              </w:rPr>
              <w:t>土壤</w:t>
            </w:r>
            <w:r>
              <w:rPr>
                <w:rFonts w:ascii="Times New Roman" w:hAnsi="Times New Roman" w:eastAsia="宋体"/>
                <w:b w:val="0"/>
                <w:bCs w:val="0"/>
                <w:i w:val="0"/>
                <w:iCs w:val="0"/>
                <w:sz w:val="24"/>
                <w:szCs w:val="24"/>
                <w:u w:val="none"/>
              </w:rPr>
              <w:t>质量提升巩固方案</w:t>
            </w:r>
            <w:r>
              <w:rPr>
                <w:rFonts w:hint="eastAsia" w:ascii="Times New Roman" w:hAnsi="Times New Roman" w:eastAsia="宋体"/>
                <w:b w:val="0"/>
                <w:bCs w:val="0"/>
                <w:i w:val="0"/>
                <w:iCs w:val="0"/>
                <w:sz w:val="24"/>
                <w:szCs w:val="24"/>
                <w:u w:val="none"/>
              </w:rPr>
              <w:t>》</w:t>
            </w:r>
            <w:r>
              <w:rPr>
                <w:rFonts w:ascii="Times New Roman" w:hAnsi="Times New Roman" w:eastAsia="宋体"/>
                <w:b w:val="0"/>
                <w:bCs w:val="0"/>
                <w:i w:val="0"/>
                <w:iCs w:val="0"/>
                <w:sz w:val="24"/>
                <w:szCs w:val="24"/>
                <w:u w:val="none"/>
              </w:rPr>
              <w:t>的相关要求。</w:t>
            </w: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autoSpaceDE w:val="0"/>
              <w:autoSpaceDN w:val="0"/>
              <w:adjustRightInd w:val="0"/>
              <w:snapToGrid w:val="0"/>
              <w:spacing w:line="360" w:lineRule="auto"/>
              <w:ind w:firstLine="480" w:firstLineChars="200"/>
              <w:rPr>
                <w:rFonts w:ascii="Times New Roman" w:hAnsi="Times New Roman" w:eastAsia="宋体"/>
                <w:b w:val="0"/>
                <w:bCs w:val="0"/>
                <w:i w:val="0"/>
                <w:iCs w:val="0"/>
                <w:sz w:val="24"/>
                <w:szCs w:val="24"/>
                <w:u w:val="none"/>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pStyle w:val="8"/>
              <w:keepNext w:val="0"/>
              <w:keepLines w:val="0"/>
              <w:pageBreakBefore w:val="0"/>
              <w:kinsoku/>
              <w:wordWrap/>
              <w:overflowPunct/>
              <w:topLinePunct w:val="0"/>
              <w:bidi w:val="0"/>
              <w:spacing w:before="0" w:after="0" w:line="360" w:lineRule="auto"/>
              <w:ind w:right="0" w:firstLine="0" w:firstLineChars="0"/>
              <w:textAlignment w:val="auto"/>
              <w:rPr>
                <w:rFonts w:hint="eastAsia" w:ascii="Times New Roman" w:hAnsi="Times New Roman" w:eastAsia="宋体"/>
                <w:kern w:val="0"/>
                <w:sz w:val="21"/>
                <w:szCs w:val="21"/>
                <w:lang w:eastAsia="zh-CN"/>
              </w:rPr>
            </w:pPr>
          </w:p>
          <w:p>
            <w:pPr>
              <w:pStyle w:val="9"/>
              <w:keepNext w:val="0"/>
              <w:keepLines w:val="0"/>
              <w:pageBreakBefore w:val="0"/>
              <w:kinsoku/>
              <w:wordWrap/>
              <w:overflowPunct/>
              <w:topLinePunct w:val="0"/>
              <w:bidi w:val="0"/>
              <w:spacing w:before="0" w:after="0"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bidi w:val="0"/>
              <w:spacing w:line="360" w:lineRule="auto"/>
              <w:ind w:right="0" w:firstLine="0" w:firstLineChars="0"/>
              <w:textAlignment w:val="auto"/>
              <w:rPr>
                <w:rFonts w:hint="eastAsia"/>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line="360" w:lineRule="auto"/>
              <w:ind w:right="0" w:firstLine="0" w:firstLineChars="0"/>
              <w:textAlignment w:val="auto"/>
              <w:rPr>
                <w:rFonts w:hint="eastAsia" w:ascii="Times New Roman" w:hAnsi="Times New Roman" w:eastAsia="宋体"/>
                <w:kern w:val="0"/>
                <w:sz w:val="21"/>
                <w:szCs w:val="21"/>
                <w:lang w:eastAsia="zh-CN"/>
              </w:rPr>
            </w:pPr>
          </w:p>
          <w:p>
            <w:pPr>
              <w:autoSpaceDE w:val="0"/>
              <w:autoSpaceDN w:val="0"/>
              <w:adjustRightInd w:val="0"/>
              <w:snapToGrid w:val="0"/>
              <w:spacing w:line="360" w:lineRule="auto"/>
              <w:rPr>
                <w:rFonts w:hint="eastAsia" w:ascii="Times New Roman" w:hAnsi="Times New Roman" w:eastAsia="宋体"/>
                <w:kern w:val="0"/>
                <w:sz w:val="21"/>
                <w:szCs w:val="21"/>
                <w:lang w:eastAsia="zh-CN"/>
              </w:rPr>
            </w:pPr>
          </w:p>
        </w:tc>
      </w:tr>
    </w:tbl>
    <w:p>
      <w:pPr>
        <w:spacing w:line="360" w:lineRule="auto"/>
        <w:outlineLvl w:val="0"/>
        <w:rPr>
          <w:rFonts w:ascii="Times New Roman" w:hAnsi="Times New Roman" w:eastAsia="宋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0"/>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二、建设项目工程分析</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23" w:type="dxa"/>
            <w:vAlign w:val="center"/>
          </w:tcPr>
          <w:p>
            <w:pPr>
              <w:pStyle w:val="20"/>
              <w:adjustRightInd w:val="0"/>
              <w:snapToGrid w:val="0"/>
              <w:spacing w:before="0" w:beforeAutospacing="0" w:after="0" w:afterAutospacing="0"/>
              <w:jc w:val="center"/>
              <w:rPr>
                <w:rFonts w:ascii="Times New Roman" w:hAnsi="Times New Roman" w:eastAsia="宋体"/>
                <w:color w:val="auto"/>
                <w:szCs w:val="24"/>
              </w:rPr>
            </w:pPr>
            <w:r>
              <w:rPr>
                <w:rFonts w:ascii="Times New Roman" w:hAnsi="Times New Roman" w:eastAsia="宋体"/>
                <w:color w:val="auto"/>
                <w:szCs w:val="24"/>
              </w:rPr>
              <w:t>建设内容</w:t>
            </w:r>
          </w:p>
        </w:tc>
        <w:tc>
          <w:tcPr>
            <w:tcW w:w="8161" w:type="dxa"/>
          </w:tcPr>
          <w:p>
            <w:pPr>
              <w:adjustRightInd w:val="0"/>
              <w:snapToGrid w:val="0"/>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一</w:t>
            </w:r>
            <w:r>
              <w:rPr>
                <w:rFonts w:ascii="Times New Roman" w:hAnsi="Times New Roman" w:eastAsia="宋体"/>
                <w:b/>
                <w:bCs/>
                <w:color w:val="auto"/>
                <w:sz w:val="24"/>
                <w:szCs w:val="24"/>
              </w:rPr>
              <w:t>、项目组成</w:t>
            </w:r>
          </w:p>
          <w:p>
            <w:pPr>
              <w:adjustRightInd w:val="0"/>
              <w:snapToGrid w:val="0"/>
              <w:spacing w:line="360" w:lineRule="auto"/>
              <w:ind w:firstLine="480" w:firstLineChars="200"/>
              <w:rPr>
                <w:rFonts w:hint="default"/>
                <w:bCs/>
                <w:color w:val="auto"/>
                <w:sz w:val="24"/>
                <w:szCs w:val="24"/>
                <w:u w:val="none"/>
                <w:lang w:val="en-US" w:eastAsia="zh-CN"/>
              </w:rPr>
            </w:pPr>
            <w:r>
              <w:rPr>
                <w:rFonts w:hint="eastAsia" w:ascii="Times New Roman" w:hAnsi="Times New Roman" w:eastAsia="宋体"/>
                <w:bCs/>
                <w:color w:val="auto"/>
                <w:sz w:val="24"/>
                <w:szCs w:val="24"/>
                <w:u w:val="none"/>
                <w:lang w:val="en-US" w:eastAsia="zh-CN"/>
              </w:rPr>
              <w:t>本项目位于</w:t>
            </w:r>
            <w:r>
              <w:rPr>
                <w:rFonts w:hint="eastAsia" w:cs="宋体"/>
                <w:color w:val="auto"/>
                <w:sz w:val="24"/>
                <w:szCs w:val="24"/>
                <w:u w:val="none"/>
                <w:lang w:val="en-US" w:eastAsia="zh-CN"/>
              </w:rPr>
              <w:t>吉林省长春市北湖科技开发区科智路以北</w:t>
            </w:r>
            <w:r>
              <w:rPr>
                <w:rFonts w:hint="eastAsia" w:ascii="Times New Roman" w:hAnsi="Times New Roman" w:eastAsia="宋体"/>
                <w:bCs/>
                <w:color w:val="auto"/>
                <w:sz w:val="24"/>
                <w:szCs w:val="24"/>
                <w:u w:val="none"/>
              </w:rPr>
              <w:t>，</w:t>
            </w:r>
            <w:r>
              <w:rPr>
                <w:rFonts w:hint="eastAsia" w:ascii="Times New Roman" w:hAnsi="Times New Roman" w:eastAsia="宋体"/>
                <w:bCs/>
                <w:color w:val="auto"/>
                <w:sz w:val="24"/>
                <w:szCs w:val="24"/>
                <w:u w:val="none"/>
                <w:lang w:val="en-US" w:eastAsia="zh-CN"/>
              </w:rPr>
              <w:t>项目</w:t>
            </w:r>
            <w:r>
              <w:rPr>
                <w:rFonts w:hint="eastAsia" w:ascii="Times New Roman" w:hAnsi="Times New Roman" w:eastAsia="宋体"/>
                <w:color w:val="auto"/>
                <w:sz w:val="24"/>
                <w:szCs w:val="24"/>
                <w:u w:val="none"/>
                <w:lang w:val="en-US" w:eastAsia="zh-CN"/>
              </w:rPr>
              <w:t>占地面积</w:t>
            </w:r>
            <w:r>
              <w:rPr>
                <w:rFonts w:hint="eastAsia"/>
                <w:color w:val="auto"/>
                <w:sz w:val="24"/>
                <w:szCs w:val="24"/>
                <w:u w:val="none"/>
                <w:lang w:val="en-US" w:eastAsia="zh-CN"/>
              </w:rPr>
              <w:t>15000</w:t>
            </w:r>
            <w:r>
              <w:rPr>
                <w:rFonts w:ascii="Times New Roman" w:hAnsi="Times New Roman" w:eastAsia="宋体"/>
                <w:color w:val="auto"/>
                <w:sz w:val="24"/>
                <w:szCs w:val="24"/>
                <w:u w:val="none"/>
              </w:rPr>
              <w:t>m</w:t>
            </w:r>
            <w:r>
              <w:rPr>
                <w:rFonts w:ascii="Times New Roman" w:hAnsi="Times New Roman" w:eastAsia="宋体"/>
                <w:color w:val="auto"/>
                <w:sz w:val="24"/>
                <w:szCs w:val="24"/>
                <w:u w:val="none"/>
                <w:vertAlign w:val="superscript"/>
              </w:rPr>
              <w:t>2</w:t>
            </w:r>
            <w:r>
              <w:rPr>
                <w:rFonts w:hint="eastAsia"/>
                <w:color w:val="auto"/>
                <w:sz w:val="24"/>
                <w:szCs w:val="24"/>
                <w:u w:val="none"/>
                <w:vertAlign w:val="baseline"/>
                <w:lang w:eastAsia="zh-CN"/>
              </w:rPr>
              <w:t>、</w:t>
            </w:r>
            <w:r>
              <w:rPr>
                <w:rFonts w:hint="eastAsia"/>
                <w:color w:val="0000FF"/>
                <w:sz w:val="24"/>
                <w:szCs w:val="24"/>
                <w:u w:val="none"/>
                <w:vertAlign w:val="baseline"/>
                <w:lang w:val="en-US" w:eastAsia="zh-CN"/>
              </w:rPr>
              <w:t>总建筑面积11575.98</w:t>
            </w:r>
            <w:r>
              <w:rPr>
                <w:rFonts w:ascii="Times New Roman" w:hAnsi="Times New Roman" w:eastAsia="宋体"/>
                <w:color w:val="0000FF"/>
                <w:sz w:val="24"/>
                <w:szCs w:val="24"/>
                <w:u w:val="none"/>
              </w:rPr>
              <w:t>m</w:t>
            </w:r>
            <w:r>
              <w:rPr>
                <w:rFonts w:ascii="Times New Roman" w:hAnsi="Times New Roman" w:eastAsia="宋体"/>
                <w:color w:val="0000FF"/>
                <w:sz w:val="24"/>
                <w:szCs w:val="24"/>
                <w:u w:val="none"/>
                <w:vertAlign w:val="superscript"/>
              </w:rPr>
              <w:t>2</w:t>
            </w:r>
            <w:r>
              <w:rPr>
                <w:rFonts w:hint="eastAsia" w:ascii="Times New Roman" w:hAnsi="Times New Roman" w:eastAsia="宋体"/>
                <w:bCs/>
                <w:color w:val="auto"/>
                <w:sz w:val="24"/>
                <w:szCs w:val="24"/>
                <w:u w:val="none"/>
              </w:rPr>
              <w:t>。</w:t>
            </w:r>
            <w:r>
              <w:rPr>
                <w:rFonts w:hint="eastAsia"/>
                <w:bCs/>
                <w:color w:val="auto"/>
                <w:sz w:val="24"/>
                <w:szCs w:val="24"/>
                <w:u w:val="none"/>
                <w:lang w:val="en-US" w:eastAsia="zh-CN"/>
              </w:rPr>
              <w:t>本项目年组装3000台套5G气凝胶多功能巡防消防车</w:t>
            </w:r>
            <w:r>
              <w:rPr>
                <w:rFonts w:hint="eastAsia"/>
                <w:color w:val="0000FF"/>
                <w:sz w:val="24"/>
                <w:szCs w:val="24"/>
                <w:lang w:val="en-US" w:eastAsia="zh-CN"/>
              </w:rPr>
              <w:t>（</w:t>
            </w:r>
            <w:r>
              <w:rPr>
                <w:rFonts w:hint="eastAsia"/>
                <w:color w:val="0000FF"/>
                <w:sz w:val="24"/>
                <w:szCs w:val="24"/>
                <w:lang w:val="en-US" w:eastAsia="zh-CN"/>
              </w:rPr>
              <w:t>本项目厂区内不设涂装、电镀、焊接、热处理、表面处理等生产工序，仅进行组装）、</w:t>
            </w:r>
            <w:r>
              <w:rPr>
                <w:rFonts w:hint="eastAsia"/>
                <w:bCs/>
                <w:color w:val="0000FF"/>
                <w:sz w:val="24"/>
                <w:szCs w:val="24"/>
                <w:u w:val="none"/>
                <w:lang w:val="en-US" w:eastAsia="zh-CN"/>
              </w:rPr>
              <w:t>灌装100万件小型手持气凝胶灭火器</w:t>
            </w:r>
            <w:r>
              <w:rPr>
                <w:rFonts w:hint="eastAsia"/>
                <w:bCs/>
                <w:color w:val="auto"/>
                <w:sz w:val="24"/>
                <w:szCs w:val="24"/>
                <w:u w:val="none"/>
                <w:lang w:val="en-US" w:eastAsia="zh-CN"/>
              </w:rPr>
              <w:t>、灌装50万件背负式气凝胶灭火器。</w:t>
            </w:r>
          </w:p>
          <w:p>
            <w:pPr>
              <w:adjustRightInd w:val="0"/>
              <w:snapToGrid w:val="0"/>
              <w:spacing w:line="360" w:lineRule="auto"/>
              <w:ind w:firstLine="480" w:firstLineChars="200"/>
              <w:rPr>
                <w:rFonts w:hint="eastAsia" w:ascii="Times New Roman" w:hAnsi="Times New Roman" w:eastAsia="宋体"/>
                <w:bCs/>
                <w:color w:val="auto"/>
                <w:sz w:val="24"/>
                <w:szCs w:val="24"/>
                <w:u w:val="none"/>
              </w:rPr>
            </w:pPr>
            <w:r>
              <w:rPr>
                <w:rFonts w:hint="eastAsia"/>
                <w:bCs/>
                <w:color w:val="auto"/>
                <w:sz w:val="24"/>
                <w:szCs w:val="24"/>
                <w:u w:val="none"/>
                <w:lang w:val="en-US" w:eastAsia="zh-CN"/>
              </w:rPr>
              <w:t>同时</w:t>
            </w:r>
            <w:r>
              <w:rPr>
                <w:rFonts w:hint="eastAsia" w:ascii="Times New Roman" w:hAnsi="Times New Roman" w:eastAsia="宋体"/>
                <w:b w:val="0"/>
                <w:bCs/>
                <w:color w:val="auto"/>
                <w:sz w:val="24"/>
                <w:szCs w:val="24"/>
                <w:u w:val="none"/>
                <w:lang w:val="en-US" w:eastAsia="zh-CN"/>
              </w:rPr>
              <w:t>由于集中供热</w:t>
            </w:r>
            <w:r>
              <w:rPr>
                <w:rFonts w:hint="eastAsia"/>
                <w:b w:val="0"/>
                <w:bCs/>
                <w:color w:val="auto"/>
                <w:sz w:val="24"/>
                <w:szCs w:val="24"/>
                <w:u w:val="none"/>
                <w:lang w:val="en-US" w:eastAsia="zh-CN"/>
              </w:rPr>
              <w:t>管网未覆盖到企业所在地，</w:t>
            </w:r>
            <w:r>
              <w:rPr>
                <w:rFonts w:hint="eastAsia" w:ascii="Times New Roman" w:hAnsi="Times New Roman" w:eastAsia="宋体" w:cs="宋体"/>
                <w:b w:val="0"/>
                <w:bCs/>
                <w:color w:val="auto"/>
                <w:sz w:val="24"/>
                <w:szCs w:val="24"/>
                <w:u w:val="none"/>
                <w:lang w:val="en-US" w:eastAsia="zh-CN"/>
              </w:rPr>
              <w:t>为满足</w:t>
            </w:r>
            <w:r>
              <w:rPr>
                <w:rFonts w:hint="eastAsia"/>
                <w:b w:val="0"/>
                <w:bCs/>
                <w:color w:val="auto"/>
                <w:sz w:val="24"/>
                <w:szCs w:val="24"/>
                <w:u w:val="none"/>
                <w:lang w:val="en-US" w:eastAsia="zh-CN"/>
              </w:rPr>
              <w:t>本项目厂房及综合楼</w:t>
            </w:r>
            <w:r>
              <w:rPr>
                <w:rFonts w:hint="eastAsia" w:ascii="Times New Roman" w:hAnsi="Times New Roman" w:eastAsia="宋体" w:cs="宋体"/>
                <w:b w:val="0"/>
                <w:bCs/>
                <w:color w:val="auto"/>
                <w:sz w:val="24"/>
                <w:szCs w:val="24"/>
                <w:u w:val="none"/>
                <w:lang w:val="en-US" w:eastAsia="zh-CN"/>
              </w:rPr>
              <w:t>冬季供暖温度需求，故</w:t>
            </w:r>
            <w:r>
              <w:rPr>
                <w:rFonts w:hint="eastAsia" w:ascii="Times New Roman" w:hAnsi="Times New Roman" w:eastAsia="宋体"/>
                <w:b w:val="0"/>
                <w:bCs/>
                <w:color w:val="auto"/>
                <w:sz w:val="24"/>
                <w:szCs w:val="24"/>
                <w:u w:val="none"/>
              </w:rPr>
              <w:t>新建</w:t>
            </w:r>
            <w:r>
              <w:rPr>
                <w:rFonts w:hint="eastAsia"/>
                <w:b w:val="0"/>
                <w:bCs/>
                <w:color w:val="auto"/>
                <w:sz w:val="24"/>
                <w:szCs w:val="24"/>
                <w:u w:val="none"/>
                <w:lang w:val="en-US" w:eastAsia="zh-CN"/>
              </w:rPr>
              <w:t>1台4t/h</w:t>
            </w:r>
            <w:r>
              <w:rPr>
                <w:rFonts w:hint="eastAsia" w:ascii="Times New Roman" w:hAnsi="Times New Roman" w:eastAsia="宋体"/>
                <w:b w:val="0"/>
                <w:bCs/>
                <w:color w:val="auto"/>
                <w:sz w:val="24"/>
                <w:szCs w:val="24"/>
                <w:u w:val="none"/>
              </w:rPr>
              <w:t>的</w:t>
            </w:r>
            <w:r>
              <w:rPr>
                <w:rFonts w:hint="eastAsia"/>
                <w:b w:val="0"/>
                <w:bCs/>
                <w:color w:val="auto"/>
                <w:sz w:val="24"/>
                <w:szCs w:val="24"/>
                <w:u w:val="none"/>
                <w:lang w:eastAsia="zh-CN"/>
              </w:rPr>
              <w:t>燃天然气</w:t>
            </w:r>
            <w:r>
              <w:rPr>
                <w:rFonts w:hint="eastAsia"/>
                <w:b w:val="0"/>
                <w:bCs/>
                <w:color w:val="auto"/>
                <w:sz w:val="24"/>
                <w:szCs w:val="24"/>
                <w:u w:val="none"/>
                <w:lang w:val="en-US" w:eastAsia="zh-CN"/>
              </w:rPr>
              <w:t>热水锅炉</w:t>
            </w:r>
            <w:r>
              <w:rPr>
                <w:rFonts w:ascii="Times New Roman" w:hAnsi="Times New Roman" w:eastAsia="宋体"/>
                <w:b w:val="0"/>
                <w:bCs/>
                <w:color w:val="auto"/>
                <w:sz w:val="24"/>
                <w:szCs w:val="24"/>
                <w:u w:val="none"/>
              </w:rPr>
              <w:t>为</w:t>
            </w:r>
            <w:r>
              <w:rPr>
                <w:rFonts w:hint="eastAsia"/>
                <w:b w:val="0"/>
                <w:bCs/>
                <w:color w:val="auto"/>
                <w:sz w:val="24"/>
                <w:szCs w:val="24"/>
                <w:u w:val="none"/>
                <w:lang w:val="en-US" w:eastAsia="zh-CN"/>
              </w:rPr>
              <w:t>本项目厂房及综合楼</w:t>
            </w:r>
            <w:r>
              <w:rPr>
                <w:rFonts w:hint="eastAsia" w:ascii="Times New Roman" w:hAnsi="Times New Roman" w:eastAsia="宋体" w:cs="宋体"/>
                <w:b w:val="0"/>
                <w:bCs/>
                <w:color w:val="auto"/>
                <w:sz w:val="24"/>
                <w:szCs w:val="24"/>
                <w:u w:val="none"/>
                <w:lang w:val="en-US" w:eastAsia="zh-CN"/>
              </w:rPr>
              <w:t>冬季</w:t>
            </w:r>
            <w:r>
              <w:rPr>
                <w:rFonts w:hint="eastAsia" w:cs="宋体"/>
                <w:b w:val="0"/>
                <w:bCs/>
                <w:color w:val="auto"/>
                <w:sz w:val="24"/>
                <w:szCs w:val="24"/>
                <w:u w:val="none"/>
                <w:lang w:val="en-US" w:eastAsia="zh-CN"/>
              </w:rPr>
              <w:t>供暖</w:t>
            </w:r>
            <w:r>
              <w:rPr>
                <w:rFonts w:ascii="Times New Roman" w:hAnsi="Times New Roman" w:eastAsia="宋体"/>
                <w:b w:val="0"/>
                <w:bCs/>
                <w:color w:val="auto"/>
                <w:sz w:val="24"/>
                <w:szCs w:val="24"/>
                <w:u w:val="none"/>
              </w:rPr>
              <w:t>提供热源</w:t>
            </w:r>
            <w:r>
              <w:rPr>
                <w:rFonts w:hint="eastAsia" w:ascii="Times New Roman" w:hAnsi="Times New Roman" w:eastAsia="宋体"/>
                <w:b w:val="0"/>
                <w:bCs/>
                <w:color w:val="auto"/>
                <w:sz w:val="24"/>
                <w:szCs w:val="24"/>
                <w:u w:val="none"/>
              </w:rPr>
              <w:t>。</w:t>
            </w:r>
          </w:p>
          <w:p>
            <w:pPr>
              <w:adjustRightInd w:val="0"/>
              <w:snapToGrid w:val="0"/>
              <w:spacing w:line="360" w:lineRule="auto"/>
              <w:ind w:firstLine="480" w:firstLineChars="200"/>
              <w:rPr>
                <w:rFonts w:hint="eastAsia"/>
                <w:bCs/>
                <w:color w:val="auto"/>
                <w:sz w:val="24"/>
                <w:szCs w:val="24"/>
                <w:u w:val="none"/>
                <w:lang w:val="en-US" w:eastAsia="zh-CN"/>
              </w:rPr>
            </w:pPr>
            <w:r>
              <w:rPr>
                <w:rFonts w:hint="eastAsia"/>
                <w:bCs/>
                <w:color w:val="auto"/>
                <w:sz w:val="24"/>
                <w:szCs w:val="24"/>
                <w:u w:val="none"/>
                <w:lang w:val="en-US" w:eastAsia="zh-CN"/>
              </w:rPr>
              <w:t>项目东侧为闲置工业用地；南侧隔科智路为联合厂房；西侧为闲置工业用地；北侧为长春金合盈不锈钢门窗有限公司。</w:t>
            </w:r>
          </w:p>
          <w:p>
            <w:pPr>
              <w:adjustRightInd w:val="0"/>
              <w:snapToGrid w:val="0"/>
              <w:spacing w:line="360" w:lineRule="auto"/>
              <w:ind w:firstLine="480" w:firstLineChars="200"/>
              <w:rPr>
                <w:rFonts w:ascii="Times New Roman" w:hAnsi="Times New Roman" w:eastAsia="宋体"/>
                <w:bCs/>
                <w:color w:val="auto"/>
                <w:sz w:val="24"/>
                <w:szCs w:val="24"/>
                <w:u w:val="none"/>
              </w:rPr>
            </w:pPr>
            <w:r>
              <w:rPr>
                <w:rFonts w:hint="eastAsia" w:ascii="Times New Roman" w:hAnsi="Times New Roman" w:eastAsia="宋体"/>
                <w:bCs/>
                <w:color w:val="auto"/>
                <w:sz w:val="24"/>
                <w:szCs w:val="24"/>
                <w:u w:val="none"/>
              </w:rPr>
              <w:t>本项目建设内容组成详见下表。</w:t>
            </w:r>
          </w:p>
          <w:p>
            <w:pPr>
              <w:spacing w:line="240" w:lineRule="auto"/>
              <w:jc w:val="center"/>
              <w:rPr>
                <w:rFonts w:ascii="Times New Roman" w:hAnsi="Times New Roman" w:eastAsia="宋体"/>
                <w:b/>
                <w:color w:val="auto"/>
                <w:sz w:val="21"/>
                <w:szCs w:val="21"/>
                <w:u w:val="none"/>
              </w:rPr>
            </w:pPr>
            <w:r>
              <w:rPr>
                <w:rFonts w:ascii="Times New Roman" w:hAnsi="Times New Roman" w:eastAsia="宋体"/>
                <w:b/>
                <w:color w:val="auto"/>
                <w:sz w:val="21"/>
                <w:szCs w:val="21"/>
                <w:u w:val="none"/>
              </w:rPr>
              <w:t>表</w:t>
            </w:r>
            <w:r>
              <w:rPr>
                <w:rFonts w:hint="eastAsia"/>
                <w:b/>
                <w:color w:val="auto"/>
                <w:sz w:val="21"/>
                <w:szCs w:val="21"/>
                <w:u w:val="none"/>
                <w:lang w:val="en-US" w:eastAsia="zh-CN"/>
              </w:rPr>
              <w:t>2-1</w:t>
            </w:r>
            <w:r>
              <w:rPr>
                <w:rFonts w:hint="eastAsia" w:ascii="Times New Roman" w:hAnsi="Times New Roman" w:eastAsia="宋体"/>
                <w:b/>
                <w:color w:val="auto"/>
                <w:sz w:val="21"/>
                <w:szCs w:val="21"/>
                <w:u w:val="none"/>
                <w:lang w:val="en-US" w:eastAsia="zh-CN"/>
              </w:rPr>
              <w:t xml:space="preserve"> </w:t>
            </w:r>
            <w:r>
              <w:rPr>
                <w:rFonts w:hint="eastAsia" w:ascii="Times New Roman" w:hAnsi="Times New Roman" w:eastAsia="宋体"/>
                <w:b/>
                <w:color w:val="auto"/>
                <w:sz w:val="21"/>
                <w:szCs w:val="21"/>
                <w:u w:val="none"/>
              </w:rPr>
              <w:t xml:space="preserve"> </w:t>
            </w:r>
            <w:r>
              <w:rPr>
                <w:rFonts w:ascii="Times New Roman" w:hAnsi="Times New Roman" w:eastAsia="宋体"/>
                <w:b/>
                <w:color w:val="auto"/>
                <w:sz w:val="21"/>
                <w:szCs w:val="21"/>
                <w:u w:val="none"/>
              </w:rPr>
              <w:t>项目建设内容组成一览表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211"/>
              <w:gridCol w:w="1181"/>
              <w:gridCol w:w="4522"/>
              <w:gridCol w:w="1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工程类别</w:t>
                  </w: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工程名称</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工程内容及规模</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restar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主体工程</w:t>
                  </w:r>
                </w:p>
              </w:tc>
              <w:tc>
                <w:tcPr>
                  <w:tcW w:w="743"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1#厂房</w:t>
                  </w:r>
                </w:p>
              </w:tc>
              <w:tc>
                <w:tcPr>
                  <w:tcW w:w="2845" w:type="pct"/>
                  <w:vAlign w:val="center"/>
                </w:tcPr>
                <w:p>
                  <w:pPr>
                    <w:pStyle w:val="17"/>
                    <w:spacing w:line="240" w:lineRule="auto"/>
                    <w:jc w:val="center"/>
                    <w:rPr>
                      <w:rFonts w:hint="default" w:ascii="Times New Roman" w:hAnsi="Times New Roman" w:eastAsia="宋体"/>
                      <w:color w:val="auto"/>
                      <w:sz w:val="21"/>
                      <w:szCs w:val="21"/>
                      <w:u w:val="none"/>
                      <w:vertAlign w:val="baseline"/>
                      <w:lang w:val="en-US" w:eastAsia="zh-CN"/>
                    </w:rPr>
                  </w:pPr>
                  <w:r>
                    <w:rPr>
                      <w:rFonts w:hint="eastAsia" w:ascii="Times New Roman" w:hAnsi="Times New Roman" w:eastAsia="宋体"/>
                      <w:color w:val="auto"/>
                      <w:sz w:val="21"/>
                      <w:szCs w:val="21"/>
                      <w:u w:val="none"/>
                      <w:lang w:val="en-US" w:eastAsia="zh-CN"/>
                    </w:rPr>
                    <w:t>占地面积</w:t>
                  </w:r>
                  <w:r>
                    <w:rPr>
                      <w:rFonts w:hint="eastAsia"/>
                      <w:color w:val="auto"/>
                      <w:sz w:val="21"/>
                      <w:szCs w:val="21"/>
                      <w:u w:val="none"/>
                      <w:lang w:val="en-US" w:eastAsia="zh-CN"/>
                    </w:rPr>
                    <w:t>1214.1</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内隔出办公区；安置多功能巡防消防车组装线；</w:t>
                  </w:r>
                </w:p>
              </w:tc>
              <w:tc>
                <w:tcPr>
                  <w:tcW w:w="648"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continue"/>
                  <w:vAlign w:val="center"/>
                </w:tcPr>
                <w:p>
                  <w:pPr>
                    <w:pStyle w:val="17"/>
                    <w:spacing w:line="240" w:lineRule="auto"/>
                    <w:rPr>
                      <w:rFonts w:hint="eastAsia" w:ascii="Times New Roman" w:hAnsi="Times New Roman" w:eastAsia="宋体"/>
                      <w:color w:val="auto"/>
                      <w:sz w:val="21"/>
                      <w:szCs w:val="21"/>
                      <w:u w:val="none"/>
                    </w:rPr>
                  </w:pPr>
                </w:p>
              </w:tc>
              <w:tc>
                <w:tcPr>
                  <w:tcW w:w="743"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2#厂房</w:t>
                  </w:r>
                </w:p>
              </w:tc>
              <w:tc>
                <w:tcPr>
                  <w:tcW w:w="2845" w:type="pct"/>
                  <w:vAlign w:val="center"/>
                </w:tcPr>
                <w:p>
                  <w:pPr>
                    <w:pStyle w:val="17"/>
                    <w:spacing w:line="240" w:lineRule="auto"/>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占地面积</w:t>
                  </w:r>
                  <w:r>
                    <w:rPr>
                      <w:rFonts w:hint="eastAsia"/>
                      <w:color w:val="auto"/>
                      <w:sz w:val="21"/>
                      <w:szCs w:val="21"/>
                      <w:u w:val="none"/>
                      <w:lang w:val="en-US" w:eastAsia="zh-CN"/>
                    </w:rPr>
                    <w:t>1724.59</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内含540m</w:t>
                  </w:r>
                  <w:r>
                    <w:rPr>
                      <w:rFonts w:hint="eastAsia"/>
                      <w:color w:val="auto"/>
                      <w:sz w:val="21"/>
                      <w:szCs w:val="21"/>
                      <w:u w:val="none"/>
                      <w:vertAlign w:val="superscript"/>
                      <w:lang w:val="en-US" w:eastAsia="zh-CN"/>
                    </w:rPr>
                    <w:t>3</w:t>
                  </w:r>
                  <w:r>
                    <w:rPr>
                      <w:rFonts w:hint="eastAsia"/>
                      <w:color w:val="auto"/>
                      <w:sz w:val="21"/>
                      <w:szCs w:val="21"/>
                      <w:u w:val="none"/>
                      <w:vertAlign w:val="baseline"/>
                      <w:lang w:val="en-US" w:eastAsia="zh-CN"/>
                    </w:rPr>
                    <w:t>消防水池；安置气凝胶灭火器生产线；内隔出原材料库房。</w:t>
                  </w:r>
                </w:p>
              </w:tc>
              <w:tc>
                <w:tcPr>
                  <w:tcW w:w="648" w:type="pct"/>
                  <w:vAlign w:val="center"/>
                </w:tcPr>
                <w:p>
                  <w:pPr>
                    <w:pStyle w:val="17"/>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62" w:type="pct"/>
                  <w:vMerge w:val="continue"/>
                  <w:vAlign w:val="center"/>
                </w:tcPr>
                <w:p>
                  <w:pPr>
                    <w:pStyle w:val="17"/>
                    <w:spacing w:line="240" w:lineRule="auto"/>
                    <w:rPr>
                      <w:rFonts w:hint="eastAsia" w:ascii="Times New Roman" w:hAnsi="Times New Roman" w:eastAsia="宋体"/>
                      <w:color w:val="auto"/>
                      <w:sz w:val="21"/>
                      <w:szCs w:val="21"/>
                      <w:u w:val="none"/>
                    </w:rPr>
                  </w:pPr>
                </w:p>
              </w:tc>
              <w:tc>
                <w:tcPr>
                  <w:tcW w:w="743"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3#厂房</w:t>
                  </w:r>
                </w:p>
              </w:tc>
              <w:tc>
                <w:tcPr>
                  <w:tcW w:w="2845" w:type="pct"/>
                  <w:vAlign w:val="center"/>
                </w:tcPr>
                <w:p>
                  <w:pPr>
                    <w:pStyle w:val="17"/>
                    <w:spacing w:line="240" w:lineRule="auto"/>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占地面积</w:t>
                  </w:r>
                  <w:r>
                    <w:rPr>
                      <w:rFonts w:hint="eastAsia"/>
                      <w:color w:val="auto"/>
                      <w:sz w:val="21"/>
                      <w:szCs w:val="21"/>
                      <w:u w:val="none"/>
                      <w:lang w:val="en-US" w:eastAsia="zh-CN"/>
                    </w:rPr>
                    <w:t>2071.55</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安置背负式气凝胶灭火器生产线；内隔出锅炉房、成品库房。</w:t>
                  </w:r>
                </w:p>
              </w:tc>
              <w:tc>
                <w:tcPr>
                  <w:tcW w:w="648" w:type="pct"/>
                  <w:vAlign w:val="center"/>
                </w:tcPr>
                <w:p>
                  <w:pPr>
                    <w:pStyle w:val="17"/>
                    <w:spacing w:line="240" w:lineRule="auto"/>
                    <w:rPr>
                      <w:rFonts w:hint="eastAsia"/>
                      <w:color w:val="auto"/>
                      <w:sz w:val="21"/>
                      <w:szCs w:val="21"/>
                      <w:u w:val="none"/>
                      <w:lang w:val="en-US" w:eastAsia="zh-CN"/>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restar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辅助</w:t>
                  </w:r>
                  <w:r>
                    <w:rPr>
                      <w:rFonts w:ascii="Times New Roman" w:hAnsi="Times New Roman" w:eastAsia="宋体"/>
                      <w:color w:val="auto"/>
                      <w:sz w:val="21"/>
                      <w:szCs w:val="21"/>
                      <w:u w:val="none"/>
                    </w:rPr>
                    <w:t>工程</w:t>
                  </w: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天然气</w:t>
                  </w:r>
                  <w:r>
                    <w:rPr>
                      <w:rFonts w:ascii="Times New Roman" w:hAnsi="Times New Roman" w:eastAsia="宋体"/>
                      <w:color w:val="auto"/>
                      <w:sz w:val="21"/>
                      <w:szCs w:val="21"/>
                      <w:u w:val="none"/>
                    </w:rPr>
                    <w:t>管道</w:t>
                  </w:r>
                </w:p>
              </w:tc>
              <w:tc>
                <w:tcPr>
                  <w:tcW w:w="2845"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rPr>
                    <w:t>接</w:t>
                  </w:r>
                  <w:r>
                    <w:rPr>
                      <w:rFonts w:ascii="Times New Roman" w:hAnsi="Times New Roman" w:eastAsia="宋体"/>
                      <w:color w:val="auto"/>
                      <w:sz w:val="21"/>
                      <w:szCs w:val="21"/>
                      <w:u w:val="none"/>
                    </w:rPr>
                    <w:t>市政天然气管道</w:t>
                  </w:r>
                  <w:r>
                    <w:rPr>
                      <w:rFonts w:hint="eastAsia"/>
                      <w:color w:val="auto"/>
                      <w:sz w:val="21"/>
                      <w:szCs w:val="21"/>
                      <w:u w:val="none"/>
                      <w:lang w:eastAsia="zh-CN"/>
                    </w:rPr>
                    <w:t>，</w:t>
                  </w:r>
                  <w:r>
                    <w:rPr>
                      <w:rFonts w:hint="eastAsia"/>
                      <w:color w:val="auto"/>
                      <w:sz w:val="21"/>
                      <w:szCs w:val="21"/>
                      <w:u w:val="none"/>
                      <w:lang w:val="en-US" w:eastAsia="zh-CN"/>
                    </w:rPr>
                    <w:t>本项目厂区内不存储天然气</w:t>
                  </w:r>
                </w:p>
              </w:tc>
              <w:tc>
                <w:tcPr>
                  <w:tcW w:w="648" w:type="pct"/>
                  <w:vAlign w:val="center"/>
                </w:tcPr>
                <w:p>
                  <w:pPr>
                    <w:pStyle w:val="17"/>
                    <w:spacing w:line="240" w:lineRule="auto"/>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7"/>
                    <w:spacing w:line="240" w:lineRule="auto"/>
                    <w:rPr>
                      <w:rFonts w:hint="eastAsia" w:ascii="Times New Roman" w:hAnsi="Times New Roman" w:eastAsia="宋体"/>
                      <w:color w:val="auto"/>
                      <w:sz w:val="21"/>
                      <w:szCs w:val="21"/>
                      <w:u w:val="none"/>
                    </w:rPr>
                  </w:pPr>
                </w:p>
              </w:tc>
              <w:tc>
                <w:tcPr>
                  <w:tcW w:w="743"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露天堆场</w:t>
                  </w:r>
                </w:p>
              </w:tc>
              <w:tc>
                <w:tcPr>
                  <w:tcW w:w="2845" w:type="pct"/>
                  <w:vAlign w:val="center"/>
                </w:tcPr>
                <w:p>
                  <w:pPr>
                    <w:pStyle w:val="17"/>
                    <w:spacing w:line="240" w:lineRule="auto"/>
                    <w:rPr>
                      <w:rFonts w:hint="default" w:ascii="Times New Roman" w:hAnsi="Times New Roman" w:eastAsia="宋体"/>
                      <w:color w:val="auto"/>
                      <w:sz w:val="21"/>
                      <w:szCs w:val="21"/>
                      <w:u w:val="none"/>
                      <w:lang w:val="en-US"/>
                    </w:rPr>
                  </w:pPr>
                  <w:r>
                    <w:rPr>
                      <w:rFonts w:hint="eastAsia" w:ascii="Times New Roman" w:hAnsi="Times New Roman" w:eastAsia="宋体"/>
                      <w:color w:val="auto"/>
                      <w:sz w:val="21"/>
                      <w:szCs w:val="21"/>
                      <w:u w:val="none"/>
                      <w:lang w:val="en-US" w:eastAsia="zh-CN"/>
                    </w:rPr>
                    <w:t>占地面积</w:t>
                  </w:r>
                  <w:r>
                    <w:rPr>
                      <w:rFonts w:hint="eastAsia"/>
                      <w:color w:val="auto"/>
                      <w:sz w:val="21"/>
                      <w:szCs w:val="21"/>
                      <w:u w:val="none"/>
                      <w:lang w:val="en-US" w:eastAsia="zh-CN"/>
                    </w:rPr>
                    <w:t>988.98</w:t>
                  </w:r>
                  <w:r>
                    <w:rPr>
                      <w:rFonts w:ascii="Times New Roman" w:hAnsi="Times New Roman" w:eastAsia="宋体"/>
                      <w:color w:val="auto"/>
                      <w:sz w:val="21"/>
                      <w:szCs w:val="21"/>
                      <w:u w:val="none"/>
                    </w:rPr>
                    <w:t>m</w:t>
                  </w:r>
                  <w:r>
                    <w:rPr>
                      <w:rFonts w:ascii="Times New Roman" w:hAnsi="Times New Roman" w:eastAsia="宋体"/>
                      <w:color w:val="auto"/>
                      <w:sz w:val="21"/>
                      <w:szCs w:val="21"/>
                      <w:u w:val="none"/>
                      <w:vertAlign w:val="superscript"/>
                    </w:rPr>
                    <w:t>2</w:t>
                  </w:r>
                  <w:r>
                    <w:rPr>
                      <w:rFonts w:hint="eastAsia"/>
                      <w:color w:val="auto"/>
                      <w:sz w:val="21"/>
                      <w:szCs w:val="21"/>
                      <w:u w:val="none"/>
                      <w:vertAlign w:val="baseline"/>
                      <w:lang w:eastAsia="zh-CN"/>
                    </w:rPr>
                    <w:t>，</w:t>
                  </w:r>
                  <w:r>
                    <w:rPr>
                      <w:rFonts w:hint="eastAsia"/>
                      <w:color w:val="auto"/>
                      <w:sz w:val="21"/>
                      <w:szCs w:val="21"/>
                      <w:u w:val="none"/>
                      <w:vertAlign w:val="baseline"/>
                      <w:lang w:val="en-US" w:eastAsia="zh-CN"/>
                    </w:rPr>
                    <w:t>堆放组装完成的成品</w:t>
                  </w:r>
                </w:p>
              </w:tc>
              <w:tc>
                <w:tcPr>
                  <w:tcW w:w="648" w:type="pct"/>
                  <w:vAlign w:val="center"/>
                </w:tcPr>
                <w:p>
                  <w:pPr>
                    <w:pStyle w:val="17"/>
                    <w:spacing w:line="240" w:lineRule="auto"/>
                    <w:rPr>
                      <w:rFonts w:hint="eastAsia" w:ascii="Times New Roman" w:hAnsi="Times New Roman" w:eastAsia="宋体"/>
                      <w:color w:val="auto"/>
                      <w:sz w:val="21"/>
                      <w:szCs w:val="21"/>
                      <w:u w:val="none"/>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restart"/>
                  <w:vAlign w:val="center"/>
                </w:tcPr>
                <w:p>
                  <w:pPr>
                    <w:spacing w:line="240" w:lineRule="auto"/>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公用工程</w:t>
                  </w: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供水系统</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项目用水来源为市政管网</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widowControl/>
                    <w:spacing w:line="240" w:lineRule="auto"/>
                    <w:jc w:val="center"/>
                    <w:rPr>
                      <w:rFonts w:ascii="Times New Roman" w:hAnsi="Times New Roman" w:eastAsia="宋体"/>
                      <w:color w:val="auto"/>
                      <w:kern w:val="0"/>
                      <w:sz w:val="21"/>
                      <w:szCs w:val="21"/>
                      <w:u w:val="none"/>
                    </w:rPr>
                  </w:pP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供电系统</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供电由市政电网提供</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widowControl/>
                    <w:spacing w:line="240" w:lineRule="auto"/>
                    <w:jc w:val="center"/>
                    <w:rPr>
                      <w:rFonts w:ascii="Times New Roman" w:hAnsi="Times New Roman" w:eastAsia="宋体"/>
                      <w:color w:val="auto"/>
                      <w:sz w:val="21"/>
                      <w:szCs w:val="21"/>
                      <w:highlight w:val="yellow"/>
                      <w:u w:val="none"/>
                    </w:rPr>
                  </w:pP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排水系统</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依托现有</w:t>
                  </w:r>
                  <w:r>
                    <w:rPr>
                      <w:rFonts w:ascii="Times New Roman" w:hAnsi="Times New Roman" w:eastAsia="宋体"/>
                      <w:color w:val="auto"/>
                      <w:sz w:val="21"/>
                      <w:szCs w:val="21"/>
                      <w:u w:val="none"/>
                    </w:rPr>
                    <w:t>市政污水管网</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widowControl/>
                    <w:spacing w:line="240" w:lineRule="auto"/>
                    <w:jc w:val="center"/>
                    <w:rPr>
                      <w:rFonts w:ascii="Times New Roman" w:hAnsi="Times New Roman" w:eastAsia="宋体"/>
                      <w:color w:val="auto"/>
                      <w:kern w:val="0"/>
                      <w:sz w:val="21"/>
                      <w:szCs w:val="21"/>
                      <w:highlight w:val="yellow"/>
                      <w:u w:val="none"/>
                    </w:rPr>
                  </w:pP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供热系统</w:t>
                  </w:r>
                </w:p>
              </w:tc>
              <w:tc>
                <w:tcPr>
                  <w:tcW w:w="2845" w:type="pct"/>
                  <w:vAlign w:val="center"/>
                </w:tcPr>
                <w:p>
                  <w:pPr>
                    <w:pStyle w:val="17"/>
                    <w:spacing w:line="240" w:lineRule="auto"/>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生产不用热，员工冬季生活用热由一台4t/h燃天然气热水锅炉提供</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restar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环保工程</w:t>
                  </w: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废水治理</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锅炉排污水</w:t>
                  </w:r>
                  <w:r>
                    <w:rPr>
                      <w:rFonts w:hint="eastAsia" w:ascii="Times New Roman" w:hAnsi="Times New Roman" w:eastAsia="宋体"/>
                      <w:color w:val="auto"/>
                      <w:sz w:val="21"/>
                      <w:szCs w:val="21"/>
                      <w:u w:val="none"/>
                      <w:lang w:val="en-US" w:eastAsia="zh-CN"/>
                    </w:rPr>
                    <w:t>和生活污水</w:t>
                  </w:r>
                  <w:r>
                    <w:rPr>
                      <w:rFonts w:hint="eastAsia" w:ascii="Times New Roman" w:hAnsi="Times New Roman" w:eastAsia="宋体"/>
                      <w:color w:val="auto"/>
                      <w:sz w:val="21"/>
                      <w:szCs w:val="21"/>
                      <w:u w:val="none"/>
                    </w:rPr>
                    <w:t>经市政管网</w:t>
                  </w:r>
                  <w:r>
                    <w:rPr>
                      <w:rFonts w:hint="eastAsia"/>
                      <w:color w:val="auto"/>
                      <w:sz w:val="21"/>
                      <w:szCs w:val="21"/>
                      <w:u w:val="none"/>
                      <w:lang w:val="en-US" w:eastAsia="zh-CN"/>
                    </w:rPr>
                    <w:t>进入</w:t>
                  </w:r>
                  <w:r>
                    <w:rPr>
                      <w:rFonts w:hint="eastAsia" w:ascii="Times New Roman" w:hAnsi="Times New Roman" w:eastAsia="宋体"/>
                      <w:color w:val="auto"/>
                      <w:sz w:val="21"/>
                      <w:szCs w:val="21"/>
                      <w:u w:val="none"/>
                    </w:rPr>
                    <w:t>柏林水务长春高新污水处理有限公司集中处理达标后排入</w:t>
                  </w:r>
                  <w:r>
                    <w:rPr>
                      <w:rFonts w:hint="eastAsia"/>
                      <w:color w:val="auto"/>
                      <w:sz w:val="21"/>
                      <w:szCs w:val="21"/>
                      <w:u w:val="none"/>
                      <w:lang w:val="en-US" w:eastAsia="zh-CN"/>
                    </w:rPr>
                    <w:t>伊通河</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7"/>
                    <w:spacing w:line="240" w:lineRule="auto"/>
                    <w:rPr>
                      <w:rFonts w:ascii="Times New Roman" w:hAnsi="Times New Roman" w:eastAsia="宋体"/>
                      <w:color w:val="auto"/>
                      <w:sz w:val="21"/>
                      <w:szCs w:val="21"/>
                      <w:u w:val="none"/>
                    </w:rPr>
                  </w:pP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废气治理</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锅炉烟气</w:t>
                  </w:r>
                  <w:r>
                    <w:rPr>
                      <w:rFonts w:ascii="Times New Roman" w:hAnsi="Times New Roman" w:eastAsia="宋体"/>
                      <w:color w:val="auto"/>
                      <w:sz w:val="21"/>
                      <w:szCs w:val="21"/>
                      <w:u w:val="none"/>
                    </w:rPr>
                    <w:t>经</w:t>
                  </w:r>
                  <w:r>
                    <w:rPr>
                      <w:rFonts w:hint="eastAsia"/>
                      <w:color w:val="auto"/>
                      <w:sz w:val="21"/>
                      <w:szCs w:val="21"/>
                      <w:u w:val="none"/>
                      <w:lang w:val="en-US" w:eastAsia="zh-CN"/>
                    </w:rPr>
                    <w:t>1</w:t>
                  </w:r>
                  <w:r>
                    <w:rPr>
                      <w:rFonts w:hint="eastAsia" w:ascii="Times New Roman" w:hAnsi="Times New Roman" w:eastAsia="宋体"/>
                      <w:color w:val="auto"/>
                      <w:sz w:val="21"/>
                      <w:szCs w:val="21"/>
                      <w:u w:val="none"/>
                      <w:lang w:val="en-US" w:eastAsia="zh-CN"/>
                    </w:rPr>
                    <w:t>根15</w:t>
                  </w:r>
                  <w:r>
                    <w:rPr>
                      <w:rFonts w:ascii="Times New Roman" w:hAnsi="Times New Roman" w:eastAsia="宋体"/>
                      <w:color w:val="auto"/>
                      <w:sz w:val="21"/>
                      <w:szCs w:val="21"/>
                      <w:u w:val="none"/>
                    </w:rPr>
                    <w:t>m高的烟囱排</w:t>
                  </w:r>
                  <w:r>
                    <w:rPr>
                      <w:rFonts w:hint="eastAsia" w:ascii="Times New Roman" w:hAnsi="Times New Roman" w:eastAsia="宋体"/>
                      <w:color w:val="auto"/>
                      <w:sz w:val="21"/>
                      <w:szCs w:val="21"/>
                      <w:u w:val="none"/>
                    </w:rPr>
                    <w:t>放</w:t>
                  </w:r>
                </w:p>
              </w:tc>
              <w:tc>
                <w:tcPr>
                  <w:tcW w:w="648" w:type="pct"/>
                  <w:vAlign w:val="center"/>
                </w:tcPr>
                <w:p>
                  <w:pPr>
                    <w:pStyle w:val="17"/>
                    <w:spacing w:line="240" w:lineRule="auto"/>
                    <w:rPr>
                      <w:rFonts w:hint="eastAsia" w:ascii="Times New Roman" w:hAnsi="Times New Roman" w:eastAsia="宋体"/>
                      <w:color w:val="auto"/>
                      <w:sz w:val="21"/>
                      <w:szCs w:val="21"/>
                      <w:u w:val="none"/>
                      <w:lang w:eastAsia="zh-CN"/>
                    </w:rPr>
                  </w:pPr>
                  <w:r>
                    <w:rPr>
                      <w:rFonts w:hint="eastAsia" w:ascii="Times New Roman" w:hAnsi="Times New Roman" w:eastAsia="宋体"/>
                      <w:color w:val="auto"/>
                      <w:sz w:val="21"/>
                      <w:szCs w:val="21"/>
                      <w:u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7"/>
                    <w:spacing w:line="240" w:lineRule="auto"/>
                    <w:rPr>
                      <w:rFonts w:ascii="Times New Roman" w:hAnsi="Times New Roman" w:eastAsia="宋体"/>
                      <w:color w:val="auto"/>
                      <w:sz w:val="21"/>
                      <w:szCs w:val="21"/>
                      <w:u w:val="none"/>
                    </w:rPr>
                  </w:pP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噪声</w:t>
                  </w:r>
                  <w:r>
                    <w:rPr>
                      <w:rFonts w:ascii="Times New Roman" w:hAnsi="Times New Roman" w:eastAsia="宋体"/>
                      <w:color w:val="auto"/>
                      <w:sz w:val="21"/>
                      <w:szCs w:val="21"/>
                      <w:u w:val="none"/>
                    </w:rPr>
                    <w:t>治理</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选择优质低噪声设备，对产噪设备设置隔声罩，并增加减振垫，以减少设备噪声对周围环境的影响。对于风机设备还需加设消声器等处理措施，加强设备的管理和维护。</w:t>
                  </w:r>
                </w:p>
              </w:tc>
              <w:tc>
                <w:tcPr>
                  <w:tcW w:w="648"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24" w:hRule="atLeast"/>
                <w:jc w:val="center"/>
              </w:trPr>
              <w:tc>
                <w:tcPr>
                  <w:tcW w:w="762" w:type="pct"/>
                  <w:vMerge w:val="continue"/>
                  <w:vAlign w:val="center"/>
                </w:tcPr>
                <w:p>
                  <w:pPr>
                    <w:pStyle w:val="17"/>
                    <w:spacing w:line="240" w:lineRule="auto"/>
                    <w:rPr>
                      <w:rFonts w:ascii="Times New Roman" w:hAnsi="Times New Roman" w:eastAsia="宋体"/>
                      <w:color w:val="auto"/>
                      <w:sz w:val="21"/>
                      <w:szCs w:val="21"/>
                      <w:u w:val="none"/>
                    </w:rPr>
                  </w:pPr>
                </w:p>
              </w:tc>
              <w:tc>
                <w:tcPr>
                  <w:tcW w:w="743"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固废</w:t>
                  </w:r>
                  <w:r>
                    <w:rPr>
                      <w:rFonts w:ascii="Times New Roman" w:hAnsi="Times New Roman" w:eastAsia="宋体"/>
                      <w:color w:val="auto"/>
                      <w:sz w:val="21"/>
                      <w:szCs w:val="21"/>
                      <w:u w:val="none"/>
                    </w:rPr>
                    <w:t>治理</w:t>
                  </w:r>
                </w:p>
              </w:tc>
              <w:tc>
                <w:tcPr>
                  <w:tcW w:w="2845" w:type="pct"/>
                  <w:vAlign w:val="center"/>
                </w:tcPr>
                <w:p>
                  <w:pPr>
                    <w:pStyle w:val="17"/>
                    <w:spacing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rPr>
                    <w:t>软化水</w:t>
                  </w:r>
                  <w:r>
                    <w:rPr>
                      <w:rFonts w:ascii="Times New Roman" w:hAnsi="Times New Roman" w:eastAsia="宋体"/>
                      <w:color w:val="auto"/>
                      <w:sz w:val="21"/>
                      <w:szCs w:val="21"/>
                      <w:u w:val="none"/>
                    </w:rPr>
                    <w:t>处理系统中的</w:t>
                  </w:r>
                  <w:r>
                    <w:rPr>
                      <w:rFonts w:hint="eastAsia" w:ascii="Times New Roman" w:hAnsi="Times New Roman" w:eastAsia="宋体"/>
                      <w:color w:val="auto"/>
                      <w:sz w:val="21"/>
                      <w:szCs w:val="21"/>
                      <w:u w:val="none"/>
                    </w:rPr>
                    <w:t>离子交换树脂每</w:t>
                  </w:r>
                  <w:r>
                    <w:rPr>
                      <w:rFonts w:ascii="Times New Roman" w:hAnsi="Times New Roman" w:eastAsia="宋体"/>
                      <w:color w:val="auto"/>
                      <w:sz w:val="21"/>
                      <w:szCs w:val="21"/>
                      <w:u w:val="none"/>
                    </w:rPr>
                    <w:t>年更换一次，</w:t>
                  </w:r>
                  <w:r>
                    <w:rPr>
                      <w:rFonts w:hint="eastAsia" w:ascii="Times New Roman" w:hAnsi="Times New Roman" w:eastAsia="宋体"/>
                      <w:color w:val="auto"/>
                      <w:sz w:val="21"/>
                      <w:szCs w:val="21"/>
                      <w:u w:val="none"/>
                    </w:rPr>
                    <w:t>废弃离子交换树脂</w:t>
                  </w:r>
                  <w:r>
                    <w:rPr>
                      <w:rFonts w:hint="eastAsia" w:ascii="Times New Roman" w:hAnsi="Times New Roman" w:eastAsia="宋体"/>
                      <w:color w:val="auto"/>
                      <w:sz w:val="21"/>
                      <w:szCs w:val="21"/>
                      <w:u w:val="none"/>
                      <w:lang w:val="en-US" w:eastAsia="zh-CN"/>
                    </w:rPr>
                    <w:t>和生活垃圾</w:t>
                  </w:r>
                  <w:r>
                    <w:rPr>
                      <w:rFonts w:hint="eastAsia" w:ascii="Times New Roman" w:hAnsi="Times New Roman" w:eastAsia="宋体"/>
                      <w:color w:val="auto"/>
                      <w:sz w:val="21"/>
                      <w:szCs w:val="21"/>
                      <w:u w:val="none"/>
                    </w:rPr>
                    <w:t>交由环卫</w:t>
                  </w:r>
                  <w:r>
                    <w:rPr>
                      <w:rFonts w:ascii="Times New Roman" w:hAnsi="Times New Roman" w:eastAsia="宋体"/>
                      <w:color w:val="auto"/>
                      <w:sz w:val="21"/>
                      <w:szCs w:val="21"/>
                      <w:u w:val="none"/>
                    </w:rPr>
                    <w:t>部门处理</w:t>
                  </w:r>
                </w:p>
              </w:tc>
              <w:tc>
                <w:tcPr>
                  <w:tcW w:w="648" w:type="pct"/>
                  <w:vAlign w:val="center"/>
                </w:tcPr>
                <w:p>
                  <w:pPr>
                    <w:pStyle w:val="17"/>
                    <w:spacing w:line="240" w:lineRule="auto"/>
                    <w:rPr>
                      <w:rFonts w:hint="eastAsia" w:ascii="Times New Roman" w:hAnsi="Times New Roman" w:eastAsia="宋体"/>
                      <w:color w:val="auto"/>
                      <w:sz w:val="21"/>
                      <w:szCs w:val="21"/>
                      <w:u w:val="none"/>
                      <w:lang w:eastAsia="zh-CN"/>
                    </w:rPr>
                  </w:pPr>
                  <w:r>
                    <w:rPr>
                      <w:rFonts w:hint="eastAsia" w:ascii="Times New Roman" w:hAnsi="Times New Roman" w:eastAsia="宋体"/>
                      <w:color w:val="auto"/>
                      <w:sz w:val="21"/>
                      <w:szCs w:val="21"/>
                      <w:u w:val="none"/>
                      <w:lang w:val="en-US" w:eastAsia="zh-CN"/>
                    </w:rPr>
                    <w:t>新建</w:t>
                  </w:r>
                </w:p>
              </w:tc>
            </w:tr>
          </w:tbl>
          <w:p>
            <w:pPr>
              <w:adjustRightInd w:val="0"/>
              <w:snapToGrid w:val="0"/>
              <w:spacing w:line="360" w:lineRule="auto"/>
              <w:rPr>
                <w:rFonts w:ascii="Times New Roman" w:hAnsi="Times New Roman" w:eastAsia="宋体"/>
                <w:b/>
                <w:bCs/>
                <w:color w:val="auto"/>
                <w:sz w:val="24"/>
                <w:szCs w:val="24"/>
                <w:u w:val="none"/>
              </w:rPr>
            </w:pPr>
            <w:r>
              <w:rPr>
                <w:rFonts w:hint="eastAsia" w:ascii="Times New Roman" w:hAnsi="Times New Roman" w:eastAsia="宋体"/>
                <w:b/>
                <w:bCs/>
                <w:color w:val="auto"/>
                <w:sz w:val="24"/>
                <w:szCs w:val="24"/>
                <w:u w:val="none"/>
              </w:rPr>
              <w:t>二</w:t>
            </w:r>
            <w:r>
              <w:rPr>
                <w:rFonts w:ascii="Times New Roman" w:hAnsi="Times New Roman" w:eastAsia="宋体"/>
                <w:b/>
                <w:bCs/>
                <w:color w:val="auto"/>
                <w:sz w:val="24"/>
                <w:szCs w:val="24"/>
                <w:u w:val="none"/>
              </w:rPr>
              <w:t>、</w:t>
            </w:r>
            <w:r>
              <w:rPr>
                <w:rFonts w:hint="eastAsia" w:ascii="Times New Roman" w:hAnsi="Times New Roman" w:eastAsia="宋体"/>
                <w:b/>
                <w:bCs/>
                <w:color w:val="auto"/>
                <w:sz w:val="24"/>
                <w:szCs w:val="24"/>
                <w:u w:val="none"/>
              </w:rPr>
              <w:t>主要</w:t>
            </w:r>
            <w:r>
              <w:rPr>
                <w:rFonts w:ascii="Times New Roman" w:hAnsi="Times New Roman" w:eastAsia="宋体"/>
                <w:b/>
                <w:bCs/>
                <w:color w:val="auto"/>
                <w:sz w:val="24"/>
                <w:szCs w:val="24"/>
                <w:u w:val="none"/>
              </w:rPr>
              <w:t>产品及产能</w:t>
            </w:r>
          </w:p>
          <w:p>
            <w:pPr>
              <w:adjustRightInd w:val="0"/>
              <w:snapToGrid w:val="0"/>
              <w:spacing w:line="360" w:lineRule="auto"/>
              <w:ind w:firstLine="480" w:firstLineChars="200"/>
              <w:rPr>
                <w:rFonts w:hint="eastAsia" w:ascii="Times New Roman" w:hAnsi="Times New Roman" w:eastAsia="宋体"/>
                <w:bCs/>
                <w:color w:val="auto"/>
                <w:sz w:val="24"/>
                <w:szCs w:val="24"/>
                <w:u w:val="none"/>
                <w:lang w:val="en-US" w:eastAsia="zh-CN"/>
              </w:rPr>
            </w:pPr>
            <w:r>
              <w:rPr>
                <w:rFonts w:hint="eastAsia" w:ascii="Times New Roman" w:hAnsi="Times New Roman" w:eastAsia="宋体"/>
                <w:bCs/>
                <w:color w:val="auto"/>
                <w:sz w:val="24"/>
                <w:szCs w:val="24"/>
                <w:u w:val="none"/>
                <w:lang w:val="en-US" w:eastAsia="zh-CN"/>
              </w:rPr>
              <w:t>本项目年组装3000台套5G气凝胶多功能巡防消防车、</w:t>
            </w:r>
            <w:r>
              <w:rPr>
                <w:rFonts w:hint="eastAsia" w:ascii="Times New Roman" w:hAnsi="Times New Roman" w:eastAsia="宋体"/>
                <w:bCs/>
                <w:color w:val="0000FF"/>
                <w:sz w:val="24"/>
                <w:szCs w:val="24"/>
                <w:u w:val="none"/>
                <w:lang w:val="en-US" w:eastAsia="zh-CN"/>
              </w:rPr>
              <w:t>灌装100万件</w:t>
            </w:r>
            <w:r>
              <w:rPr>
                <w:rFonts w:hint="eastAsia"/>
                <w:bCs/>
                <w:color w:val="0000FF"/>
                <w:sz w:val="24"/>
                <w:szCs w:val="24"/>
                <w:u w:val="none"/>
                <w:lang w:val="en-US" w:eastAsia="zh-CN"/>
              </w:rPr>
              <w:t>小型手持</w:t>
            </w:r>
            <w:r>
              <w:rPr>
                <w:rFonts w:hint="eastAsia" w:ascii="Times New Roman" w:hAnsi="Times New Roman" w:eastAsia="宋体"/>
                <w:bCs/>
                <w:color w:val="0000FF"/>
                <w:sz w:val="24"/>
                <w:szCs w:val="24"/>
                <w:u w:val="none"/>
                <w:lang w:val="en-US" w:eastAsia="zh-CN"/>
              </w:rPr>
              <w:t>气凝胶灭火器、</w:t>
            </w:r>
            <w:r>
              <w:rPr>
                <w:rFonts w:hint="eastAsia" w:ascii="Times New Roman" w:hAnsi="Times New Roman" w:eastAsia="宋体"/>
                <w:bCs/>
                <w:color w:val="auto"/>
                <w:sz w:val="24"/>
                <w:szCs w:val="24"/>
                <w:u w:val="none"/>
                <w:lang w:val="en-US" w:eastAsia="zh-CN"/>
              </w:rPr>
              <w:t>灌装50万件背负式气凝胶灭火器。</w:t>
            </w:r>
          </w:p>
          <w:p>
            <w:pPr>
              <w:spacing w:line="240" w:lineRule="auto"/>
              <w:jc w:val="center"/>
              <w:rPr>
                <w:rFonts w:ascii="Times New Roman" w:hAnsi="Times New Roman" w:eastAsia="宋体"/>
                <w:b/>
                <w:color w:val="auto"/>
                <w:sz w:val="21"/>
                <w:szCs w:val="21"/>
                <w:u w:val="none"/>
              </w:rPr>
            </w:pPr>
            <w:r>
              <w:rPr>
                <w:rFonts w:ascii="Times New Roman" w:hAnsi="Times New Roman" w:eastAsia="宋体"/>
                <w:b/>
                <w:color w:val="auto"/>
                <w:sz w:val="21"/>
                <w:szCs w:val="21"/>
                <w:u w:val="none"/>
              </w:rPr>
              <w:t>表</w:t>
            </w:r>
            <w:r>
              <w:rPr>
                <w:rFonts w:hint="eastAsia"/>
                <w:b/>
                <w:color w:val="auto"/>
                <w:sz w:val="21"/>
                <w:szCs w:val="21"/>
                <w:u w:val="none"/>
                <w:lang w:val="en-US" w:eastAsia="zh-CN"/>
              </w:rPr>
              <w:t>2-2</w:t>
            </w:r>
            <w:r>
              <w:rPr>
                <w:rFonts w:hint="eastAsia" w:ascii="Times New Roman" w:hAnsi="Times New Roman" w:eastAsia="宋体"/>
                <w:b/>
                <w:color w:val="auto"/>
                <w:sz w:val="21"/>
                <w:szCs w:val="21"/>
                <w:u w:val="none"/>
                <w:lang w:val="en-US" w:eastAsia="zh-CN"/>
              </w:rPr>
              <w:t xml:space="preserve"> </w:t>
            </w:r>
            <w:r>
              <w:rPr>
                <w:rFonts w:hint="eastAsia" w:ascii="Times New Roman" w:hAnsi="Times New Roman" w:eastAsia="宋体"/>
                <w:b/>
                <w:color w:val="auto"/>
                <w:sz w:val="21"/>
                <w:szCs w:val="21"/>
                <w:u w:val="none"/>
              </w:rPr>
              <w:t xml:space="preserve"> </w:t>
            </w:r>
            <w:r>
              <w:rPr>
                <w:rFonts w:hint="eastAsia"/>
                <w:b/>
                <w:color w:val="auto"/>
                <w:sz w:val="21"/>
                <w:szCs w:val="21"/>
                <w:u w:val="none"/>
                <w:lang w:val="en-US" w:eastAsia="zh-CN"/>
              </w:rPr>
              <w:t>本项目产品方案</w:t>
            </w:r>
            <w:r>
              <w:rPr>
                <w:rFonts w:ascii="Times New Roman" w:hAnsi="Times New Roman" w:eastAsia="宋体"/>
                <w:b/>
                <w:color w:val="auto"/>
                <w:sz w:val="21"/>
                <w:szCs w:val="21"/>
                <w:u w:val="none"/>
              </w:rPr>
              <w:t>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2558"/>
              <w:gridCol w:w="1553"/>
              <w:gridCol w:w="1596"/>
              <w:gridCol w:w="15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序号</w:t>
                  </w:r>
                </w:p>
              </w:tc>
              <w:tc>
                <w:tcPr>
                  <w:tcW w:w="1609"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名称</w:t>
                  </w:r>
                </w:p>
              </w:tc>
              <w:tc>
                <w:tcPr>
                  <w:tcW w:w="977"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单位</w:t>
                  </w:r>
                </w:p>
              </w:tc>
              <w:tc>
                <w:tcPr>
                  <w:tcW w:w="10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年产量</w:t>
                  </w:r>
                </w:p>
              </w:tc>
              <w:tc>
                <w:tcPr>
                  <w:tcW w:w="1004" w:type="pct"/>
                  <w:shd w:val="clear" w:color="auto" w:fill="auto"/>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备注（标注规格、尺寸等）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1609"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背负式灭火器</w:t>
                  </w:r>
                </w:p>
              </w:tc>
              <w:tc>
                <w:tcPr>
                  <w:tcW w:w="977"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瓶</w:t>
                  </w:r>
                </w:p>
              </w:tc>
              <w:tc>
                <w:tcPr>
                  <w:tcW w:w="1004"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50万</w:t>
                  </w:r>
                </w:p>
              </w:tc>
              <w:tc>
                <w:tcPr>
                  <w:tcW w:w="1004" w:type="pct"/>
                  <w:shd w:val="clear" w:color="auto" w:fill="auto"/>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50*80</w:t>
                  </w:r>
                  <w:r>
                    <w:rPr>
                      <w:rFonts w:hint="eastAsia" w:ascii="Times New Roman" w:hAnsi="Times New Roman" w:eastAsia="宋体" w:cs="Times New Roman"/>
                      <w:bCs/>
                      <w:sz w:val="21"/>
                      <w:szCs w:val="21"/>
                      <w:lang w:val="en-US" w:eastAsia="zh-CN"/>
                    </w:rPr>
                    <w:t>cm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color w:val="0000FF"/>
                      <w:sz w:val="21"/>
                      <w:szCs w:val="21"/>
                    </w:rPr>
                  </w:pPr>
                  <w:r>
                    <w:rPr>
                      <w:rFonts w:hint="default" w:ascii="Times New Roman" w:hAnsi="Times New Roman" w:eastAsia="宋体" w:cs="Times New Roman"/>
                      <w:bCs/>
                      <w:color w:val="0000FF"/>
                      <w:sz w:val="21"/>
                      <w:szCs w:val="21"/>
                    </w:rPr>
                    <w:t>2</w:t>
                  </w:r>
                </w:p>
              </w:tc>
              <w:tc>
                <w:tcPr>
                  <w:tcW w:w="1609" w:type="pct"/>
                  <w:shd w:val="clear" w:color="auto" w:fill="auto"/>
                  <w:vAlign w:val="center"/>
                </w:tcPr>
                <w:p>
                  <w:pPr>
                    <w:jc w:val="center"/>
                    <w:rPr>
                      <w:rFonts w:hint="default" w:ascii="Times New Roman" w:hAnsi="Times New Roman" w:eastAsia="宋体" w:cs="Times New Roman"/>
                      <w:bCs/>
                      <w:color w:val="0000FF"/>
                      <w:sz w:val="21"/>
                      <w:szCs w:val="21"/>
                      <w:lang w:val="en-US" w:eastAsia="zh-CN"/>
                    </w:rPr>
                  </w:pPr>
                  <w:r>
                    <w:rPr>
                      <w:rFonts w:hint="eastAsia" w:cs="Times New Roman"/>
                      <w:bCs/>
                      <w:color w:val="0000FF"/>
                      <w:sz w:val="21"/>
                      <w:szCs w:val="21"/>
                      <w:lang w:val="en-US" w:eastAsia="zh-CN"/>
                    </w:rPr>
                    <w:t>小型手持</w:t>
                  </w:r>
                  <w:r>
                    <w:rPr>
                      <w:rFonts w:hint="default" w:ascii="Times New Roman" w:hAnsi="Times New Roman" w:eastAsia="宋体" w:cs="Times New Roman"/>
                      <w:bCs/>
                      <w:color w:val="0000FF"/>
                      <w:sz w:val="21"/>
                      <w:szCs w:val="21"/>
                      <w:lang w:val="en-US" w:eastAsia="zh-CN"/>
                    </w:rPr>
                    <w:t>气凝胶灭火器</w:t>
                  </w:r>
                </w:p>
              </w:tc>
              <w:tc>
                <w:tcPr>
                  <w:tcW w:w="977"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瓶</w:t>
                  </w:r>
                </w:p>
              </w:tc>
              <w:tc>
                <w:tcPr>
                  <w:tcW w:w="1004"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100万</w:t>
                  </w:r>
                </w:p>
              </w:tc>
              <w:tc>
                <w:tcPr>
                  <w:tcW w:w="1004" w:type="pct"/>
                  <w:shd w:val="clear" w:color="auto" w:fill="auto"/>
                </w:tcPr>
                <w:p>
                  <w:pPr>
                    <w:jc w:val="center"/>
                    <w:rPr>
                      <w:rFonts w:hint="default" w:ascii="Times New Roman" w:hAnsi="Times New Roman" w:eastAsia="宋体" w:cs="Times New Roman"/>
                      <w:bCs/>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04"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w:t>
                  </w:r>
                </w:p>
              </w:tc>
              <w:tc>
                <w:tcPr>
                  <w:tcW w:w="1609" w:type="pct"/>
                  <w:shd w:val="clear" w:color="auto" w:fill="auto"/>
                  <w:vAlign w:val="center"/>
                </w:tcPr>
                <w:p>
                  <w:pPr>
                    <w:jc w:val="center"/>
                    <w:rPr>
                      <w:rFonts w:hint="default" w:ascii="Times New Roman" w:hAnsi="Times New Roman" w:eastAsia="宋体" w:cs="Times New Roman"/>
                      <w:bCs/>
                      <w:sz w:val="21"/>
                      <w:szCs w:val="21"/>
                    </w:rPr>
                  </w:pPr>
                  <w:r>
                    <w:rPr>
                      <w:rFonts w:hint="default" w:ascii="Times New Roman" w:hAnsi="Times New Roman" w:eastAsia="宋体" w:cs="Times New Roman"/>
                      <w:color w:val="auto"/>
                      <w:sz w:val="21"/>
                      <w:szCs w:val="21"/>
                      <w:lang w:val="en-US" w:eastAsia="zh-CN"/>
                    </w:rPr>
                    <w:t>5G气凝胶多功能巡防消防车</w:t>
                  </w:r>
                </w:p>
              </w:tc>
              <w:tc>
                <w:tcPr>
                  <w:tcW w:w="977"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辆</w:t>
                  </w:r>
                </w:p>
              </w:tc>
              <w:tc>
                <w:tcPr>
                  <w:tcW w:w="1004" w:type="pct"/>
                  <w:shd w:val="clear" w:color="auto" w:fill="auto"/>
                  <w:vAlign w:val="center"/>
                </w:tcPr>
                <w:p>
                  <w:pPr>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3000</w:t>
                  </w:r>
                </w:p>
              </w:tc>
              <w:tc>
                <w:tcPr>
                  <w:tcW w:w="1004" w:type="pct"/>
                  <w:shd w:val="clear" w:color="auto" w:fill="auto"/>
                </w:tcPr>
                <w:p>
                  <w:pPr>
                    <w:jc w:val="center"/>
                    <w:rPr>
                      <w:rFonts w:hint="default" w:ascii="Times New Roman" w:hAnsi="Times New Roman" w:eastAsia="宋体" w:cs="Times New Roman"/>
                      <w:bCs/>
                      <w:sz w:val="21"/>
                      <w:szCs w:val="21"/>
                    </w:rPr>
                  </w:pPr>
                </w:p>
              </w:tc>
            </w:tr>
          </w:tbl>
          <w:p>
            <w:pPr>
              <w:numPr>
                <w:ilvl w:val="0"/>
                <w:numId w:val="1"/>
              </w:numPr>
              <w:adjustRightInd w:val="0"/>
              <w:snapToGrid w:val="0"/>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主要</w:t>
            </w:r>
            <w:r>
              <w:rPr>
                <w:rFonts w:ascii="Times New Roman" w:hAnsi="Times New Roman" w:eastAsia="宋体"/>
                <w:b/>
                <w:bCs/>
                <w:color w:val="auto"/>
                <w:sz w:val="24"/>
                <w:szCs w:val="24"/>
              </w:rPr>
              <w:t>生产单元及工艺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object>
                <v:shape id="_x0000_i1025" o:spt="75" type="#_x0000_t75" style="height:51.75pt;width:266.2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adjustRightInd w:val="0"/>
              <w:snapToGrid w:val="0"/>
              <w:spacing w:line="360" w:lineRule="auto"/>
              <w:ind w:firstLine="422" w:firstLineChars="20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图</w:t>
            </w:r>
            <w:r>
              <w:rPr>
                <w:rFonts w:hint="eastAsia"/>
                <w:b/>
                <w:color w:val="auto"/>
                <w:sz w:val="21"/>
                <w:szCs w:val="21"/>
                <w:lang w:val="en-US" w:eastAsia="zh-CN"/>
              </w:rPr>
              <w:t>2-1</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本项目5G气凝胶多功能巡防消防车组装</w:t>
            </w:r>
            <w:r>
              <w:rPr>
                <w:rFonts w:hint="eastAsia" w:ascii="Times New Roman" w:hAnsi="Times New Roman" w:eastAsia="宋体"/>
                <w:b/>
                <w:color w:val="auto"/>
                <w:sz w:val="21"/>
                <w:szCs w:val="21"/>
              </w:rPr>
              <w:t>基本</w:t>
            </w:r>
            <w:r>
              <w:rPr>
                <w:rFonts w:hint="eastAsia"/>
                <w:b/>
                <w:color w:val="auto"/>
                <w:sz w:val="21"/>
                <w:szCs w:val="21"/>
                <w:lang w:val="en-US" w:eastAsia="zh-CN"/>
              </w:rPr>
              <w:t>工艺</w:t>
            </w:r>
            <w:r>
              <w:rPr>
                <w:rFonts w:hint="eastAsia" w:ascii="Times New Roman" w:hAnsi="Times New Roman" w:eastAsia="宋体"/>
                <w:b/>
                <w:color w:val="auto"/>
                <w:sz w:val="21"/>
                <w:szCs w:val="21"/>
              </w:rPr>
              <w:t>流程图</w:t>
            </w:r>
          </w:p>
          <w:p>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object>
                <v:shape id="_x0000_i1026" o:spt="75" type="#_x0000_t75" style="height:58.5pt;width:395.25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adjustRightInd w:val="0"/>
              <w:snapToGrid w:val="0"/>
              <w:spacing w:line="360" w:lineRule="auto"/>
              <w:ind w:firstLine="422" w:firstLineChars="200"/>
              <w:jc w:val="center"/>
              <w:rPr>
                <w:rFonts w:hint="eastAsia"/>
              </w:rPr>
            </w:pPr>
            <w:r>
              <w:rPr>
                <w:rFonts w:hint="eastAsia" w:ascii="Times New Roman" w:hAnsi="Times New Roman" w:eastAsia="宋体"/>
                <w:b/>
                <w:color w:val="auto"/>
                <w:sz w:val="21"/>
                <w:szCs w:val="21"/>
              </w:rPr>
              <w:t>图</w:t>
            </w:r>
            <w:r>
              <w:rPr>
                <w:rFonts w:hint="eastAsia"/>
                <w:b/>
                <w:color w:val="auto"/>
                <w:sz w:val="21"/>
                <w:szCs w:val="21"/>
                <w:lang w:val="en-US" w:eastAsia="zh-CN"/>
              </w:rPr>
              <w:t>2-1</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本项目气凝胶灭火器与背负式灭火器</w:t>
            </w:r>
            <w:r>
              <w:rPr>
                <w:rFonts w:hint="eastAsia" w:ascii="Times New Roman" w:hAnsi="Times New Roman" w:eastAsia="宋体"/>
                <w:b/>
                <w:color w:val="auto"/>
                <w:sz w:val="21"/>
                <w:szCs w:val="21"/>
              </w:rPr>
              <w:t>基本</w:t>
            </w:r>
            <w:r>
              <w:rPr>
                <w:rFonts w:hint="eastAsia"/>
                <w:b/>
                <w:color w:val="auto"/>
                <w:sz w:val="21"/>
                <w:szCs w:val="21"/>
                <w:lang w:val="en-US" w:eastAsia="zh-CN"/>
              </w:rPr>
              <w:t>工艺</w:t>
            </w:r>
            <w:r>
              <w:rPr>
                <w:rFonts w:hint="eastAsia" w:ascii="Times New Roman" w:hAnsi="Times New Roman" w:eastAsia="宋体"/>
                <w:b/>
                <w:color w:val="auto"/>
                <w:sz w:val="21"/>
                <w:szCs w:val="21"/>
              </w:rPr>
              <w:t>流程图</w:t>
            </w:r>
          </w:p>
          <w:p>
            <w:pPr>
              <w:adjustRightInd w:val="0"/>
              <w:snapToGrid w:val="0"/>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四</w:t>
            </w:r>
            <w:r>
              <w:rPr>
                <w:rFonts w:ascii="Times New Roman" w:hAnsi="Times New Roman" w:eastAsia="宋体"/>
                <w:b/>
                <w:bCs/>
                <w:color w:val="auto"/>
                <w:sz w:val="24"/>
                <w:szCs w:val="24"/>
              </w:rPr>
              <w:t>、</w:t>
            </w:r>
            <w:r>
              <w:rPr>
                <w:rFonts w:hint="eastAsia" w:ascii="Times New Roman" w:hAnsi="Times New Roman" w:eastAsia="宋体"/>
                <w:b/>
                <w:bCs/>
                <w:color w:val="auto"/>
                <w:sz w:val="24"/>
                <w:szCs w:val="24"/>
              </w:rPr>
              <w:t>主要</w:t>
            </w:r>
            <w:r>
              <w:rPr>
                <w:rFonts w:ascii="Times New Roman" w:hAnsi="Times New Roman" w:eastAsia="宋体"/>
                <w:b/>
                <w:bCs/>
                <w:color w:val="auto"/>
                <w:sz w:val="24"/>
                <w:szCs w:val="24"/>
              </w:rPr>
              <w:t>生产</w:t>
            </w:r>
            <w:r>
              <w:rPr>
                <w:rFonts w:hint="eastAsia" w:ascii="Times New Roman" w:hAnsi="Times New Roman" w:eastAsia="宋体"/>
                <w:b/>
                <w:bCs/>
                <w:color w:val="auto"/>
                <w:sz w:val="24"/>
                <w:szCs w:val="24"/>
              </w:rPr>
              <w:t>设施</w:t>
            </w:r>
            <w:r>
              <w:rPr>
                <w:rFonts w:ascii="Times New Roman" w:hAnsi="Times New Roman" w:eastAsia="宋体"/>
                <w:b/>
                <w:bCs/>
                <w:color w:val="auto"/>
                <w:sz w:val="24"/>
                <w:szCs w:val="24"/>
              </w:rPr>
              <w:t>及</w:t>
            </w:r>
            <w:r>
              <w:rPr>
                <w:rFonts w:hint="eastAsia" w:ascii="Times New Roman" w:hAnsi="Times New Roman" w:eastAsia="宋体"/>
                <w:b/>
                <w:bCs/>
                <w:color w:val="auto"/>
                <w:sz w:val="24"/>
                <w:szCs w:val="24"/>
              </w:rPr>
              <w:t>设施</w:t>
            </w:r>
            <w:r>
              <w:rPr>
                <w:rFonts w:ascii="Times New Roman" w:hAnsi="Times New Roman" w:eastAsia="宋体"/>
                <w:b/>
                <w:bCs/>
                <w:color w:val="auto"/>
                <w:sz w:val="24"/>
                <w:szCs w:val="24"/>
              </w:rPr>
              <w:t>参数</w:t>
            </w:r>
          </w:p>
          <w:p>
            <w:pPr>
              <w:adjustRightInd w:val="0"/>
              <w:snapToGrid w:val="0"/>
              <w:spacing w:line="360" w:lineRule="auto"/>
              <w:ind w:firstLine="480" w:firstLineChars="200"/>
              <w:rPr>
                <w:rFonts w:ascii="Times New Roman" w:hAnsi="Times New Roman" w:eastAsia="宋体"/>
                <w:bCs/>
                <w:color w:val="auto"/>
                <w:sz w:val="24"/>
                <w:szCs w:val="24"/>
              </w:rPr>
            </w:pPr>
            <w:r>
              <w:rPr>
                <w:rFonts w:hint="eastAsia" w:ascii="Times New Roman" w:hAnsi="Times New Roman" w:eastAsia="宋体"/>
                <w:bCs/>
                <w:color w:val="auto"/>
                <w:sz w:val="24"/>
                <w:szCs w:val="24"/>
              </w:rPr>
              <w:t>本项目</w:t>
            </w:r>
            <w:r>
              <w:rPr>
                <w:rFonts w:ascii="Times New Roman" w:hAnsi="Times New Roman" w:eastAsia="宋体"/>
                <w:bCs/>
                <w:color w:val="auto"/>
                <w:sz w:val="24"/>
                <w:szCs w:val="24"/>
              </w:rPr>
              <w:t>主要使用设备详见下表。</w:t>
            </w:r>
          </w:p>
          <w:p>
            <w:pPr>
              <w:spacing w:line="240" w:lineRule="auto"/>
              <w:ind w:firstLine="422" w:firstLineChars="200"/>
              <w:jc w:val="center"/>
              <w:rPr>
                <w:rFonts w:ascii="Times New Roman" w:hAnsi="Times New Roman" w:eastAsia="宋体"/>
                <w:b/>
                <w:bCs/>
                <w:color w:val="auto"/>
                <w:sz w:val="21"/>
                <w:szCs w:val="21"/>
                <w:u w:val="none"/>
              </w:rPr>
            </w:pPr>
            <w:r>
              <w:rPr>
                <w:rFonts w:ascii="Times New Roman" w:hAnsi="Times New Roman" w:eastAsia="宋体"/>
                <w:b/>
                <w:bCs/>
                <w:color w:val="auto"/>
                <w:sz w:val="21"/>
                <w:szCs w:val="21"/>
                <w:u w:val="none"/>
              </w:rPr>
              <w:t>表</w:t>
            </w:r>
            <w:r>
              <w:rPr>
                <w:rFonts w:hint="eastAsia"/>
                <w:b/>
                <w:bCs/>
                <w:color w:val="auto"/>
                <w:sz w:val="21"/>
                <w:szCs w:val="21"/>
                <w:u w:val="none"/>
                <w:lang w:val="en-US" w:eastAsia="zh-CN"/>
              </w:rPr>
              <w:t>2-3</w:t>
            </w:r>
            <w:r>
              <w:rPr>
                <w:rFonts w:ascii="Times New Roman" w:hAnsi="Times New Roman" w:eastAsia="宋体"/>
                <w:b/>
                <w:bCs/>
                <w:color w:val="auto"/>
                <w:sz w:val="21"/>
                <w:szCs w:val="21"/>
                <w:u w:val="none"/>
              </w:rPr>
              <w:t xml:space="preserve"> </w:t>
            </w:r>
            <w:r>
              <w:rPr>
                <w:rFonts w:hint="eastAsia" w:ascii="Times New Roman" w:hAnsi="Times New Roman" w:eastAsia="宋体"/>
                <w:b/>
                <w:bCs/>
                <w:color w:val="auto"/>
                <w:sz w:val="21"/>
                <w:szCs w:val="21"/>
                <w:u w:val="none"/>
              </w:rPr>
              <w:t>主要设施</w:t>
            </w:r>
            <w:r>
              <w:rPr>
                <w:rFonts w:ascii="Times New Roman" w:hAnsi="Times New Roman" w:eastAsia="宋体"/>
                <w:b/>
                <w:bCs/>
                <w:color w:val="auto"/>
                <w:sz w:val="21"/>
                <w:szCs w:val="21"/>
                <w:u w:val="none"/>
              </w:rPr>
              <w:t>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669"/>
              <w:gridCol w:w="828"/>
              <w:gridCol w:w="965"/>
              <w:gridCol w:w="26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tblHeader/>
              </w:trPr>
              <w:tc>
                <w:tcPr>
                  <w:tcW w:w="499" w:type="pct"/>
                  <w:vAlign w:val="center"/>
                </w:tcPr>
                <w:p>
                  <w:pPr>
                    <w:widowControl/>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序号</w:t>
                  </w:r>
                </w:p>
              </w:tc>
              <w:tc>
                <w:tcPr>
                  <w:tcW w:w="1679" w:type="pct"/>
                  <w:vAlign w:val="center"/>
                </w:tcPr>
                <w:p>
                  <w:pPr>
                    <w:widowControl/>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设备名称</w:t>
                  </w:r>
                </w:p>
              </w:tc>
              <w:tc>
                <w:tcPr>
                  <w:tcW w:w="521" w:type="pct"/>
                  <w:vAlign w:val="center"/>
                </w:tcPr>
                <w:p>
                  <w:pPr>
                    <w:widowControl/>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单位</w:t>
                  </w:r>
                </w:p>
              </w:tc>
              <w:tc>
                <w:tcPr>
                  <w:tcW w:w="607" w:type="pct"/>
                  <w:vAlign w:val="center"/>
                </w:tcPr>
                <w:p>
                  <w:pPr>
                    <w:widowControl/>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数量</w:t>
                  </w:r>
                </w:p>
              </w:tc>
              <w:tc>
                <w:tcPr>
                  <w:tcW w:w="1692" w:type="pct"/>
                  <w:vAlign w:val="center"/>
                </w:tcPr>
                <w:p>
                  <w:pPr>
                    <w:widowControl/>
                    <w:spacing w:line="240" w:lineRule="auto"/>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99" w:type="pct"/>
                  <w:vAlign w:val="center"/>
                </w:tcPr>
                <w:p>
                  <w:pPr>
                    <w:spacing w:line="240" w:lineRule="auto"/>
                    <w:jc w:val="center"/>
                    <w:rPr>
                      <w:rFonts w:hint="eastAsia"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1</w:t>
                  </w:r>
                </w:p>
              </w:tc>
              <w:tc>
                <w:tcPr>
                  <w:tcW w:w="1679" w:type="pct"/>
                  <w:vAlign w:val="center"/>
                </w:tcPr>
                <w:p>
                  <w:pPr>
                    <w:adjustRightInd w:val="0"/>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罐体推送台</w:t>
                  </w:r>
                </w:p>
              </w:tc>
              <w:tc>
                <w:tcPr>
                  <w:tcW w:w="521" w:type="pct"/>
                  <w:vAlign w:val="center"/>
                </w:tcPr>
                <w:p>
                  <w:pPr>
                    <w:adjustRightInd w:val="0"/>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台</w:t>
                  </w:r>
                </w:p>
              </w:tc>
              <w:tc>
                <w:tcPr>
                  <w:tcW w:w="607" w:type="pct"/>
                  <w:vAlign w:val="center"/>
                </w:tcPr>
                <w:p>
                  <w:pPr>
                    <w:adjustRightInd w:val="0"/>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2</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499" w:type="pct"/>
                  <w:vAlign w:val="center"/>
                </w:tcPr>
                <w:p>
                  <w:pPr>
                    <w:spacing w:line="240" w:lineRule="auto"/>
                    <w:jc w:val="center"/>
                    <w:rPr>
                      <w:rFonts w:hint="eastAsia"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2</w:t>
                  </w:r>
                </w:p>
              </w:tc>
              <w:tc>
                <w:tcPr>
                  <w:tcW w:w="1679" w:type="pct"/>
                  <w:vAlign w:val="center"/>
                </w:tcPr>
                <w:p>
                  <w:pPr>
                    <w:adjustRightInd w:val="0"/>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灌装机</w:t>
                  </w:r>
                </w:p>
              </w:tc>
              <w:tc>
                <w:tcPr>
                  <w:tcW w:w="521" w:type="pct"/>
                  <w:vAlign w:val="center"/>
                </w:tcPr>
                <w:p>
                  <w:pPr>
                    <w:adjustRightInd w:val="0"/>
                    <w:spacing w:line="240" w:lineRule="auto"/>
                    <w:jc w:val="center"/>
                    <w:rPr>
                      <w:rFonts w:ascii="Times New Roman" w:hAnsi="Times New Roman" w:eastAsia="宋体"/>
                      <w:color w:val="auto"/>
                      <w:sz w:val="21"/>
                      <w:szCs w:val="21"/>
                      <w:u w:val="none"/>
                    </w:rPr>
                  </w:pPr>
                  <w:r>
                    <w:rPr>
                      <w:rFonts w:hint="eastAsia"/>
                      <w:color w:val="auto"/>
                      <w:sz w:val="21"/>
                      <w:szCs w:val="21"/>
                      <w:u w:val="none"/>
                      <w:lang w:val="en-US" w:eastAsia="zh-CN"/>
                    </w:rPr>
                    <w:t>台</w:t>
                  </w:r>
                </w:p>
              </w:tc>
              <w:tc>
                <w:tcPr>
                  <w:tcW w:w="607" w:type="pct"/>
                  <w:vAlign w:val="center"/>
                </w:tcPr>
                <w:p>
                  <w:pPr>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2</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99" w:type="pct"/>
                  <w:vAlign w:val="center"/>
                </w:tcPr>
                <w:p>
                  <w:pPr>
                    <w:spacing w:line="240" w:lineRule="auto"/>
                    <w:jc w:val="center"/>
                    <w:rPr>
                      <w:rFonts w:hint="eastAsia"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3</w:t>
                  </w:r>
                </w:p>
              </w:tc>
              <w:tc>
                <w:tcPr>
                  <w:tcW w:w="1679" w:type="pct"/>
                  <w:vAlign w:val="center"/>
                </w:tcPr>
                <w:p>
                  <w:pPr>
                    <w:adjustRightInd w:val="0"/>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充气机</w:t>
                  </w:r>
                </w:p>
              </w:tc>
              <w:tc>
                <w:tcPr>
                  <w:tcW w:w="521" w:type="pct"/>
                  <w:vAlign w:val="center"/>
                </w:tcPr>
                <w:p>
                  <w:pPr>
                    <w:adjustRightInd w:val="0"/>
                    <w:spacing w:line="240" w:lineRule="auto"/>
                    <w:jc w:val="center"/>
                    <w:rPr>
                      <w:rFonts w:ascii="Times New Roman" w:hAnsi="Times New Roman" w:eastAsia="宋体"/>
                      <w:color w:val="auto"/>
                      <w:sz w:val="21"/>
                      <w:szCs w:val="21"/>
                      <w:u w:val="none"/>
                    </w:rPr>
                  </w:pPr>
                  <w:r>
                    <w:rPr>
                      <w:rFonts w:hint="eastAsia"/>
                      <w:color w:val="auto"/>
                      <w:sz w:val="21"/>
                      <w:szCs w:val="21"/>
                      <w:u w:val="none"/>
                      <w:lang w:val="en-US" w:eastAsia="zh-CN"/>
                    </w:rPr>
                    <w:t>台</w:t>
                  </w:r>
                </w:p>
              </w:tc>
              <w:tc>
                <w:tcPr>
                  <w:tcW w:w="607" w:type="pct"/>
                  <w:vAlign w:val="center"/>
                </w:tcPr>
                <w:p>
                  <w:pPr>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2</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99" w:type="pct"/>
                  <w:vAlign w:val="center"/>
                </w:tcPr>
                <w:p>
                  <w:pPr>
                    <w:spacing w:line="240" w:lineRule="auto"/>
                    <w:jc w:val="center"/>
                    <w:rPr>
                      <w:rFonts w:hint="eastAsia"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4</w:t>
                  </w:r>
                </w:p>
              </w:tc>
              <w:tc>
                <w:tcPr>
                  <w:tcW w:w="1679" w:type="pct"/>
                  <w:vAlign w:val="center"/>
                </w:tcPr>
                <w:p>
                  <w:pPr>
                    <w:adjustRightInd w:val="0"/>
                    <w:spacing w:line="240" w:lineRule="auto"/>
                    <w:jc w:val="center"/>
                    <w:rPr>
                      <w:rFonts w:hint="default"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空压机</w:t>
                  </w:r>
                </w:p>
              </w:tc>
              <w:tc>
                <w:tcPr>
                  <w:tcW w:w="521" w:type="pct"/>
                  <w:vAlign w:val="center"/>
                </w:tcPr>
                <w:p>
                  <w:pPr>
                    <w:adjustRightInd w:val="0"/>
                    <w:spacing w:line="240" w:lineRule="auto"/>
                    <w:jc w:val="center"/>
                    <w:rPr>
                      <w:rFonts w:ascii="Times New Roman" w:hAnsi="Times New Roman" w:eastAsia="宋体"/>
                      <w:color w:val="auto"/>
                      <w:kern w:val="0"/>
                      <w:sz w:val="21"/>
                      <w:szCs w:val="21"/>
                      <w:u w:val="none"/>
                    </w:rPr>
                  </w:pPr>
                  <w:r>
                    <w:rPr>
                      <w:rFonts w:hint="eastAsia"/>
                      <w:color w:val="auto"/>
                      <w:sz w:val="21"/>
                      <w:szCs w:val="21"/>
                      <w:u w:val="none"/>
                      <w:lang w:val="en-US" w:eastAsia="zh-CN"/>
                    </w:rPr>
                    <w:t>台</w:t>
                  </w:r>
                </w:p>
              </w:tc>
              <w:tc>
                <w:tcPr>
                  <w:tcW w:w="607" w:type="pct"/>
                  <w:vAlign w:val="center"/>
                </w:tcPr>
                <w:p>
                  <w:pPr>
                    <w:spacing w:line="240" w:lineRule="auto"/>
                    <w:jc w:val="center"/>
                    <w:rPr>
                      <w:rFonts w:hint="default" w:ascii="Times New Roman" w:hAnsi="Times New Roman" w:eastAsia="宋体"/>
                      <w:color w:val="auto"/>
                      <w:sz w:val="21"/>
                      <w:szCs w:val="21"/>
                      <w:u w:val="none"/>
                      <w:lang w:val="en-US" w:eastAsia="zh-CN"/>
                    </w:rPr>
                  </w:pPr>
                  <w:r>
                    <w:rPr>
                      <w:rFonts w:hint="eastAsia"/>
                      <w:color w:val="auto"/>
                      <w:sz w:val="21"/>
                      <w:szCs w:val="21"/>
                      <w:u w:val="none"/>
                      <w:lang w:val="en-US" w:eastAsia="zh-CN"/>
                    </w:rPr>
                    <w:t>2</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99" w:type="pct"/>
                  <w:vAlign w:val="center"/>
                </w:tcPr>
                <w:p>
                  <w:pPr>
                    <w:spacing w:line="240" w:lineRule="auto"/>
                    <w:jc w:val="center"/>
                    <w:rPr>
                      <w:rFonts w:hint="eastAsia"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5</w:t>
                  </w:r>
                </w:p>
              </w:tc>
              <w:tc>
                <w:tcPr>
                  <w:tcW w:w="1679" w:type="pct"/>
                  <w:vAlign w:val="center"/>
                </w:tcPr>
                <w:p>
                  <w:pPr>
                    <w:adjustRightInd w:val="0"/>
                    <w:spacing w:line="240" w:lineRule="auto"/>
                    <w:jc w:val="center"/>
                    <w:rPr>
                      <w:rFonts w:hint="eastAsia" w:ascii="Times New Roman" w:hAnsi="Times New Roman" w:eastAsia="宋体"/>
                      <w:color w:val="auto"/>
                      <w:kern w:val="0"/>
                      <w:sz w:val="21"/>
                      <w:szCs w:val="21"/>
                      <w:u w:val="none"/>
                      <w:lang w:val="en-US" w:eastAsia="zh-CN"/>
                    </w:rPr>
                  </w:pPr>
                  <w:r>
                    <w:rPr>
                      <w:rFonts w:hint="eastAsia"/>
                      <w:color w:val="auto"/>
                      <w:kern w:val="0"/>
                      <w:sz w:val="21"/>
                      <w:szCs w:val="21"/>
                      <w:u w:val="none"/>
                      <w:lang w:val="en-US" w:eastAsia="zh-CN"/>
                    </w:rPr>
                    <w:t>上阀机</w:t>
                  </w:r>
                </w:p>
              </w:tc>
              <w:tc>
                <w:tcPr>
                  <w:tcW w:w="521" w:type="pct"/>
                  <w:vAlign w:val="center"/>
                </w:tcPr>
                <w:p>
                  <w:pPr>
                    <w:adjustRightInd w:val="0"/>
                    <w:spacing w:line="240" w:lineRule="auto"/>
                    <w:jc w:val="center"/>
                    <w:rPr>
                      <w:rFonts w:ascii="Times New Roman" w:hAnsi="Times New Roman" w:eastAsia="宋体"/>
                      <w:color w:val="auto"/>
                      <w:kern w:val="0"/>
                      <w:sz w:val="21"/>
                      <w:szCs w:val="21"/>
                      <w:u w:val="none"/>
                    </w:rPr>
                  </w:pPr>
                  <w:r>
                    <w:rPr>
                      <w:rFonts w:hint="eastAsia"/>
                      <w:color w:val="auto"/>
                      <w:sz w:val="21"/>
                      <w:szCs w:val="21"/>
                      <w:u w:val="none"/>
                      <w:lang w:val="en-US" w:eastAsia="zh-CN"/>
                    </w:rPr>
                    <w:t>台</w:t>
                  </w:r>
                </w:p>
              </w:tc>
              <w:tc>
                <w:tcPr>
                  <w:tcW w:w="607" w:type="pct"/>
                  <w:vAlign w:val="center"/>
                </w:tcPr>
                <w:p>
                  <w:pPr>
                    <w:spacing w:line="240" w:lineRule="auto"/>
                    <w:jc w:val="center"/>
                    <w:rPr>
                      <w:rFonts w:hint="eastAsia" w:ascii="Times New Roman" w:hAnsi="Times New Roman" w:eastAsia="宋体"/>
                      <w:color w:val="auto"/>
                      <w:sz w:val="21"/>
                      <w:szCs w:val="21"/>
                      <w:u w:val="none"/>
                      <w:lang w:val="en-US" w:eastAsia="zh-CN"/>
                    </w:rPr>
                  </w:pPr>
                  <w:r>
                    <w:rPr>
                      <w:rFonts w:hint="eastAsia"/>
                      <w:color w:val="auto"/>
                      <w:sz w:val="21"/>
                      <w:szCs w:val="21"/>
                      <w:u w:val="none"/>
                      <w:lang w:val="en-US" w:eastAsia="zh-CN"/>
                    </w:rPr>
                    <w:t>2</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99" w:type="pct"/>
                  <w:vAlign w:val="center"/>
                </w:tcPr>
                <w:p>
                  <w:pPr>
                    <w:spacing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6</w:t>
                  </w:r>
                </w:p>
              </w:tc>
              <w:tc>
                <w:tcPr>
                  <w:tcW w:w="1679" w:type="pct"/>
                  <w:vAlign w:val="center"/>
                </w:tcPr>
                <w:p>
                  <w:pPr>
                    <w:adjustRightInd w:val="0"/>
                    <w:spacing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5G气凝胶多功能巡防消防车组装线</w:t>
                  </w:r>
                </w:p>
              </w:tc>
              <w:tc>
                <w:tcPr>
                  <w:tcW w:w="521" w:type="pct"/>
                  <w:vAlign w:val="center"/>
                </w:tcPr>
                <w:p>
                  <w:pPr>
                    <w:adjustRightInd w:val="0"/>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套</w:t>
                  </w:r>
                </w:p>
              </w:tc>
              <w:tc>
                <w:tcPr>
                  <w:tcW w:w="607" w:type="pct"/>
                  <w:vAlign w:val="center"/>
                </w:tcPr>
                <w:p>
                  <w:pPr>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1</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99" w:type="pct"/>
                  <w:vAlign w:val="center"/>
                </w:tcPr>
                <w:p>
                  <w:pPr>
                    <w:spacing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7</w:t>
                  </w:r>
                </w:p>
              </w:tc>
              <w:tc>
                <w:tcPr>
                  <w:tcW w:w="1679" w:type="pct"/>
                  <w:vAlign w:val="center"/>
                </w:tcPr>
                <w:p>
                  <w:pPr>
                    <w:adjustRightInd w:val="0"/>
                    <w:spacing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4t/h燃天然气热水锅炉</w:t>
                  </w:r>
                </w:p>
              </w:tc>
              <w:tc>
                <w:tcPr>
                  <w:tcW w:w="521" w:type="pct"/>
                  <w:vAlign w:val="center"/>
                </w:tcPr>
                <w:p>
                  <w:pPr>
                    <w:adjustRightInd w:val="0"/>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套</w:t>
                  </w:r>
                </w:p>
              </w:tc>
              <w:tc>
                <w:tcPr>
                  <w:tcW w:w="607" w:type="pct"/>
                  <w:vAlign w:val="center"/>
                </w:tcPr>
                <w:p>
                  <w:pPr>
                    <w:spacing w:line="240" w:lineRule="auto"/>
                    <w:jc w:val="center"/>
                    <w:rPr>
                      <w:rFonts w:hint="default"/>
                      <w:color w:val="auto"/>
                      <w:sz w:val="21"/>
                      <w:szCs w:val="21"/>
                      <w:u w:val="none"/>
                      <w:lang w:val="en-US" w:eastAsia="zh-CN"/>
                    </w:rPr>
                  </w:pPr>
                  <w:r>
                    <w:rPr>
                      <w:rFonts w:hint="eastAsia"/>
                      <w:color w:val="auto"/>
                      <w:sz w:val="21"/>
                      <w:szCs w:val="21"/>
                      <w:u w:val="none"/>
                      <w:lang w:val="en-US" w:eastAsia="zh-CN"/>
                    </w:rPr>
                    <w:t>1</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99" w:type="pct"/>
                  <w:vAlign w:val="center"/>
                </w:tcPr>
                <w:p>
                  <w:pPr>
                    <w:spacing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8</w:t>
                  </w:r>
                </w:p>
              </w:tc>
              <w:tc>
                <w:tcPr>
                  <w:tcW w:w="1679" w:type="pct"/>
                  <w:vAlign w:val="center"/>
                </w:tcPr>
                <w:p>
                  <w:pPr>
                    <w:adjustRightInd w:val="0"/>
                    <w:spacing w:line="240" w:lineRule="auto"/>
                    <w:jc w:val="center"/>
                    <w:rPr>
                      <w:rFonts w:hint="default"/>
                      <w:color w:val="auto"/>
                      <w:kern w:val="0"/>
                      <w:sz w:val="21"/>
                      <w:szCs w:val="21"/>
                      <w:u w:val="none"/>
                      <w:lang w:val="en-US" w:eastAsia="zh-CN"/>
                    </w:rPr>
                  </w:pPr>
                  <w:r>
                    <w:rPr>
                      <w:rFonts w:hint="eastAsia"/>
                      <w:color w:val="auto"/>
                      <w:kern w:val="0"/>
                      <w:sz w:val="21"/>
                      <w:szCs w:val="21"/>
                      <w:u w:val="none"/>
                      <w:lang w:val="en-US" w:eastAsia="zh-CN"/>
                    </w:rPr>
                    <w:t>软化水制备系统</w:t>
                  </w:r>
                </w:p>
              </w:tc>
              <w:tc>
                <w:tcPr>
                  <w:tcW w:w="521" w:type="pct"/>
                  <w:vAlign w:val="center"/>
                </w:tcPr>
                <w:p>
                  <w:pPr>
                    <w:adjustRightInd w:val="0"/>
                    <w:spacing w:line="240" w:lineRule="auto"/>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套</w:t>
                  </w:r>
                </w:p>
              </w:tc>
              <w:tc>
                <w:tcPr>
                  <w:tcW w:w="607" w:type="pct"/>
                  <w:vAlign w:val="center"/>
                </w:tcPr>
                <w:p>
                  <w:pPr>
                    <w:spacing w:line="240" w:lineRule="auto"/>
                    <w:jc w:val="center"/>
                    <w:rPr>
                      <w:rFonts w:hint="eastAsia" w:ascii="Times New Roman" w:hAnsi="Times New Roman" w:eastAsia="宋体" w:cs="Times New Roman"/>
                      <w:color w:val="auto"/>
                      <w:kern w:val="2"/>
                      <w:sz w:val="21"/>
                      <w:szCs w:val="21"/>
                      <w:u w:val="none"/>
                      <w:lang w:val="en-US" w:eastAsia="zh-CN" w:bidi="ar-SA"/>
                    </w:rPr>
                  </w:pPr>
                  <w:r>
                    <w:rPr>
                      <w:rFonts w:hint="eastAsia"/>
                      <w:color w:val="auto"/>
                      <w:sz w:val="21"/>
                      <w:szCs w:val="21"/>
                      <w:u w:val="none"/>
                      <w:lang w:val="en-US" w:eastAsia="zh-CN"/>
                    </w:rPr>
                    <w:t>1</w:t>
                  </w:r>
                </w:p>
              </w:tc>
              <w:tc>
                <w:tcPr>
                  <w:tcW w:w="1692" w:type="pct"/>
                  <w:vAlign w:val="center"/>
                </w:tcPr>
                <w:p>
                  <w:pPr>
                    <w:spacing w:line="240" w:lineRule="auto"/>
                    <w:jc w:val="center"/>
                    <w:rPr>
                      <w:rFonts w:ascii="Times New Roman" w:hAnsi="Times New Roman" w:eastAsia="宋体"/>
                      <w:color w:val="auto"/>
                      <w:kern w:val="0"/>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99" w:type="pct"/>
                  <w:gridSpan w:val="3"/>
                  <w:vAlign w:val="center"/>
                </w:tcPr>
                <w:p>
                  <w:pPr>
                    <w:widowControl/>
                    <w:spacing w:line="240" w:lineRule="auto"/>
                    <w:jc w:val="center"/>
                    <w:rPr>
                      <w:rFonts w:ascii="Times New Roman" w:hAnsi="Times New Roman" w:eastAsia="宋体"/>
                      <w:b/>
                      <w:color w:val="auto"/>
                      <w:sz w:val="21"/>
                      <w:szCs w:val="21"/>
                      <w:u w:val="none"/>
                    </w:rPr>
                  </w:pPr>
                  <w:r>
                    <w:rPr>
                      <w:rFonts w:ascii="Times New Roman" w:hAnsi="Times New Roman" w:eastAsia="宋体"/>
                      <w:b/>
                      <w:color w:val="auto"/>
                      <w:sz w:val="21"/>
                      <w:szCs w:val="21"/>
                      <w:u w:val="none"/>
                    </w:rPr>
                    <w:t>合计</w:t>
                  </w:r>
                </w:p>
              </w:tc>
              <w:tc>
                <w:tcPr>
                  <w:tcW w:w="607" w:type="pct"/>
                  <w:vAlign w:val="center"/>
                </w:tcPr>
                <w:p>
                  <w:pPr>
                    <w:widowControl/>
                    <w:spacing w:line="240" w:lineRule="auto"/>
                    <w:jc w:val="center"/>
                    <w:rPr>
                      <w:rFonts w:hint="default" w:ascii="Times New Roman" w:hAnsi="Times New Roman" w:eastAsia="宋体"/>
                      <w:b/>
                      <w:color w:val="auto"/>
                      <w:sz w:val="21"/>
                      <w:szCs w:val="21"/>
                      <w:u w:val="none"/>
                      <w:lang w:val="en-US" w:eastAsia="zh-CN"/>
                    </w:rPr>
                  </w:pPr>
                  <w:r>
                    <w:rPr>
                      <w:rFonts w:hint="eastAsia"/>
                      <w:b/>
                      <w:color w:val="auto"/>
                      <w:sz w:val="21"/>
                      <w:szCs w:val="21"/>
                      <w:u w:val="none"/>
                      <w:lang w:val="en-US" w:eastAsia="zh-CN"/>
                    </w:rPr>
                    <w:t>13</w:t>
                  </w:r>
                </w:p>
              </w:tc>
              <w:tc>
                <w:tcPr>
                  <w:tcW w:w="1692" w:type="pct"/>
                  <w:vAlign w:val="center"/>
                </w:tcPr>
                <w:p>
                  <w:pPr>
                    <w:widowControl/>
                    <w:spacing w:line="240" w:lineRule="auto"/>
                    <w:jc w:val="center"/>
                    <w:rPr>
                      <w:rFonts w:ascii="Times New Roman" w:hAnsi="Times New Roman" w:eastAsia="宋体"/>
                      <w:b/>
                      <w:color w:val="auto"/>
                      <w:sz w:val="21"/>
                      <w:szCs w:val="21"/>
                      <w:u w:val="none"/>
                    </w:rPr>
                  </w:pPr>
                </w:p>
              </w:tc>
            </w:tr>
          </w:tbl>
          <w:p>
            <w:pPr>
              <w:spacing w:line="360" w:lineRule="auto"/>
              <w:rPr>
                <w:rFonts w:ascii="Times New Roman" w:hAnsi="Times New Roman" w:eastAsia="宋体"/>
                <w:b/>
                <w:bCs/>
                <w:color w:val="auto"/>
                <w:sz w:val="24"/>
                <w:szCs w:val="24"/>
              </w:rPr>
            </w:pPr>
            <w:r>
              <w:rPr>
                <w:rFonts w:hint="eastAsia" w:ascii="Times New Roman" w:hAnsi="Times New Roman" w:eastAsia="宋体"/>
                <w:b/>
                <w:bCs/>
                <w:color w:val="auto"/>
                <w:sz w:val="24"/>
                <w:szCs w:val="24"/>
              </w:rPr>
              <w:t>五</w:t>
            </w:r>
            <w:r>
              <w:rPr>
                <w:rFonts w:ascii="Times New Roman" w:hAnsi="Times New Roman" w:eastAsia="宋体"/>
                <w:b/>
                <w:bCs/>
                <w:color w:val="auto"/>
                <w:sz w:val="24"/>
                <w:szCs w:val="24"/>
              </w:rPr>
              <w:t>、主要原辅材料</w:t>
            </w:r>
            <w:r>
              <w:rPr>
                <w:rFonts w:hint="eastAsia" w:ascii="Times New Roman" w:hAnsi="Times New Roman" w:eastAsia="宋体"/>
                <w:b/>
                <w:bCs/>
                <w:color w:val="auto"/>
                <w:sz w:val="24"/>
                <w:szCs w:val="24"/>
              </w:rPr>
              <w:t>及燃料的种类和用量</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本项目营运期能源消耗详见</w:t>
            </w:r>
            <w:r>
              <w:rPr>
                <w:rFonts w:ascii="Times New Roman" w:hAnsi="Times New Roman" w:eastAsia="宋体"/>
                <w:color w:val="auto"/>
                <w:sz w:val="24"/>
                <w:szCs w:val="24"/>
              </w:rPr>
              <w:t>下表。</w:t>
            </w:r>
          </w:p>
          <w:p>
            <w:pPr>
              <w:spacing w:line="240" w:lineRule="auto"/>
              <w:ind w:firstLine="422" w:firstLineChars="200"/>
              <w:jc w:val="center"/>
              <w:rPr>
                <w:rFonts w:ascii="Times New Roman" w:hAnsi="Times New Roman" w:eastAsia="宋体"/>
                <w:b/>
                <w:bCs/>
                <w:color w:val="auto"/>
                <w:sz w:val="21"/>
                <w:szCs w:val="21"/>
              </w:rPr>
            </w:pPr>
            <w:r>
              <w:rPr>
                <w:rFonts w:ascii="Times New Roman" w:hAnsi="Times New Roman" w:eastAsia="宋体"/>
                <w:b/>
                <w:bCs/>
                <w:color w:val="auto"/>
                <w:sz w:val="21"/>
                <w:szCs w:val="21"/>
              </w:rPr>
              <w:t>表</w:t>
            </w:r>
            <w:r>
              <w:rPr>
                <w:rFonts w:hint="eastAsia"/>
                <w:b/>
                <w:bCs/>
                <w:color w:val="auto"/>
                <w:sz w:val="21"/>
                <w:szCs w:val="21"/>
                <w:lang w:val="en-US" w:eastAsia="zh-CN"/>
              </w:rPr>
              <w:t>2-4</w:t>
            </w:r>
            <w:r>
              <w:rPr>
                <w:rFonts w:ascii="Times New Roman" w:hAnsi="Times New Roman" w:eastAsia="宋体"/>
                <w:b/>
                <w:bCs/>
                <w:color w:val="auto"/>
                <w:sz w:val="21"/>
                <w:szCs w:val="21"/>
              </w:rPr>
              <w:t xml:space="preserve"> </w:t>
            </w:r>
            <w:r>
              <w:rPr>
                <w:rFonts w:hint="eastAsia" w:ascii="Times New Roman" w:hAnsi="Times New Roman" w:eastAsia="宋体"/>
                <w:b/>
                <w:bCs/>
                <w:color w:val="auto"/>
                <w:sz w:val="21"/>
                <w:szCs w:val="21"/>
              </w:rPr>
              <w:t>主要能源消耗</w:t>
            </w:r>
            <w:r>
              <w:rPr>
                <w:rFonts w:ascii="Times New Roman" w:hAnsi="Times New Roman" w:eastAsia="宋体"/>
                <w:b/>
                <w:bCs/>
                <w:color w:val="auto"/>
                <w:sz w:val="21"/>
                <w:szCs w:val="21"/>
              </w:rPr>
              <w:t>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062"/>
              <w:gridCol w:w="1816"/>
              <w:gridCol w:w="1356"/>
              <w:gridCol w:w="1124"/>
              <w:gridCol w:w="2587"/>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序号</w:t>
                  </w:r>
                </w:p>
              </w:tc>
              <w:tc>
                <w:tcPr>
                  <w:tcW w:w="1142"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名称</w:t>
                  </w:r>
                </w:p>
              </w:tc>
              <w:tc>
                <w:tcPr>
                  <w:tcW w:w="853"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单位</w:t>
                  </w:r>
                </w:p>
              </w:tc>
              <w:tc>
                <w:tcPr>
                  <w:tcW w:w="707"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用量</w:t>
                  </w:r>
                </w:p>
              </w:tc>
              <w:tc>
                <w:tcPr>
                  <w:tcW w:w="1626"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来源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ascii="Times New Roman" w:hAnsi="Times New Roman" w:eastAsia="宋体"/>
                      <w:bCs/>
                      <w:color w:val="auto"/>
                      <w:sz w:val="21"/>
                      <w:szCs w:val="21"/>
                    </w:rPr>
                  </w:pPr>
                  <w:r>
                    <w:rPr>
                      <w:rFonts w:ascii="Times New Roman" w:hAnsi="Times New Roman" w:eastAsia="宋体"/>
                      <w:bCs/>
                      <w:color w:val="auto"/>
                      <w:sz w:val="21"/>
                      <w:szCs w:val="21"/>
                    </w:rPr>
                    <w:t>1</w:t>
                  </w:r>
                </w:p>
              </w:tc>
              <w:tc>
                <w:tcPr>
                  <w:tcW w:w="1142"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成品钢（铝）罐</w:t>
                  </w:r>
                </w:p>
              </w:tc>
              <w:tc>
                <w:tcPr>
                  <w:tcW w:w="853"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万个/年</w:t>
                  </w:r>
                </w:p>
              </w:tc>
              <w:tc>
                <w:tcPr>
                  <w:tcW w:w="707"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100</w:t>
                  </w:r>
                </w:p>
              </w:tc>
              <w:tc>
                <w:tcPr>
                  <w:tcW w:w="1626"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2</w:t>
                  </w:r>
                </w:p>
              </w:tc>
              <w:tc>
                <w:tcPr>
                  <w:tcW w:w="1142"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SiO</w:t>
                  </w:r>
                  <w:r>
                    <w:rPr>
                      <w:rFonts w:hint="eastAsia"/>
                      <w:bCs/>
                      <w:color w:val="auto"/>
                      <w:sz w:val="21"/>
                      <w:szCs w:val="21"/>
                      <w:vertAlign w:val="subscript"/>
                      <w:lang w:val="en-US" w:eastAsia="zh-CN"/>
                    </w:rPr>
                    <w:t>2</w:t>
                  </w:r>
                  <w:r>
                    <w:rPr>
                      <w:rFonts w:hint="eastAsia"/>
                      <w:bCs/>
                      <w:color w:val="auto"/>
                      <w:sz w:val="21"/>
                      <w:szCs w:val="21"/>
                      <w:lang w:val="en-US" w:eastAsia="zh-CN"/>
                    </w:rPr>
                    <w:t>气凝胶</w:t>
                  </w:r>
                </w:p>
              </w:tc>
              <w:tc>
                <w:tcPr>
                  <w:tcW w:w="853"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吨/年</w:t>
                  </w:r>
                </w:p>
              </w:tc>
              <w:tc>
                <w:tcPr>
                  <w:tcW w:w="707"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15450</w:t>
                  </w:r>
                </w:p>
              </w:tc>
              <w:tc>
                <w:tcPr>
                  <w:tcW w:w="1626"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外购成品，吨桶包装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3</w:t>
                  </w:r>
                </w:p>
              </w:tc>
              <w:tc>
                <w:tcPr>
                  <w:tcW w:w="1142"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各类成品工件</w:t>
                  </w:r>
                </w:p>
              </w:tc>
              <w:tc>
                <w:tcPr>
                  <w:tcW w:w="853"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万件/年</w:t>
                  </w:r>
                </w:p>
              </w:tc>
              <w:tc>
                <w:tcPr>
                  <w:tcW w:w="707"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1</w:t>
                  </w:r>
                </w:p>
              </w:tc>
              <w:tc>
                <w:tcPr>
                  <w:tcW w:w="1626"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外购成品，进厂后不进行加工，直接上线组装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4</w:t>
                  </w:r>
                </w:p>
              </w:tc>
              <w:tc>
                <w:tcPr>
                  <w:tcW w:w="1142"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背负箱</w:t>
                  </w:r>
                </w:p>
              </w:tc>
              <w:tc>
                <w:tcPr>
                  <w:tcW w:w="853"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万个/年</w:t>
                  </w:r>
                </w:p>
              </w:tc>
              <w:tc>
                <w:tcPr>
                  <w:tcW w:w="707"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50</w:t>
                  </w:r>
                </w:p>
              </w:tc>
              <w:tc>
                <w:tcPr>
                  <w:tcW w:w="1626"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hint="eastAsia" w:ascii="Times New Roman" w:hAnsi="Times New Roman" w:eastAsia="宋体"/>
                      <w:bCs/>
                      <w:color w:val="auto"/>
                      <w:sz w:val="21"/>
                      <w:szCs w:val="21"/>
                      <w:lang w:val="en-US" w:eastAsia="zh-CN"/>
                    </w:rPr>
                  </w:pPr>
                  <w:r>
                    <w:rPr>
                      <w:rFonts w:hint="eastAsia"/>
                      <w:bCs/>
                      <w:color w:val="auto"/>
                      <w:sz w:val="21"/>
                      <w:szCs w:val="21"/>
                      <w:lang w:val="en-US" w:eastAsia="zh-CN"/>
                    </w:rPr>
                    <w:t>5</w:t>
                  </w:r>
                </w:p>
              </w:tc>
              <w:tc>
                <w:tcPr>
                  <w:tcW w:w="1142"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其他配件</w:t>
                  </w:r>
                </w:p>
              </w:tc>
              <w:tc>
                <w:tcPr>
                  <w:tcW w:w="853"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万个/年</w:t>
                  </w:r>
                </w:p>
              </w:tc>
              <w:tc>
                <w:tcPr>
                  <w:tcW w:w="707"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150</w:t>
                  </w:r>
                </w:p>
              </w:tc>
              <w:tc>
                <w:tcPr>
                  <w:tcW w:w="1626" w:type="pct"/>
                  <w:vAlign w:val="center"/>
                </w:tcPr>
                <w:p>
                  <w:pPr>
                    <w:spacing w:line="240" w:lineRule="auto"/>
                    <w:jc w:val="center"/>
                    <w:rPr>
                      <w:rFonts w:ascii="Times New Roman" w:hAnsi="Times New Roman" w:eastAsia="宋体"/>
                      <w:bCs/>
                      <w:color w:val="auto"/>
                      <w:sz w:val="21"/>
                      <w:szCs w:val="21"/>
                    </w:rPr>
                  </w:pPr>
                  <w:r>
                    <w:rPr>
                      <w:rFonts w:hint="eastAsia"/>
                      <w:bCs/>
                      <w:color w:val="auto"/>
                      <w:sz w:val="21"/>
                      <w:szCs w:val="21"/>
                      <w:lang w:val="en-US" w:eastAsia="zh-CN"/>
                    </w:rPr>
                    <w:t>外购成品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668"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6</w:t>
                  </w:r>
                </w:p>
              </w:tc>
              <w:tc>
                <w:tcPr>
                  <w:tcW w:w="1142" w:type="pct"/>
                  <w:vAlign w:val="center"/>
                </w:tcPr>
                <w:p>
                  <w:pPr>
                    <w:spacing w:line="240" w:lineRule="auto"/>
                    <w:jc w:val="center"/>
                    <w:rPr>
                      <w:rFonts w:ascii="Times New Roman" w:hAnsi="Times New Roman" w:eastAsia="宋体"/>
                      <w:bCs/>
                      <w:color w:val="auto"/>
                      <w:sz w:val="21"/>
                      <w:szCs w:val="21"/>
                    </w:rPr>
                  </w:pPr>
                  <w:r>
                    <w:rPr>
                      <w:rFonts w:hint="eastAsia" w:ascii="Times New Roman" w:hAnsi="Times New Roman" w:eastAsia="宋体"/>
                      <w:bCs/>
                      <w:color w:val="auto"/>
                      <w:sz w:val="21"/>
                      <w:szCs w:val="21"/>
                    </w:rPr>
                    <w:t>天然气</w:t>
                  </w:r>
                </w:p>
              </w:tc>
              <w:tc>
                <w:tcPr>
                  <w:tcW w:w="853" w:type="pct"/>
                  <w:vAlign w:val="center"/>
                </w:tcPr>
                <w:p>
                  <w:pPr>
                    <w:spacing w:line="240" w:lineRule="auto"/>
                    <w:jc w:val="center"/>
                    <w:rPr>
                      <w:rFonts w:ascii="Times New Roman" w:hAnsi="Times New Roman" w:eastAsia="宋体"/>
                      <w:bCs/>
                      <w:color w:val="auto"/>
                      <w:sz w:val="21"/>
                      <w:szCs w:val="21"/>
                    </w:rPr>
                  </w:pPr>
                  <w:r>
                    <w:rPr>
                      <w:rFonts w:hint="eastAsia" w:ascii="Times New Roman" w:hAnsi="Times New Roman" w:eastAsia="宋体"/>
                      <w:bCs/>
                      <w:color w:val="auto"/>
                      <w:sz w:val="21"/>
                      <w:szCs w:val="21"/>
                    </w:rPr>
                    <w:t>万</w:t>
                  </w:r>
                  <w:r>
                    <w:rPr>
                      <w:rFonts w:ascii="Times New Roman" w:hAnsi="Times New Roman" w:eastAsia="宋体"/>
                      <w:bCs/>
                      <w:color w:val="auto"/>
                      <w:sz w:val="21"/>
                      <w:szCs w:val="21"/>
                    </w:rPr>
                    <w:t>m</w:t>
                  </w:r>
                  <w:r>
                    <w:rPr>
                      <w:rFonts w:ascii="Times New Roman" w:hAnsi="Times New Roman" w:eastAsia="宋体"/>
                      <w:bCs/>
                      <w:color w:val="auto"/>
                      <w:sz w:val="21"/>
                      <w:szCs w:val="21"/>
                      <w:vertAlign w:val="superscript"/>
                    </w:rPr>
                    <w:t>3</w:t>
                  </w:r>
                  <w:r>
                    <w:rPr>
                      <w:rFonts w:ascii="Times New Roman" w:hAnsi="Times New Roman" w:eastAsia="宋体"/>
                      <w:bCs/>
                      <w:color w:val="auto"/>
                      <w:sz w:val="21"/>
                      <w:szCs w:val="21"/>
                    </w:rPr>
                    <w:t>/a</w:t>
                  </w:r>
                </w:p>
              </w:tc>
              <w:tc>
                <w:tcPr>
                  <w:tcW w:w="707" w:type="pct"/>
                  <w:vAlign w:val="center"/>
                </w:tcPr>
                <w:p>
                  <w:pPr>
                    <w:spacing w:line="240" w:lineRule="auto"/>
                    <w:jc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10</w:t>
                  </w:r>
                </w:p>
              </w:tc>
              <w:tc>
                <w:tcPr>
                  <w:tcW w:w="1626" w:type="pct"/>
                  <w:vAlign w:val="center"/>
                </w:tcPr>
                <w:p>
                  <w:pPr>
                    <w:spacing w:line="240" w:lineRule="auto"/>
                    <w:jc w:val="center"/>
                    <w:rPr>
                      <w:rFonts w:ascii="Times New Roman" w:hAnsi="Times New Roman" w:eastAsia="宋体"/>
                      <w:bCs/>
                      <w:color w:val="auto"/>
                      <w:sz w:val="21"/>
                      <w:szCs w:val="21"/>
                    </w:rPr>
                  </w:pPr>
                  <w:r>
                    <w:rPr>
                      <w:rFonts w:hint="eastAsia" w:ascii="Times New Roman" w:hAnsi="Times New Roman" w:eastAsia="宋体"/>
                      <w:bCs/>
                      <w:color w:val="auto"/>
                      <w:sz w:val="21"/>
                      <w:szCs w:val="21"/>
                    </w:rPr>
                    <w:t>长春</w:t>
                  </w:r>
                  <w:r>
                    <w:rPr>
                      <w:rFonts w:ascii="Times New Roman" w:hAnsi="Times New Roman" w:eastAsia="宋体"/>
                      <w:bCs/>
                      <w:color w:val="auto"/>
                      <w:sz w:val="21"/>
                      <w:szCs w:val="21"/>
                    </w:rPr>
                    <w:t>天然气集团有限公司</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color w:val="auto"/>
                <w:sz w:val="24"/>
                <w:szCs w:val="24"/>
                <w:lang w:val="en-US" w:eastAsia="zh-CN"/>
              </w:rPr>
            </w:pPr>
            <w:r>
              <w:rPr>
                <w:rFonts w:hint="eastAsia" w:ascii="宋体" w:hAnsi="宋体" w:eastAsia="宋体" w:cs="宋体"/>
                <w:b/>
                <w:color w:val="auto"/>
                <w:sz w:val="24"/>
                <w:szCs w:val="24"/>
                <w:lang w:val="en-US" w:eastAsia="zh-CN"/>
              </w:rPr>
              <w:t>二氧化硅气凝胶：</w:t>
            </w:r>
            <w:r>
              <w:rPr>
                <w:rFonts w:hint="eastAsia" w:ascii="宋体" w:hAnsi="宋体" w:eastAsia="宋体" w:cs="宋体"/>
                <w:b w:val="0"/>
                <w:bCs/>
                <w:color w:val="auto"/>
                <w:sz w:val="24"/>
                <w:szCs w:val="24"/>
                <w:lang w:val="en-US" w:eastAsia="zh-CN"/>
              </w:rPr>
              <w:t>二氧化硅</w:t>
            </w:r>
            <w:r>
              <w:rPr>
                <w:rFonts w:hint="default" w:ascii="Times New Roman" w:hAnsi="Times New Roman" w:eastAsia="宋体" w:cs="Times New Roman"/>
                <w:b w:val="0"/>
                <w:bCs/>
                <w:color w:val="auto"/>
                <w:sz w:val="24"/>
                <w:szCs w:val="24"/>
                <w:lang w:val="en-US" w:eastAsia="zh-CN"/>
              </w:rPr>
              <w:t>⽓凝胶是⼀种具有纳⽶多孔性固体材料，孔洞率⾼达80-99.8％，是世界上最轻的固体材料。该种新材料密度仅为3.55Kg/m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为空⽓密度的2.75倍；其主要成分也是⼆氧化硅，但密度只有玻璃的1/1000。是一种轻质纳⽶多孔⾮晶固体材料，具有⾮常⼤的⽐表⾯积。可以通过表⾯改性赋予其新的特性，是⽬前已知固体物质中最轻且隔热性能最好的防⽕材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Times New Roman" w:hAnsi="Times New Roman" w:eastAsia="宋体"/>
                <w:b/>
                <w:color w:val="auto"/>
                <w:sz w:val="24"/>
                <w:szCs w:val="24"/>
              </w:rPr>
            </w:pPr>
            <w:r>
              <w:rPr>
                <w:rFonts w:hint="eastAsia" w:ascii="Times New Roman" w:hAnsi="Times New Roman" w:eastAsia="宋体"/>
                <w:b/>
                <w:color w:val="auto"/>
                <w:sz w:val="24"/>
                <w:szCs w:val="24"/>
              </w:rPr>
              <w:t>六</w:t>
            </w:r>
            <w:r>
              <w:rPr>
                <w:rFonts w:ascii="Times New Roman" w:hAnsi="Times New Roman" w:eastAsia="宋体"/>
                <w:b/>
                <w:color w:val="auto"/>
                <w:sz w:val="24"/>
                <w:szCs w:val="24"/>
              </w:rPr>
              <w:t>、公用工程</w:t>
            </w:r>
          </w:p>
          <w:p>
            <w:pPr>
              <w:pStyle w:val="52"/>
              <w:ind w:firstLine="482"/>
              <w:rPr>
                <w:rFonts w:ascii="Times New Roman" w:hAnsi="Times New Roman" w:eastAsia="宋体"/>
                <w:b/>
                <w:color w:val="auto"/>
                <w:sz w:val="24"/>
                <w:szCs w:val="24"/>
              </w:rPr>
            </w:pPr>
            <w:r>
              <w:rPr>
                <w:rFonts w:hint="eastAsia" w:ascii="Times New Roman" w:hAnsi="Times New Roman" w:eastAsia="宋体"/>
                <w:b/>
                <w:color w:val="auto"/>
                <w:sz w:val="24"/>
                <w:szCs w:val="24"/>
              </w:rPr>
              <w:t>1、给排水</w:t>
            </w:r>
          </w:p>
          <w:p>
            <w:pPr>
              <w:pStyle w:val="5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本项目</w:t>
            </w:r>
            <w:r>
              <w:rPr>
                <w:rFonts w:hint="eastAsia" w:ascii="Times New Roman" w:hAnsi="Times New Roman" w:eastAsia="宋体"/>
                <w:color w:val="auto"/>
                <w:sz w:val="24"/>
                <w:szCs w:val="24"/>
                <w:lang w:val="en-US" w:eastAsia="zh-CN"/>
              </w:rPr>
              <w:t>主要为锅炉房的员工生活用水和</w:t>
            </w:r>
            <w:r>
              <w:rPr>
                <w:rFonts w:hint="eastAsia" w:ascii="Times New Roman" w:hAnsi="Times New Roman" w:eastAsia="宋体"/>
                <w:color w:val="auto"/>
                <w:sz w:val="24"/>
                <w:szCs w:val="24"/>
              </w:rPr>
              <w:t>锅炉补充水。</w:t>
            </w:r>
          </w:p>
          <w:p>
            <w:pPr>
              <w:pStyle w:val="50"/>
              <w:ind w:firstLine="480"/>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rPr>
              <w:t>燃气</w:t>
            </w:r>
            <w:r>
              <w:rPr>
                <w:rFonts w:hint="eastAsia" w:ascii="Times New Roman" w:hAnsi="Times New Roman" w:eastAsia="宋体"/>
                <w:color w:val="auto"/>
                <w:sz w:val="24"/>
                <w:szCs w:val="24"/>
                <w:lang w:val="en-US" w:eastAsia="zh-CN"/>
              </w:rPr>
              <w:t>热水</w:t>
            </w:r>
            <w:r>
              <w:rPr>
                <w:rFonts w:hint="eastAsia" w:ascii="Times New Roman" w:hAnsi="Times New Roman" w:eastAsia="宋体"/>
                <w:color w:val="auto"/>
                <w:sz w:val="24"/>
                <w:szCs w:val="24"/>
              </w:rPr>
              <w:t>锅炉的锅炉补充水量计算公式为：G=K（D+Dp），其中K为富裕系数，取1.15；D为锅炉额定蒸发量，本项目为</w:t>
            </w:r>
            <w:r>
              <w:rPr>
                <w:rFonts w:hint="eastAsia"/>
                <w:color w:val="auto"/>
                <w:sz w:val="24"/>
                <w:szCs w:val="24"/>
                <w:lang w:val="en-US" w:eastAsia="zh-CN"/>
              </w:rPr>
              <w:t>4t/h</w:t>
            </w:r>
            <w:r>
              <w:rPr>
                <w:rFonts w:hint="eastAsia" w:ascii="Times New Roman" w:hAnsi="Times New Roman" w:eastAsia="宋体"/>
                <w:color w:val="auto"/>
                <w:sz w:val="24"/>
                <w:szCs w:val="24"/>
              </w:rPr>
              <w:t>；Dp为锅炉排污量，即锅炉废水排放量，参照《排放源统计调查产排污核算方法和系数手册》（生态环境部公告2021年第24号），燃气锅炉（锅外水处理）锅炉排污水产生系数为</w:t>
            </w:r>
            <w:r>
              <w:rPr>
                <w:rFonts w:ascii="Times New Roman" w:hAnsi="Times New Roman" w:eastAsia="宋体"/>
                <w:color w:val="auto"/>
                <w:sz w:val="24"/>
                <w:szCs w:val="24"/>
              </w:rPr>
              <w:t>13.56</w:t>
            </w:r>
            <w:r>
              <w:rPr>
                <w:rFonts w:hint="eastAsia" w:ascii="Times New Roman" w:hAnsi="Times New Roman" w:eastAsia="宋体"/>
                <w:color w:val="auto"/>
                <w:sz w:val="24"/>
                <w:szCs w:val="24"/>
              </w:rPr>
              <w:t>t/万m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·天然气（锅炉排污水+软化处理</w:t>
            </w:r>
            <w:r>
              <w:rPr>
                <w:rFonts w:ascii="Times New Roman" w:hAnsi="Times New Roman" w:eastAsia="宋体"/>
                <w:color w:val="auto"/>
                <w:sz w:val="24"/>
                <w:szCs w:val="24"/>
              </w:rPr>
              <w:t>废水</w:t>
            </w:r>
            <w:r>
              <w:rPr>
                <w:rFonts w:hint="eastAsia" w:ascii="Times New Roman" w:hAnsi="Times New Roman" w:eastAsia="宋体"/>
                <w:color w:val="auto"/>
                <w:sz w:val="24"/>
                <w:szCs w:val="24"/>
              </w:rPr>
              <w:t>），则本项目锅炉排污量为</w:t>
            </w:r>
            <w:r>
              <w:rPr>
                <w:rFonts w:hint="eastAsia"/>
                <w:color w:val="auto"/>
                <w:sz w:val="24"/>
                <w:szCs w:val="24"/>
                <w:lang w:val="en-US" w:eastAsia="zh-CN"/>
              </w:rPr>
              <w:t>135.6</w:t>
            </w:r>
            <w:r>
              <w:rPr>
                <w:rFonts w:hint="eastAsia" w:ascii="Times New Roman" w:hAnsi="Times New Roman" w:eastAsia="宋体"/>
                <w:color w:val="auto"/>
                <w:sz w:val="24"/>
                <w:szCs w:val="24"/>
              </w:rPr>
              <w:t>t/a，则本项目锅炉补充水量为</w:t>
            </w:r>
            <w:r>
              <w:rPr>
                <w:rFonts w:hint="eastAsia"/>
                <w:color w:val="auto"/>
                <w:sz w:val="24"/>
                <w:szCs w:val="24"/>
                <w:lang w:val="en-US" w:eastAsia="zh-CN"/>
              </w:rPr>
              <w:t>160.54</w:t>
            </w:r>
            <w:r>
              <w:rPr>
                <w:rFonts w:hint="eastAsia" w:ascii="Times New Roman" w:hAnsi="Times New Roman" w:eastAsia="宋体"/>
                <w:color w:val="auto"/>
                <w:sz w:val="24"/>
                <w:szCs w:val="24"/>
              </w:rPr>
              <w:t>t/a</w:t>
            </w:r>
            <w:r>
              <w:rPr>
                <w:rFonts w:hint="eastAsia" w:ascii="Times New Roman" w:hAnsi="Times New Roman" w:eastAsia="宋体"/>
                <w:color w:val="auto"/>
                <w:sz w:val="24"/>
                <w:szCs w:val="24"/>
                <w:lang w:eastAsia="zh-CN"/>
              </w:rPr>
              <w:t>；</w:t>
            </w:r>
          </w:p>
          <w:p>
            <w:pPr>
              <w:pStyle w:val="50"/>
              <w:ind w:firstLine="480"/>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本项目</w:t>
            </w:r>
            <w:r>
              <w:rPr>
                <w:rFonts w:hint="eastAsia"/>
                <w:color w:val="auto"/>
                <w:sz w:val="24"/>
                <w:szCs w:val="24"/>
                <w:lang w:val="en-US" w:eastAsia="zh-CN"/>
              </w:rPr>
              <w:t>员工为25人，</w:t>
            </w:r>
            <w:r>
              <w:rPr>
                <w:rFonts w:hint="eastAsia" w:ascii="Times New Roman" w:hAnsi="Times New Roman" w:eastAsia="宋体"/>
                <w:color w:val="auto"/>
                <w:sz w:val="24"/>
                <w:szCs w:val="24"/>
              </w:rPr>
              <w:t>生活用水按50L/人·d计，年工作</w:t>
            </w:r>
            <w:r>
              <w:rPr>
                <w:rFonts w:hint="eastAsia"/>
                <w:color w:val="auto"/>
                <w:sz w:val="24"/>
                <w:szCs w:val="24"/>
                <w:lang w:val="en-US" w:eastAsia="zh-CN"/>
              </w:rPr>
              <w:t>250</w:t>
            </w:r>
            <w:r>
              <w:rPr>
                <w:rFonts w:hint="eastAsia" w:ascii="Times New Roman" w:hAnsi="Times New Roman" w:eastAsia="宋体"/>
                <w:color w:val="auto"/>
                <w:sz w:val="24"/>
                <w:szCs w:val="24"/>
              </w:rPr>
              <w:t>d，则项目职工生活用水量为</w:t>
            </w:r>
            <w:r>
              <w:rPr>
                <w:rFonts w:hint="eastAsia"/>
                <w:color w:val="auto"/>
                <w:sz w:val="24"/>
                <w:szCs w:val="24"/>
                <w:lang w:val="en-US" w:eastAsia="zh-CN"/>
              </w:rPr>
              <w:t>312.5</w:t>
            </w:r>
            <w:r>
              <w:rPr>
                <w:rFonts w:hint="eastAsia" w:ascii="Times New Roman" w:hAnsi="Times New Roman" w:eastAsia="宋体"/>
                <w:color w:val="auto"/>
                <w:sz w:val="24"/>
                <w:szCs w:val="24"/>
              </w:rPr>
              <w:t>m</w:t>
            </w:r>
            <w:r>
              <w:rPr>
                <w:rFonts w:hint="eastAsia" w:ascii="Times New Roman" w:hAnsi="Times New Roman" w:eastAsia="宋体"/>
                <w:color w:val="auto"/>
                <w:sz w:val="24"/>
                <w:szCs w:val="24"/>
                <w:vertAlign w:val="superscript"/>
              </w:rPr>
              <w:t>3</w:t>
            </w:r>
            <w:r>
              <w:rPr>
                <w:rFonts w:hint="eastAsia" w:ascii="Times New Roman" w:hAnsi="Times New Roman" w:eastAsia="宋体"/>
                <w:color w:val="auto"/>
                <w:sz w:val="24"/>
                <w:szCs w:val="24"/>
              </w:rPr>
              <w:t>/a；用水由市政管网供应，可满足本项目生产用水的需要。</w:t>
            </w:r>
          </w:p>
          <w:p>
            <w:pPr>
              <w:pStyle w:val="50"/>
              <w:numPr>
                <w:ilvl w:val="0"/>
                <w:numId w:val="2"/>
              </w:numPr>
              <w:ind w:firstLine="480"/>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排水</w:t>
            </w:r>
          </w:p>
          <w:p>
            <w:pPr>
              <w:pStyle w:val="50"/>
              <w:ind w:firstLine="482"/>
              <w:rPr>
                <w:rFonts w:hint="eastAsia" w:ascii="Times New Roman" w:hAnsi="Times New Roman" w:eastAsia="宋体"/>
                <w:color w:val="auto"/>
                <w:sz w:val="24"/>
                <w:szCs w:val="24"/>
              </w:rPr>
            </w:pPr>
            <w:r>
              <w:rPr>
                <w:rFonts w:hint="default" w:ascii="Times New Roman" w:hAnsi="Times New Roman" w:eastAsia="宋体" w:cs="Times New Roman"/>
                <w:b w:val="0"/>
                <w:bCs w:val="0"/>
                <w:color w:val="auto"/>
                <w:sz w:val="24"/>
                <w:szCs w:val="24"/>
                <w:lang w:val="en-US" w:eastAsia="zh-CN"/>
              </w:rPr>
              <w:t>生活污水的产生量按用水量的80%计，则生活污水产生量为</w:t>
            </w:r>
            <w:r>
              <w:rPr>
                <w:rFonts w:hint="eastAsia" w:cs="Times New Roman"/>
                <w:b w:val="0"/>
                <w:bCs w:val="0"/>
                <w:color w:val="auto"/>
                <w:sz w:val="24"/>
                <w:szCs w:val="24"/>
                <w:lang w:val="en-US" w:eastAsia="zh-CN"/>
              </w:rPr>
              <w:t>250</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/a</w:t>
            </w:r>
            <w:r>
              <w:rPr>
                <w:rFonts w:hint="eastAsia" w:ascii="Times New Roman" w:hAnsi="Times New Roman" w:eastAsia="宋体" w:cs="Times New Roman"/>
                <w:b w:val="0"/>
                <w:bCs w:val="0"/>
                <w:color w:val="auto"/>
                <w:sz w:val="24"/>
                <w:szCs w:val="24"/>
                <w:lang w:val="en-US" w:eastAsia="zh-CN"/>
              </w:rPr>
              <w:t>，本项目产生的生活污水和锅炉排污水</w:t>
            </w:r>
            <w:r>
              <w:rPr>
                <w:rFonts w:hint="eastAsia" w:ascii="Times New Roman" w:hAnsi="Times New Roman" w:eastAsia="宋体"/>
                <w:color w:val="auto"/>
                <w:sz w:val="24"/>
                <w:szCs w:val="24"/>
                <w:lang w:val="en-US" w:eastAsia="zh-CN"/>
              </w:rPr>
              <w:t>经市政污水管网排入</w:t>
            </w:r>
            <w:r>
              <w:rPr>
                <w:rFonts w:hint="eastAsia"/>
                <w:color w:val="auto"/>
                <w:sz w:val="24"/>
                <w:szCs w:val="24"/>
                <w:lang w:val="en-US" w:eastAsia="zh-CN"/>
              </w:rPr>
              <w:t>柏林水务长春高新污水处理有限公司</w:t>
            </w:r>
            <w:r>
              <w:rPr>
                <w:rFonts w:hint="eastAsia" w:ascii="Times New Roman" w:hAnsi="Times New Roman" w:eastAsia="宋体"/>
                <w:color w:val="auto"/>
                <w:sz w:val="24"/>
                <w:szCs w:val="24"/>
              </w:rPr>
              <w:t>，处理达标后排入</w:t>
            </w:r>
            <w:r>
              <w:rPr>
                <w:rFonts w:hint="eastAsia"/>
                <w:color w:val="auto"/>
                <w:sz w:val="24"/>
                <w:szCs w:val="24"/>
                <w:lang w:val="en-US" w:eastAsia="zh-CN"/>
              </w:rPr>
              <w:t>伊通河</w:t>
            </w:r>
            <w:r>
              <w:rPr>
                <w:rFonts w:hint="eastAsia" w:ascii="Times New Roman" w:hAnsi="Times New Roman" w:eastAsia="宋体"/>
                <w:color w:val="auto"/>
                <w:sz w:val="24"/>
                <w:szCs w:val="24"/>
              </w:rPr>
              <w:t>。</w:t>
            </w:r>
          </w:p>
          <w:p>
            <w:pPr>
              <w:pStyle w:val="50"/>
              <w:ind w:firstLine="482"/>
              <w:rPr>
                <w:rFonts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3</w:t>
            </w:r>
            <w:r>
              <w:rPr>
                <w:rFonts w:hint="eastAsia" w:ascii="Times New Roman" w:hAnsi="Times New Roman" w:eastAsia="宋体"/>
                <w:b/>
                <w:color w:val="auto"/>
                <w:sz w:val="24"/>
                <w:szCs w:val="24"/>
              </w:rPr>
              <w:t>、供电系统</w:t>
            </w:r>
          </w:p>
          <w:p>
            <w:pPr>
              <w:pStyle w:val="50"/>
              <w:ind w:firstLine="480"/>
              <w:rPr>
                <w:rFonts w:hint="eastAsia" w:ascii="Times New Roman" w:hAnsi="Times New Roman" w:eastAsia="宋体"/>
                <w:b/>
                <w:color w:val="auto"/>
                <w:sz w:val="24"/>
                <w:szCs w:val="24"/>
                <w:lang w:val="en-US" w:eastAsia="zh-CN"/>
              </w:rPr>
            </w:pPr>
            <w:r>
              <w:rPr>
                <w:rFonts w:hint="eastAsia" w:ascii="Times New Roman" w:hAnsi="Times New Roman" w:eastAsia="宋体"/>
                <w:color w:val="auto"/>
                <w:sz w:val="24"/>
                <w:szCs w:val="24"/>
              </w:rPr>
              <w:t>本项目接市政电网，能满足用电负荷。</w:t>
            </w:r>
          </w:p>
          <w:p>
            <w:pPr>
              <w:pStyle w:val="50"/>
              <w:ind w:firstLine="482"/>
              <w:rPr>
                <w:rFonts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4</w:t>
            </w:r>
            <w:r>
              <w:rPr>
                <w:rFonts w:hint="eastAsia" w:ascii="Times New Roman" w:hAnsi="Times New Roman" w:eastAsia="宋体"/>
                <w:b/>
                <w:color w:val="auto"/>
                <w:sz w:val="24"/>
                <w:szCs w:val="24"/>
              </w:rPr>
              <w:t>、供热</w:t>
            </w:r>
            <w:r>
              <w:rPr>
                <w:rFonts w:ascii="Times New Roman" w:hAnsi="Times New Roman" w:eastAsia="宋体"/>
                <w:b/>
                <w:color w:val="auto"/>
                <w:sz w:val="24"/>
                <w:szCs w:val="24"/>
              </w:rPr>
              <w:t>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lang w:eastAsia="zh-CN"/>
              </w:rPr>
            </w:pPr>
            <w:r>
              <w:rPr>
                <w:rFonts w:hint="eastAsia"/>
                <w:color w:val="auto"/>
                <w:sz w:val="24"/>
                <w:szCs w:val="24"/>
                <w:lang w:val="en-US" w:eastAsia="zh-CN"/>
              </w:rPr>
              <w:t>本项目生产不用热，员工冬季生活用热由1台4t/h燃天然气热水锅炉提供</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b/>
                <w:color w:val="auto"/>
                <w:sz w:val="24"/>
                <w:szCs w:val="24"/>
              </w:rPr>
            </w:pPr>
            <w:r>
              <w:rPr>
                <w:rFonts w:hint="eastAsia" w:ascii="Times New Roman" w:hAnsi="Times New Roman" w:eastAsia="宋体"/>
                <w:b/>
                <w:color w:val="auto"/>
                <w:sz w:val="24"/>
                <w:szCs w:val="24"/>
              </w:rPr>
              <w:t>七、劳动定员及工作制度</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本项目</w:t>
            </w:r>
            <w:r>
              <w:rPr>
                <w:rFonts w:hint="eastAsia" w:ascii="Times New Roman" w:hAnsi="Times New Roman" w:eastAsia="宋体"/>
                <w:color w:val="auto"/>
                <w:sz w:val="24"/>
                <w:szCs w:val="24"/>
                <w:lang w:val="en-US" w:eastAsia="zh-CN"/>
              </w:rPr>
              <w:t>劳动定员为</w:t>
            </w:r>
            <w:r>
              <w:rPr>
                <w:rFonts w:hint="eastAsia"/>
                <w:color w:val="auto"/>
                <w:sz w:val="24"/>
                <w:szCs w:val="24"/>
                <w:lang w:val="en-US" w:eastAsia="zh-CN"/>
              </w:rPr>
              <w:t>25</w:t>
            </w:r>
            <w:r>
              <w:rPr>
                <w:rFonts w:hint="eastAsia" w:ascii="Times New Roman" w:hAnsi="Times New Roman" w:eastAsia="宋体"/>
                <w:color w:val="auto"/>
                <w:sz w:val="24"/>
                <w:szCs w:val="24"/>
                <w:lang w:val="en-US" w:eastAsia="zh-CN"/>
              </w:rPr>
              <w:t>人</w:t>
            </w:r>
            <w:r>
              <w:rPr>
                <w:rFonts w:ascii="Times New Roman" w:hAnsi="Times New Roman" w:eastAsia="宋体"/>
                <w:color w:val="auto"/>
                <w:sz w:val="24"/>
                <w:szCs w:val="24"/>
              </w:rPr>
              <w:t>，年工作</w:t>
            </w:r>
            <w:r>
              <w:rPr>
                <w:rFonts w:hint="eastAsia"/>
                <w:color w:val="auto"/>
                <w:sz w:val="24"/>
                <w:szCs w:val="24"/>
                <w:lang w:val="en-US" w:eastAsia="zh-CN"/>
              </w:rPr>
              <w:t>250</w:t>
            </w:r>
            <w:r>
              <w:rPr>
                <w:rFonts w:hint="eastAsia" w:ascii="Times New Roman" w:hAnsi="Times New Roman" w:eastAsia="宋体"/>
                <w:color w:val="auto"/>
                <w:sz w:val="24"/>
                <w:szCs w:val="24"/>
              </w:rPr>
              <w:t>天，</w:t>
            </w:r>
            <w:r>
              <w:rPr>
                <w:rFonts w:hint="eastAsia" w:ascii="Times New Roman" w:hAnsi="Times New Roman" w:eastAsia="宋体"/>
                <w:color w:val="auto"/>
                <w:sz w:val="24"/>
                <w:szCs w:val="24"/>
                <w:lang w:val="en-US" w:eastAsia="zh-CN"/>
              </w:rPr>
              <w:t>单</w:t>
            </w:r>
            <w:r>
              <w:rPr>
                <w:rFonts w:hint="eastAsia" w:ascii="Times New Roman" w:hAnsi="Times New Roman" w:eastAsia="宋体"/>
                <w:color w:val="auto"/>
                <w:sz w:val="24"/>
                <w:szCs w:val="24"/>
              </w:rPr>
              <w:t>班</w:t>
            </w:r>
            <w:r>
              <w:rPr>
                <w:rFonts w:ascii="Times New Roman" w:hAnsi="Times New Roman" w:eastAsia="宋体"/>
                <w:color w:val="auto"/>
                <w:sz w:val="24"/>
                <w:szCs w:val="24"/>
              </w:rPr>
              <w:t>制</w:t>
            </w:r>
            <w:r>
              <w:rPr>
                <w:rFonts w:hint="eastAsia" w:ascii="Times New Roman" w:hAnsi="Times New Roman" w:eastAsia="宋体"/>
                <w:color w:val="auto"/>
                <w:sz w:val="24"/>
                <w:szCs w:val="24"/>
              </w:rPr>
              <w:t>，</w:t>
            </w:r>
            <w:r>
              <w:rPr>
                <w:rFonts w:ascii="Times New Roman" w:hAnsi="Times New Roman" w:eastAsia="宋体"/>
                <w:color w:val="auto"/>
                <w:sz w:val="24"/>
                <w:szCs w:val="24"/>
              </w:rPr>
              <w:t>每班</w:t>
            </w:r>
            <w:r>
              <w:rPr>
                <w:rFonts w:hint="eastAsia"/>
                <w:color w:val="auto"/>
                <w:sz w:val="24"/>
                <w:szCs w:val="24"/>
                <w:lang w:val="en-US" w:eastAsia="zh-CN"/>
              </w:rPr>
              <w:t>8</w:t>
            </w:r>
            <w:r>
              <w:rPr>
                <w:rFonts w:ascii="Times New Roman" w:hAnsi="Times New Roman" w:eastAsia="宋体"/>
                <w:color w:val="auto"/>
                <w:sz w:val="24"/>
                <w:szCs w:val="24"/>
              </w:rPr>
              <w:t>h。</w:t>
            </w:r>
          </w:p>
          <w:p>
            <w:pPr>
              <w:spacing w:line="360" w:lineRule="auto"/>
              <w:jc w:val="left"/>
              <w:rPr>
                <w:rFonts w:ascii="Times New Roman" w:hAnsi="Times New Roman" w:eastAsia="宋体"/>
                <w:b/>
                <w:color w:val="auto"/>
                <w:sz w:val="24"/>
                <w:szCs w:val="24"/>
              </w:rPr>
            </w:pPr>
            <w:r>
              <w:rPr>
                <w:rFonts w:hint="eastAsia" w:ascii="Times New Roman" w:hAnsi="Times New Roman" w:eastAsia="宋体"/>
                <w:b/>
                <w:color w:val="auto"/>
                <w:sz w:val="24"/>
                <w:szCs w:val="24"/>
              </w:rPr>
              <w:t>八</w:t>
            </w:r>
            <w:r>
              <w:rPr>
                <w:rFonts w:ascii="Times New Roman" w:hAnsi="Times New Roman" w:eastAsia="宋体"/>
                <w:b/>
                <w:color w:val="auto"/>
                <w:sz w:val="24"/>
                <w:szCs w:val="24"/>
              </w:rPr>
              <w:t>、厂区平面布置</w:t>
            </w:r>
          </w:p>
          <w:p>
            <w:pPr>
              <w:spacing w:line="360" w:lineRule="auto"/>
              <w:ind w:firstLine="480" w:firstLineChars="200"/>
              <w:jc w:val="left"/>
              <w:rPr>
                <w:rFonts w:hint="eastAsia" w:ascii="Times New Roman" w:hAnsi="Times New Roman" w:eastAsia="宋体"/>
                <w:color w:val="auto"/>
                <w:sz w:val="24"/>
                <w:lang w:eastAsia="zh-CN"/>
              </w:rPr>
            </w:pPr>
            <w:r>
              <w:rPr>
                <w:rFonts w:hint="eastAsia" w:ascii="Times New Roman" w:hAnsi="Times New Roman" w:eastAsia="宋体"/>
                <w:color w:val="auto"/>
                <w:sz w:val="24"/>
                <w:szCs w:val="24"/>
              </w:rPr>
              <w:t>本项目的总平面布置根据厂址的自然条件和工程的生产性质，在符合《工业企业总平面设计规范》、《建筑设计防火规范》等相关设计规范的前提下，满足生产工艺流程，满足安全、卫生、经济及环境保护等为原则，充分利用地形及现状，节约用地，并考虑到发展的可能性，合理进行本项目的平面布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3" w:type="dxa"/>
            <w:vAlign w:val="center"/>
          </w:tcPr>
          <w:p>
            <w:pPr>
              <w:pStyle w:val="20"/>
              <w:adjustRightInd w:val="0"/>
              <w:snapToGrid w:val="0"/>
              <w:spacing w:before="0" w:beforeAutospacing="0" w:after="0" w:afterAutospacing="0"/>
              <w:jc w:val="center"/>
              <w:rPr>
                <w:rFonts w:ascii="Times New Roman" w:hAnsi="Times New Roman" w:eastAsia="宋体"/>
                <w:color w:val="auto"/>
                <w:szCs w:val="24"/>
              </w:rPr>
            </w:pPr>
            <w:r>
              <w:rPr>
                <w:rFonts w:ascii="Times New Roman" w:hAnsi="Times New Roman" w:eastAsia="宋体"/>
                <w:color w:val="auto"/>
                <w:szCs w:val="24"/>
              </w:rPr>
              <w:t>工艺流程和产排污环节</w:t>
            </w:r>
          </w:p>
        </w:tc>
        <w:tc>
          <w:tcPr>
            <w:tcW w:w="8161" w:type="dxa"/>
          </w:tcPr>
          <w:p>
            <w:pPr>
              <w:spacing w:line="360" w:lineRule="auto"/>
              <w:rPr>
                <w:rFonts w:hint="eastAsia" w:ascii="Times New Roman" w:hAnsi="Times New Roman" w:eastAsia="宋体"/>
                <w:color w:val="auto"/>
                <w:sz w:val="24"/>
                <w:szCs w:val="24"/>
              </w:rPr>
            </w:pPr>
            <w:r>
              <w:rPr>
                <w:rFonts w:hint="eastAsia" w:ascii="Times New Roman" w:hAnsi="Times New Roman" w:eastAsia="宋体"/>
                <w:b/>
                <w:color w:val="auto"/>
                <w:sz w:val="24"/>
                <w:szCs w:val="24"/>
                <w:lang w:val="en-US" w:eastAsia="zh-CN"/>
              </w:rPr>
              <w:t>一</w:t>
            </w:r>
            <w:r>
              <w:rPr>
                <w:rFonts w:hint="eastAsia" w:ascii="Times New Roman" w:hAnsi="Times New Roman" w:eastAsia="宋体"/>
                <w:b/>
                <w:color w:val="auto"/>
                <w:sz w:val="24"/>
                <w:szCs w:val="24"/>
              </w:rPr>
              <w:t>、</w:t>
            </w:r>
            <w:r>
              <w:rPr>
                <w:rFonts w:hint="eastAsia" w:ascii="Times New Roman" w:hAnsi="Times New Roman" w:eastAsia="宋体"/>
                <w:b/>
                <w:color w:val="auto"/>
                <w:sz w:val="24"/>
                <w:szCs w:val="24"/>
                <w:lang w:val="en-US" w:eastAsia="zh-CN"/>
              </w:rPr>
              <w:t>施工</w:t>
            </w:r>
            <w:r>
              <w:rPr>
                <w:rFonts w:hint="eastAsia" w:ascii="Times New Roman" w:hAnsi="Times New Roman" w:eastAsia="宋体"/>
                <w:b/>
                <w:color w:val="auto"/>
                <w:sz w:val="24"/>
                <w:szCs w:val="24"/>
              </w:rPr>
              <w:t>期工艺流程</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本项目</w:t>
            </w:r>
            <w:r>
              <w:rPr>
                <w:rFonts w:hint="eastAsia"/>
                <w:color w:val="auto"/>
                <w:sz w:val="24"/>
                <w:szCs w:val="24"/>
                <w:lang w:val="en-US" w:eastAsia="zh-CN"/>
              </w:rPr>
              <w:t>拟新建3栋厂房及其配套设施，</w:t>
            </w:r>
            <w:r>
              <w:rPr>
                <w:rFonts w:hint="eastAsia" w:ascii="Times New Roman" w:hAnsi="Times New Roman" w:eastAsia="宋体"/>
                <w:color w:val="auto"/>
                <w:sz w:val="24"/>
                <w:szCs w:val="24"/>
              </w:rPr>
              <w:t>故存在施工期，</w:t>
            </w:r>
            <w:r>
              <w:rPr>
                <w:rFonts w:hint="eastAsia" w:ascii="Times New Roman" w:hAnsi="Times New Roman" w:eastAsia="宋体"/>
                <w:color w:val="auto"/>
                <w:sz w:val="24"/>
                <w:szCs w:val="24"/>
                <w:lang w:val="en-US" w:eastAsia="zh-CN"/>
              </w:rPr>
              <w:t>施工期</w:t>
            </w:r>
            <w:r>
              <w:rPr>
                <w:rFonts w:ascii="Times New Roman" w:hAnsi="Times New Roman" w:eastAsia="宋体"/>
                <w:color w:val="auto"/>
                <w:sz w:val="24"/>
                <w:szCs w:val="24"/>
              </w:rPr>
              <w:t>工艺流程及产排污节点如下图所示：</w:t>
            </w:r>
          </w:p>
          <w:p>
            <w:pPr>
              <w:autoSpaceDE w:val="0"/>
              <w:autoSpaceDN w:val="0"/>
              <w:adjustRightInd w:val="0"/>
              <w:spacing w:line="360" w:lineRule="auto"/>
              <w:ind w:firstLine="480" w:firstLineChars="200"/>
              <w:jc w:val="center"/>
              <w:rPr>
                <w:rFonts w:ascii="Times New Roman" w:hAnsi="Times New Roman" w:eastAsia="宋体"/>
                <w:color w:val="auto"/>
                <w:sz w:val="24"/>
                <w:szCs w:val="24"/>
              </w:rPr>
            </w:pPr>
            <w:r>
              <w:rPr>
                <w:rFonts w:ascii="Times New Roman" w:hAnsi="Times New Roman" w:eastAsia="宋体"/>
                <w:color w:val="auto"/>
                <w:sz w:val="24"/>
                <w:szCs w:val="24"/>
              </w:rPr>
              <w:fldChar w:fldCharType="begin"/>
            </w:r>
            <w:r>
              <w:rPr>
                <w:rFonts w:ascii="Times New Roman" w:hAnsi="Times New Roman" w:eastAsia="宋体"/>
                <w:color w:val="auto"/>
                <w:sz w:val="24"/>
                <w:szCs w:val="24"/>
              </w:rPr>
              <w:instrText xml:space="preserve">INCLUDEPICTURE \d "D:\\WXWork\\1688856577236837\\Cache\\Image\\2022-07\\企业微信截图_16589041288102.png" \* MERGEFORMATINET </w:instrText>
            </w:r>
            <w:r>
              <w:rPr>
                <w:rFonts w:ascii="Times New Roman" w:hAnsi="Times New Roman" w:eastAsia="宋体"/>
                <w:color w:val="auto"/>
                <w:sz w:val="24"/>
                <w:szCs w:val="24"/>
              </w:rPr>
              <w:fldChar w:fldCharType="separate"/>
            </w:r>
            <w:r>
              <w:rPr>
                <w:rFonts w:ascii="Times New Roman" w:hAnsi="Times New Roman" w:eastAsia="宋体"/>
                <w:color w:val="auto"/>
                <w:sz w:val="24"/>
                <w:szCs w:val="24"/>
              </w:rPr>
              <w:drawing>
                <wp:inline distT="0" distB="0" distL="114300" distR="114300">
                  <wp:extent cx="3797935" cy="1463040"/>
                  <wp:effectExtent l="0" t="0" r="12065" b="381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2"/>
                          <a:stretch>
                            <a:fillRect/>
                          </a:stretch>
                        </pic:blipFill>
                        <pic:spPr>
                          <a:xfrm>
                            <a:off x="0" y="0"/>
                            <a:ext cx="3797935" cy="1463040"/>
                          </a:xfrm>
                          <a:prstGeom prst="rect">
                            <a:avLst/>
                          </a:prstGeom>
                          <a:noFill/>
                          <a:ln>
                            <a:noFill/>
                          </a:ln>
                        </pic:spPr>
                      </pic:pic>
                    </a:graphicData>
                  </a:graphic>
                </wp:inline>
              </w:drawing>
            </w:r>
            <w:r>
              <w:rPr>
                <w:rFonts w:ascii="Times New Roman" w:hAnsi="Times New Roman" w:eastAsia="宋体"/>
                <w:color w:val="auto"/>
                <w:sz w:val="24"/>
                <w:szCs w:val="24"/>
              </w:rPr>
              <w:fldChar w:fldCharType="end"/>
            </w:r>
          </w:p>
          <w:p>
            <w:pPr>
              <w:autoSpaceDE w:val="0"/>
              <w:autoSpaceDN w:val="0"/>
              <w:adjustRightInd w:val="0"/>
              <w:spacing w:line="240" w:lineRule="auto"/>
              <w:ind w:firstLine="422" w:firstLineChars="20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图2</w:t>
            </w:r>
            <w:r>
              <w:rPr>
                <w:rFonts w:hint="eastAsia"/>
                <w:b/>
                <w:bCs/>
                <w:color w:val="auto"/>
                <w:sz w:val="21"/>
                <w:szCs w:val="21"/>
                <w:lang w:val="en-US" w:eastAsia="zh-CN"/>
              </w:rPr>
              <w:t>-2</w:t>
            </w:r>
            <w:r>
              <w:rPr>
                <w:rFonts w:hint="eastAsia" w:ascii="Times New Roman" w:hAnsi="Times New Roman" w:eastAsia="宋体"/>
                <w:b/>
                <w:bCs/>
                <w:color w:val="auto"/>
                <w:sz w:val="21"/>
                <w:szCs w:val="21"/>
                <w:lang w:val="en-US" w:eastAsia="zh-CN"/>
              </w:rPr>
              <w:t xml:space="preserve">   施工期工艺流程图</w:t>
            </w:r>
          </w:p>
          <w:p>
            <w:pPr>
              <w:spacing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rPr>
              <w:t>二、营运期工艺流程</w:t>
            </w:r>
          </w:p>
          <w:p>
            <w:pPr>
              <w:pStyle w:val="50"/>
              <w:ind w:firstLine="480"/>
              <w:rPr>
                <w:rFonts w:ascii="Times New Roman" w:hAnsi="Times New Roman" w:eastAsia="宋体"/>
                <w:color w:val="auto"/>
                <w:sz w:val="24"/>
                <w:szCs w:val="24"/>
              </w:rPr>
            </w:pPr>
            <w:r>
              <w:rPr>
                <w:rFonts w:hint="eastAsia" w:ascii="Times New Roman" w:hAnsi="Times New Roman" w:eastAsia="宋体"/>
                <w:color w:val="auto"/>
                <w:sz w:val="24"/>
                <w:szCs w:val="24"/>
              </w:rPr>
              <w:t>工艺流程</w:t>
            </w:r>
            <w:r>
              <w:rPr>
                <w:rFonts w:ascii="Times New Roman" w:hAnsi="Times New Roman" w:eastAsia="宋体"/>
                <w:color w:val="auto"/>
                <w:sz w:val="24"/>
                <w:szCs w:val="24"/>
              </w:rPr>
              <w:t>及</w:t>
            </w:r>
            <w:r>
              <w:rPr>
                <w:rFonts w:hint="eastAsia" w:ascii="Times New Roman" w:hAnsi="Times New Roman" w:eastAsia="宋体"/>
                <w:color w:val="auto"/>
                <w:sz w:val="24"/>
                <w:szCs w:val="24"/>
              </w:rPr>
              <w:t>产污环节具体详见下图。</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object>
                <v:shape id="_x0000_i1027" o:spt="75" type="#_x0000_t75" style="height:51.75pt;width:266.25pt;" o:ole="t" filled="f" o:preferrelative="t" stroked="f" coordsize="21600,21600">
                  <v:path/>
                  <v:fill on="f" focussize="0,0"/>
                  <v:stroke on="f"/>
                  <v:imagedata r:id="rId9" o:title=""/>
                  <o:lock v:ext="edit" aspectratio="f"/>
                  <w10:wrap type="none"/>
                  <w10:anchorlock/>
                </v:shape>
                <o:OLEObject Type="Embed" ProgID="Visio.Drawing.11" ShapeID="_x0000_i1027" DrawAspect="Content" ObjectID="_1468075727" r:id="rId13">
                  <o:LockedField>false</o:LockedField>
                </o:OLEObject>
              </w:object>
            </w:r>
          </w:p>
          <w:p>
            <w:pPr>
              <w:adjustRightInd w:val="0"/>
              <w:snapToGrid w:val="0"/>
              <w:spacing w:line="360" w:lineRule="auto"/>
              <w:ind w:firstLine="422" w:firstLineChars="20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图</w:t>
            </w:r>
            <w:r>
              <w:rPr>
                <w:rFonts w:hint="eastAsia"/>
                <w:b/>
                <w:color w:val="auto"/>
                <w:sz w:val="21"/>
                <w:szCs w:val="21"/>
                <w:lang w:val="en-US" w:eastAsia="zh-CN"/>
              </w:rPr>
              <w:t>2-3</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本项目5G气凝胶多功能巡防消防车组装</w:t>
            </w:r>
            <w:r>
              <w:rPr>
                <w:rFonts w:hint="eastAsia" w:ascii="Times New Roman" w:hAnsi="Times New Roman" w:eastAsia="宋体"/>
                <w:b/>
                <w:color w:val="auto"/>
                <w:sz w:val="21"/>
                <w:szCs w:val="21"/>
              </w:rPr>
              <w:t>基本</w:t>
            </w:r>
            <w:r>
              <w:rPr>
                <w:rFonts w:hint="eastAsia"/>
                <w:b/>
                <w:color w:val="auto"/>
                <w:sz w:val="21"/>
                <w:szCs w:val="21"/>
                <w:lang w:val="en-US" w:eastAsia="zh-CN"/>
              </w:rPr>
              <w:t>工艺</w:t>
            </w:r>
            <w:r>
              <w:rPr>
                <w:rFonts w:hint="eastAsia" w:ascii="Times New Roman" w:hAnsi="Times New Roman" w:eastAsia="宋体"/>
                <w:b/>
                <w:color w:val="auto"/>
                <w:sz w:val="21"/>
                <w:szCs w:val="21"/>
              </w:rPr>
              <w:t>流程图</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color w:val="auto"/>
                <w:sz w:val="24"/>
                <w:szCs w:val="24"/>
                <w:lang w:val="en-US" w:eastAsia="zh-CN"/>
              </w:rPr>
            </w:pPr>
            <w:r>
              <w:rPr>
                <w:rFonts w:hint="eastAsia"/>
                <w:color w:val="auto"/>
                <w:sz w:val="24"/>
                <w:szCs w:val="24"/>
                <w:lang w:val="en-US" w:eastAsia="zh-CN"/>
              </w:rPr>
              <w:t>企业根据订单要求购置各类成品工件，本项目组装使用的零部件均为成品零部件，</w:t>
            </w:r>
            <w:r>
              <w:rPr>
                <w:rFonts w:hint="eastAsia"/>
                <w:color w:val="0000FF"/>
                <w:sz w:val="24"/>
                <w:szCs w:val="24"/>
                <w:lang w:val="en-US" w:eastAsia="zh-CN"/>
              </w:rPr>
              <w:t>本项目厂区内不设涂装、电镀、焊接、热处理、表面处理等生产工序，仅进行组装。</w:t>
            </w:r>
            <w:r>
              <w:rPr>
                <w:rFonts w:hint="eastAsia"/>
                <w:color w:val="auto"/>
                <w:sz w:val="24"/>
                <w:szCs w:val="24"/>
                <w:lang w:val="en-US" w:eastAsia="zh-CN"/>
              </w:rPr>
              <w:t>成品工件进厂后，按生产节拍在组装线上组装出基本外形，并在消防车搭载的容器内灌装成品二氧化硅气凝胶，灌装完成后即为成品，下线待售。</w:t>
            </w:r>
          </w:p>
          <w:p>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object>
                <v:shape id="_x0000_i1028" o:spt="75" type="#_x0000_t75" style="height:58.5pt;width:395.25pt;" o:ole="t" filled="f" o:preferrelative="t" stroked="f" coordsize="21600,21600">
                  <v:path/>
                  <v:fill on="f" focussize="0,0"/>
                  <v:stroke on="f"/>
                  <v:imagedata r:id="rId11" o:title=""/>
                  <o:lock v:ext="edit" aspectratio="f"/>
                  <w10:wrap type="none"/>
                  <w10:anchorlock/>
                </v:shape>
                <o:OLEObject Type="Embed" ProgID="Visio.Drawing.11" ShapeID="_x0000_i1028" DrawAspect="Content" ObjectID="_1468075728" r:id="rId14">
                  <o:LockedField>false</o:LockedField>
                </o:OLEObject>
              </w:object>
            </w:r>
          </w:p>
          <w:p>
            <w:pPr>
              <w:adjustRightInd w:val="0"/>
              <w:snapToGrid w:val="0"/>
              <w:spacing w:line="360" w:lineRule="auto"/>
              <w:ind w:firstLine="422" w:firstLineChars="200"/>
              <w:jc w:val="center"/>
              <w:rPr>
                <w:rFonts w:hint="eastAsia"/>
              </w:rPr>
            </w:pPr>
            <w:r>
              <w:rPr>
                <w:rFonts w:hint="eastAsia" w:ascii="Times New Roman" w:hAnsi="Times New Roman" w:eastAsia="宋体"/>
                <w:b/>
                <w:color w:val="auto"/>
                <w:sz w:val="21"/>
                <w:szCs w:val="21"/>
              </w:rPr>
              <w:t>图</w:t>
            </w:r>
            <w:r>
              <w:rPr>
                <w:rFonts w:hint="eastAsia"/>
                <w:b/>
                <w:color w:val="auto"/>
                <w:sz w:val="21"/>
                <w:szCs w:val="21"/>
                <w:lang w:val="en-US" w:eastAsia="zh-CN"/>
              </w:rPr>
              <w:t>2-4</w:t>
            </w:r>
            <w:r>
              <w:rPr>
                <w:rFonts w:hint="eastAsia" w:ascii="Times New Roman" w:hAnsi="Times New Roman" w:eastAsia="宋体"/>
                <w:b/>
                <w:color w:val="auto"/>
                <w:sz w:val="21"/>
                <w:szCs w:val="21"/>
              </w:rPr>
              <w:t xml:space="preserve">  </w:t>
            </w:r>
            <w:r>
              <w:rPr>
                <w:rFonts w:hint="eastAsia"/>
                <w:b/>
                <w:color w:val="auto"/>
                <w:sz w:val="21"/>
                <w:szCs w:val="21"/>
                <w:lang w:val="en-US" w:eastAsia="zh-CN"/>
              </w:rPr>
              <w:t>本项目气凝胶灭火器与背负式灭火器</w:t>
            </w:r>
            <w:r>
              <w:rPr>
                <w:rFonts w:hint="eastAsia" w:ascii="Times New Roman" w:hAnsi="Times New Roman" w:eastAsia="宋体"/>
                <w:b/>
                <w:color w:val="auto"/>
                <w:sz w:val="21"/>
                <w:szCs w:val="21"/>
              </w:rPr>
              <w:t>基本</w:t>
            </w:r>
            <w:r>
              <w:rPr>
                <w:rFonts w:hint="eastAsia"/>
                <w:b/>
                <w:color w:val="auto"/>
                <w:sz w:val="21"/>
                <w:szCs w:val="21"/>
                <w:lang w:val="en-US" w:eastAsia="zh-CN"/>
              </w:rPr>
              <w:t>工艺</w:t>
            </w:r>
            <w:r>
              <w:rPr>
                <w:rFonts w:hint="eastAsia" w:ascii="Times New Roman" w:hAnsi="Times New Roman" w:eastAsia="宋体"/>
                <w:b/>
                <w:color w:val="auto"/>
                <w:sz w:val="21"/>
                <w:szCs w:val="21"/>
              </w:rPr>
              <w:t>流程图</w:t>
            </w:r>
          </w:p>
          <w:p>
            <w:pPr>
              <w:pStyle w:val="50"/>
              <w:rPr>
                <w:rFonts w:hint="default" w:ascii="Times New Roman" w:hAnsi="Times New Roman" w:eastAsia="宋体"/>
                <w:color w:val="auto"/>
                <w:sz w:val="32"/>
                <w:szCs w:val="32"/>
                <w:lang w:val="en-US" w:eastAsia="zh-CN"/>
              </w:rPr>
            </w:pPr>
            <w:r>
              <w:rPr>
                <w:rFonts w:hint="eastAsia" w:ascii="Times New Roman" w:hAnsi="Times New Roman" w:eastAsia="宋体" w:cs="Times New Roman"/>
                <w:color w:val="auto"/>
                <w:kern w:val="2"/>
                <w:sz w:val="24"/>
                <w:szCs w:val="24"/>
                <w:lang w:val="en-US" w:eastAsia="zh-CN" w:bidi="ar-SA"/>
              </w:rPr>
              <w:t>罐体推送</w:t>
            </w:r>
            <w:r>
              <w:rPr>
                <w:rFonts w:hint="eastAsia" w:cs="Times New Roman"/>
                <w:color w:val="auto"/>
                <w:kern w:val="2"/>
                <w:sz w:val="24"/>
                <w:szCs w:val="24"/>
                <w:lang w:val="en-US" w:eastAsia="zh-CN" w:bidi="ar-SA"/>
              </w:rPr>
              <w:t>平台将成品钢罐（铝罐、背负箱）推送至灌装平台，在计算机控制下开始灌装，在灌装到达设定的重量后灌装停止，自动将被灌装好的灭火器传送至输送线，通过上阀机安装阀门，利用空压机将空气压缩至罐内，封口后进入人工质检程序，不合格产品回到生产线内重新灌装，合格产品入库待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6" w:hRule="atLeast"/>
          <w:jc w:val="center"/>
        </w:trPr>
        <w:tc>
          <w:tcPr>
            <w:tcW w:w="823" w:type="dxa"/>
            <w:vAlign w:val="center"/>
          </w:tcPr>
          <w:p>
            <w:pPr>
              <w:pStyle w:val="20"/>
              <w:adjustRightInd w:val="0"/>
              <w:snapToGrid w:val="0"/>
              <w:spacing w:before="0" w:beforeAutospacing="0" w:after="0" w:afterAutospacing="0"/>
              <w:jc w:val="center"/>
              <w:rPr>
                <w:rFonts w:ascii="Times New Roman" w:hAnsi="Times New Roman" w:eastAsia="宋体"/>
                <w:color w:val="auto"/>
                <w:szCs w:val="24"/>
              </w:rPr>
            </w:pPr>
            <w:r>
              <w:rPr>
                <w:rFonts w:ascii="Times New Roman" w:hAnsi="Times New Roman" w:eastAsia="宋体"/>
                <w:bCs/>
                <w:color w:val="auto"/>
                <w:kern w:val="2"/>
                <w:szCs w:val="24"/>
              </w:rPr>
              <w:t>与项目有关的原有环境污染问题</w:t>
            </w:r>
          </w:p>
        </w:tc>
        <w:tc>
          <w:tcPr>
            <w:tcW w:w="816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bCs/>
                <w:color w:val="auto"/>
                <w:sz w:val="24"/>
                <w:lang w:val="en-US" w:eastAsia="zh-CN"/>
              </w:rPr>
            </w:pPr>
            <w:r>
              <w:rPr>
                <w:rFonts w:hint="eastAsia"/>
                <w:bCs/>
                <w:color w:val="auto"/>
                <w:sz w:val="24"/>
                <w:lang w:val="en-US" w:eastAsia="zh-CN"/>
              </w:rPr>
              <w:t>本项目为新建项目，无原有环境污染问题。</w:t>
            </w:r>
          </w:p>
        </w:tc>
      </w:tr>
    </w:tbl>
    <w:p>
      <w:pPr>
        <w:pStyle w:val="20"/>
        <w:jc w:val="center"/>
        <w:rPr>
          <w:rFonts w:ascii="Times New Roman" w:hAnsi="Times New Roman" w:eastAsia="宋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adjustRightInd w:val="0"/>
        <w:snapToGrid w:val="0"/>
        <w:spacing w:before="0" w:beforeAutospacing="0" w:after="0" w:afterAutospacing="0" w:line="14" w:lineRule="auto"/>
        <w:jc w:val="center"/>
        <w:outlineLvl w:val="0"/>
        <w:rPr>
          <w:rFonts w:ascii="Times New Roman" w:hAnsi="Times New Roman" w:eastAsia="宋体"/>
          <w:snapToGrid w:val="0"/>
          <w:sz w:val="30"/>
          <w:szCs w:val="30"/>
        </w:rPr>
      </w:pPr>
    </w:p>
    <w:p>
      <w:pPr>
        <w:pStyle w:val="20"/>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三、区域环境质量现状、环境保护目标及评价标准</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区域</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环境</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质量</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现状</w:t>
            </w:r>
          </w:p>
        </w:tc>
        <w:tc>
          <w:tcPr>
            <w:tcW w:w="8190" w:type="dxa"/>
          </w:tcPr>
          <w:p>
            <w:pPr>
              <w:pStyle w:val="29"/>
              <w:keepNext w:val="0"/>
              <w:keepLines w:val="0"/>
              <w:pageBreakBefore w:val="0"/>
              <w:widowControl w:val="0"/>
              <w:kinsoku/>
              <w:wordWrap/>
              <w:overflowPunct/>
              <w:topLinePunct w:val="0"/>
              <w:bidi w:val="0"/>
              <w:snapToGrid/>
              <w:spacing w:line="360" w:lineRule="auto"/>
              <w:rPr>
                <w:rFonts w:ascii="Times New Roman" w:hAnsi="Times New Roman" w:eastAsia="宋体"/>
                <w:b/>
                <w:sz w:val="24"/>
                <w:szCs w:val="24"/>
              </w:rPr>
            </w:pPr>
            <w:r>
              <w:rPr>
                <w:rFonts w:ascii="Times New Roman" w:hAnsi="Times New Roman" w:eastAsia="宋体"/>
                <w:b/>
                <w:sz w:val="24"/>
                <w:szCs w:val="24"/>
              </w:rPr>
              <w:t>一、地表水环境质量现状监测与评价</w:t>
            </w:r>
          </w:p>
          <w:p>
            <w:pPr>
              <w:spacing w:line="360" w:lineRule="auto"/>
              <w:ind w:firstLine="480" w:firstLineChars="200"/>
              <w:rPr>
                <w:rFonts w:hint="eastAsia"/>
                <w:sz w:val="24"/>
                <w:lang w:val="en-US" w:eastAsia="zh-CN"/>
              </w:rPr>
            </w:pPr>
            <w:r>
              <w:rPr>
                <w:rFonts w:hint="eastAsia"/>
                <w:sz w:val="24"/>
                <w:lang w:val="en-US" w:eastAsia="zh-CN"/>
              </w:rPr>
              <w:t>本项目生活污水</w:t>
            </w:r>
            <w:r>
              <w:rPr>
                <w:rFonts w:hint="eastAsia"/>
                <w:color w:val="auto"/>
                <w:sz w:val="24"/>
                <w:lang w:val="en-US" w:eastAsia="zh-CN"/>
              </w:rPr>
              <w:t>及锅炉排污水</w:t>
            </w:r>
            <w:r>
              <w:rPr>
                <w:rFonts w:hint="eastAsia"/>
                <w:sz w:val="24"/>
                <w:lang w:val="en-US" w:eastAsia="zh-CN"/>
              </w:rPr>
              <w:t>排入市政管网，进入</w:t>
            </w:r>
            <w:r>
              <w:rPr>
                <w:rFonts w:hint="eastAsia"/>
                <w:bCs/>
                <w:color w:val="auto"/>
                <w:sz w:val="24"/>
                <w:u w:val="none"/>
                <w:lang w:val="en-US" w:eastAsia="zh-CN"/>
              </w:rPr>
              <w:t>柏林水务长春高新污水处理有限公司</w:t>
            </w:r>
            <w:r>
              <w:rPr>
                <w:rFonts w:hint="eastAsia"/>
                <w:sz w:val="24"/>
                <w:lang w:val="en-US" w:eastAsia="zh-CN"/>
              </w:rPr>
              <w:t>，经污水处理厂处理后排入伊通河，伊通河属于松花江水系。</w:t>
            </w:r>
          </w:p>
          <w:p>
            <w:pPr>
              <w:spacing w:line="360" w:lineRule="auto"/>
              <w:ind w:firstLine="480" w:firstLineChars="200"/>
              <w:rPr>
                <w:rFonts w:hint="eastAsia"/>
                <w:sz w:val="24"/>
              </w:rPr>
            </w:pPr>
            <w:r>
              <w:rPr>
                <w:rFonts w:hint="eastAsia"/>
                <w:sz w:val="24"/>
              </w:rPr>
              <w:t>根据</w:t>
            </w:r>
            <w:r>
              <w:rPr>
                <w:sz w:val="24"/>
              </w:rPr>
              <w:t>《</w:t>
            </w:r>
            <w:r>
              <w:rPr>
                <w:rFonts w:hint="eastAsia"/>
                <w:sz w:val="24"/>
              </w:rPr>
              <w:t>吉林省202</w:t>
            </w:r>
            <w:r>
              <w:rPr>
                <w:rFonts w:hint="eastAsia"/>
                <w:sz w:val="24"/>
                <w:lang w:val="en-US" w:eastAsia="zh-CN"/>
              </w:rPr>
              <w:t>2</w:t>
            </w:r>
            <w:r>
              <w:rPr>
                <w:rFonts w:hint="eastAsia"/>
                <w:sz w:val="24"/>
              </w:rPr>
              <w:t>年生态</w:t>
            </w:r>
            <w:r>
              <w:rPr>
                <w:sz w:val="24"/>
              </w:rPr>
              <w:t>环境</w:t>
            </w:r>
            <w:r>
              <w:rPr>
                <w:rFonts w:hint="eastAsia"/>
                <w:sz w:val="24"/>
              </w:rPr>
              <w:t>状况</w:t>
            </w:r>
            <w:r>
              <w:rPr>
                <w:sz w:val="24"/>
              </w:rPr>
              <w:t>公报》</w:t>
            </w:r>
            <w:r>
              <w:rPr>
                <w:rFonts w:hint="eastAsia"/>
                <w:sz w:val="24"/>
              </w:rPr>
              <w:t>，2022年，松花江水系水质良好，与上年相比，水质无明显变化。监测的62个国控河流断面，Ⅰ~Ⅲ类水质断面51个，占82.3%，同比上升4.9个百分点；Ⅳ类水质断面10个，占16.1%，同比上升1.6个百分点；Ⅴ类水质断面1个，占1.6%，同比下降4.9个百分点；无劣Ⅴ类水质断面，同比下降1.6个百分点。</w:t>
            </w:r>
          </w:p>
          <w:p>
            <w:pPr>
              <w:spacing w:line="360" w:lineRule="auto"/>
              <w:ind w:firstLine="480" w:firstLineChars="200"/>
              <w:rPr>
                <w:sz w:val="24"/>
              </w:rPr>
            </w:pPr>
            <w:r>
              <w:rPr>
                <w:rFonts w:hint="eastAsia"/>
                <w:sz w:val="24"/>
              </w:rPr>
              <w:t>同时根据吉林省生态环境厅2023年</w:t>
            </w:r>
            <w:r>
              <w:rPr>
                <w:rFonts w:hint="eastAsia"/>
                <w:sz w:val="24"/>
                <w:lang w:val="en-US" w:eastAsia="zh-CN"/>
              </w:rPr>
              <w:t>7</w:t>
            </w:r>
            <w:r>
              <w:rPr>
                <w:rFonts w:hint="eastAsia"/>
                <w:sz w:val="24"/>
              </w:rPr>
              <w:t>月2</w:t>
            </w:r>
            <w:r>
              <w:rPr>
                <w:rFonts w:hint="eastAsia"/>
                <w:sz w:val="24"/>
                <w:lang w:val="en-US" w:eastAsia="zh-CN"/>
              </w:rPr>
              <w:t>1</w:t>
            </w:r>
            <w:r>
              <w:rPr>
                <w:rFonts w:hint="eastAsia"/>
                <w:sz w:val="24"/>
              </w:rPr>
              <w:t>日发布的《2023年</w:t>
            </w:r>
            <w:r>
              <w:rPr>
                <w:rFonts w:hint="eastAsia"/>
                <w:sz w:val="24"/>
                <w:lang w:val="en-US" w:eastAsia="zh-CN"/>
              </w:rPr>
              <w:t>6</w:t>
            </w:r>
            <w:r>
              <w:rPr>
                <w:rFonts w:hint="eastAsia"/>
                <w:sz w:val="24"/>
              </w:rPr>
              <w:t>月吉林省地表水国控断面水质月报》（见附件），</w:t>
            </w:r>
            <w:r>
              <w:rPr>
                <w:rFonts w:hint="eastAsia"/>
                <w:sz w:val="24"/>
                <w:lang w:val="en-US" w:eastAsia="zh-CN"/>
              </w:rPr>
              <w:t>伊通河</w:t>
            </w:r>
            <w:r>
              <w:rPr>
                <w:rFonts w:hint="eastAsia"/>
                <w:sz w:val="24"/>
              </w:rPr>
              <w:t>设置的国控断面水质状况详见下表。</w:t>
            </w:r>
          </w:p>
          <w:p>
            <w:pPr>
              <w:jc w:val="center"/>
              <w:rPr>
                <w:b/>
                <w:szCs w:val="21"/>
              </w:rPr>
            </w:pPr>
            <w:r>
              <w:rPr>
                <w:rFonts w:hint="eastAsia"/>
                <w:b/>
                <w:szCs w:val="21"/>
              </w:rPr>
              <w:t>表3-1</w:t>
            </w:r>
            <w:r>
              <w:rPr>
                <w:b/>
                <w:szCs w:val="21"/>
              </w:rPr>
              <w:t xml:space="preserve"> </w:t>
            </w:r>
            <w:r>
              <w:rPr>
                <w:rFonts w:hint="eastAsia"/>
                <w:b/>
                <w:szCs w:val="21"/>
                <w:lang w:val="en-US" w:eastAsia="zh-CN"/>
              </w:rPr>
              <w:t>水体</w:t>
            </w:r>
            <w:r>
              <w:rPr>
                <w:rFonts w:hint="eastAsia"/>
                <w:b/>
                <w:szCs w:val="21"/>
              </w:rPr>
              <w:t>设置的国控断面水质状况表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
              <w:gridCol w:w="898"/>
              <w:gridCol w:w="904"/>
              <w:gridCol w:w="899"/>
              <w:gridCol w:w="899"/>
              <w:gridCol w:w="899"/>
              <w:gridCol w:w="904"/>
              <w:gridCol w:w="838"/>
              <w:gridCol w:w="8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restart"/>
                  <w:vAlign w:val="center"/>
                </w:tcPr>
                <w:p>
                  <w:pPr>
                    <w:jc w:val="center"/>
                    <w:rPr>
                      <w:sz w:val="21"/>
                      <w:szCs w:val="21"/>
                    </w:rPr>
                  </w:pPr>
                  <w:r>
                    <w:rPr>
                      <w:rFonts w:hint="eastAsia"/>
                      <w:sz w:val="21"/>
                      <w:szCs w:val="21"/>
                    </w:rPr>
                    <w:t>监测</w:t>
                  </w:r>
                  <w:r>
                    <w:rPr>
                      <w:sz w:val="21"/>
                      <w:szCs w:val="21"/>
                    </w:rPr>
                    <w:t>月份</w:t>
                  </w:r>
                </w:p>
              </w:tc>
              <w:tc>
                <w:tcPr>
                  <w:tcW w:w="562" w:type="pct"/>
                  <w:vMerge w:val="restart"/>
                  <w:shd w:val="clear" w:color="auto" w:fill="auto"/>
                  <w:vAlign w:val="center"/>
                </w:tcPr>
                <w:p>
                  <w:pPr>
                    <w:jc w:val="center"/>
                    <w:rPr>
                      <w:sz w:val="21"/>
                      <w:szCs w:val="21"/>
                    </w:rPr>
                  </w:pPr>
                  <w:r>
                    <w:rPr>
                      <w:rFonts w:hint="eastAsia"/>
                      <w:sz w:val="21"/>
                      <w:szCs w:val="21"/>
                    </w:rPr>
                    <w:t>责任地市</w:t>
                  </w:r>
                </w:p>
              </w:tc>
              <w:tc>
                <w:tcPr>
                  <w:tcW w:w="566" w:type="pct"/>
                  <w:vMerge w:val="restart"/>
                  <w:shd w:val="clear" w:color="auto" w:fill="auto"/>
                  <w:vAlign w:val="center"/>
                </w:tcPr>
                <w:p>
                  <w:pPr>
                    <w:jc w:val="center"/>
                    <w:rPr>
                      <w:sz w:val="21"/>
                      <w:szCs w:val="21"/>
                    </w:rPr>
                  </w:pPr>
                  <w:r>
                    <w:rPr>
                      <w:rFonts w:hint="eastAsia"/>
                      <w:sz w:val="21"/>
                      <w:szCs w:val="21"/>
                    </w:rPr>
                    <w:t>所在水体</w:t>
                  </w:r>
                </w:p>
              </w:tc>
              <w:tc>
                <w:tcPr>
                  <w:tcW w:w="563" w:type="pct"/>
                  <w:vMerge w:val="restart"/>
                  <w:shd w:val="clear" w:color="auto" w:fill="auto"/>
                  <w:vAlign w:val="center"/>
                </w:tcPr>
                <w:p>
                  <w:pPr>
                    <w:jc w:val="center"/>
                    <w:rPr>
                      <w:sz w:val="21"/>
                      <w:szCs w:val="21"/>
                    </w:rPr>
                  </w:pPr>
                  <w:r>
                    <w:rPr>
                      <w:rFonts w:hint="eastAsia"/>
                      <w:sz w:val="21"/>
                      <w:szCs w:val="21"/>
                    </w:rPr>
                    <w:t>断面名称</w:t>
                  </w:r>
                </w:p>
              </w:tc>
              <w:tc>
                <w:tcPr>
                  <w:tcW w:w="1693" w:type="pct"/>
                  <w:gridSpan w:val="3"/>
                  <w:shd w:val="clear" w:color="auto" w:fill="auto"/>
                  <w:vAlign w:val="center"/>
                </w:tcPr>
                <w:p>
                  <w:pPr>
                    <w:jc w:val="center"/>
                    <w:rPr>
                      <w:sz w:val="21"/>
                      <w:szCs w:val="21"/>
                    </w:rPr>
                  </w:pPr>
                  <w:r>
                    <w:rPr>
                      <w:rFonts w:hint="eastAsia"/>
                      <w:sz w:val="21"/>
                      <w:szCs w:val="21"/>
                    </w:rPr>
                    <w:t>水质类别</w:t>
                  </w:r>
                </w:p>
              </w:tc>
              <w:tc>
                <w:tcPr>
                  <w:tcW w:w="525" w:type="pct"/>
                  <w:vMerge w:val="restart"/>
                  <w:shd w:val="clear" w:color="auto" w:fill="auto"/>
                  <w:vAlign w:val="center"/>
                </w:tcPr>
                <w:p>
                  <w:pPr>
                    <w:jc w:val="center"/>
                    <w:rPr>
                      <w:sz w:val="21"/>
                      <w:szCs w:val="21"/>
                    </w:rPr>
                  </w:pPr>
                  <w:r>
                    <w:rPr>
                      <w:sz w:val="21"/>
                      <w:szCs w:val="21"/>
                    </w:rPr>
                    <w:t>环比</w:t>
                  </w:r>
                </w:p>
              </w:tc>
              <w:tc>
                <w:tcPr>
                  <w:tcW w:w="524" w:type="pct"/>
                  <w:vMerge w:val="restart"/>
                  <w:vAlign w:val="center"/>
                </w:tcPr>
                <w:p>
                  <w:pPr>
                    <w:jc w:val="center"/>
                    <w:rPr>
                      <w:sz w:val="21"/>
                      <w:szCs w:val="21"/>
                    </w:rPr>
                  </w:pPr>
                  <w:r>
                    <w:rPr>
                      <w:rFonts w:hint="eastAsia"/>
                      <w:sz w:val="21"/>
                      <w:szCs w:val="21"/>
                    </w:rPr>
                    <w:t>同比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pPr>
                    <w:jc w:val="center"/>
                    <w:rPr>
                      <w:sz w:val="21"/>
                      <w:szCs w:val="21"/>
                    </w:rPr>
                  </w:pPr>
                </w:p>
              </w:tc>
              <w:tc>
                <w:tcPr>
                  <w:tcW w:w="562" w:type="pct"/>
                  <w:vMerge w:val="continue"/>
                  <w:shd w:val="clear" w:color="auto" w:fill="auto"/>
                  <w:vAlign w:val="center"/>
                </w:tcPr>
                <w:p>
                  <w:pPr>
                    <w:jc w:val="center"/>
                    <w:rPr>
                      <w:sz w:val="21"/>
                      <w:szCs w:val="21"/>
                    </w:rPr>
                  </w:pPr>
                </w:p>
              </w:tc>
              <w:tc>
                <w:tcPr>
                  <w:tcW w:w="566" w:type="pct"/>
                  <w:vMerge w:val="continue"/>
                  <w:shd w:val="clear" w:color="auto" w:fill="auto"/>
                  <w:vAlign w:val="center"/>
                </w:tcPr>
                <w:p>
                  <w:pPr>
                    <w:jc w:val="center"/>
                    <w:rPr>
                      <w:sz w:val="21"/>
                      <w:szCs w:val="21"/>
                    </w:rPr>
                  </w:pPr>
                </w:p>
              </w:tc>
              <w:tc>
                <w:tcPr>
                  <w:tcW w:w="563" w:type="pct"/>
                  <w:vMerge w:val="continue"/>
                  <w:shd w:val="clear" w:color="auto" w:fill="auto"/>
                  <w:vAlign w:val="center"/>
                </w:tcPr>
                <w:p>
                  <w:pPr>
                    <w:jc w:val="center"/>
                    <w:rPr>
                      <w:sz w:val="21"/>
                      <w:szCs w:val="21"/>
                    </w:rPr>
                  </w:pPr>
                </w:p>
              </w:tc>
              <w:tc>
                <w:tcPr>
                  <w:tcW w:w="563" w:type="pct"/>
                  <w:shd w:val="clear" w:color="auto" w:fill="auto"/>
                  <w:vAlign w:val="center"/>
                </w:tcPr>
                <w:p>
                  <w:pPr>
                    <w:jc w:val="center"/>
                    <w:rPr>
                      <w:sz w:val="21"/>
                      <w:szCs w:val="21"/>
                    </w:rPr>
                  </w:pPr>
                  <w:r>
                    <w:rPr>
                      <w:rFonts w:hint="eastAsia"/>
                      <w:sz w:val="21"/>
                      <w:szCs w:val="21"/>
                    </w:rPr>
                    <w:t>本月</w:t>
                  </w:r>
                </w:p>
              </w:tc>
              <w:tc>
                <w:tcPr>
                  <w:tcW w:w="563" w:type="pct"/>
                  <w:shd w:val="clear" w:color="auto" w:fill="auto"/>
                  <w:vAlign w:val="center"/>
                </w:tcPr>
                <w:p>
                  <w:pPr>
                    <w:jc w:val="center"/>
                    <w:rPr>
                      <w:sz w:val="21"/>
                      <w:szCs w:val="21"/>
                    </w:rPr>
                  </w:pPr>
                  <w:r>
                    <w:rPr>
                      <w:sz w:val="21"/>
                      <w:szCs w:val="21"/>
                    </w:rPr>
                    <w:t>上月</w:t>
                  </w:r>
                </w:p>
              </w:tc>
              <w:tc>
                <w:tcPr>
                  <w:tcW w:w="566" w:type="pct"/>
                  <w:shd w:val="clear" w:color="auto" w:fill="auto"/>
                  <w:vAlign w:val="center"/>
                </w:tcPr>
                <w:p>
                  <w:pPr>
                    <w:jc w:val="center"/>
                    <w:rPr>
                      <w:sz w:val="21"/>
                      <w:szCs w:val="21"/>
                    </w:rPr>
                  </w:pPr>
                  <w:r>
                    <w:rPr>
                      <w:sz w:val="21"/>
                      <w:szCs w:val="21"/>
                    </w:rPr>
                    <w:t>去年同期</w:t>
                  </w:r>
                </w:p>
              </w:tc>
              <w:tc>
                <w:tcPr>
                  <w:tcW w:w="525" w:type="pct"/>
                  <w:vMerge w:val="continue"/>
                  <w:shd w:val="clear" w:color="auto" w:fill="auto"/>
                  <w:vAlign w:val="center"/>
                </w:tcPr>
                <w:p>
                  <w:pPr>
                    <w:jc w:val="center"/>
                    <w:rPr>
                      <w:sz w:val="21"/>
                      <w:szCs w:val="21"/>
                    </w:rPr>
                  </w:pPr>
                </w:p>
              </w:tc>
              <w:tc>
                <w:tcPr>
                  <w:tcW w:w="524" w:type="pct"/>
                  <w:vMerge w:val="continue"/>
                  <w:vAlign w:val="center"/>
                </w:tcPr>
                <w:p>
                  <w:pPr>
                    <w:jc w:val="center"/>
                    <w:rPr>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restart"/>
                  <w:vAlign w:val="center"/>
                </w:tcPr>
                <w:p>
                  <w:pPr>
                    <w:jc w:val="center"/>
                    <w:rPr>
                      <w:sz w:val="21"/>
                      <w:szCs w:val="21"/>
                    </w:rPr>
                  </w:pPr>
                  <w:r>
                    <w:rPr>
                      <w:sz w:val="21"/>
                      <w:szCs w:val="21"/>
                    </w:rPr>
                    <w:t>202</w:t>
                  </w:r>
                  <w:r>
                    <w:rPr>
                      <w:rFonts w:hint="eastAsia"/>
                      <w:sz w:val="21"/>
                      <w:szCs w:val="21"/>
                      <w:lang w:val="en-US" w:eastAsia="zh-CN"/>
                    </w:rPr>
                    <w:t>3</w:t>
                  </w:r>
                  <w:r>
                    <w:rPr>
                      <w:rFonts w:hint="eastAsia"/>
                      <w:sz w:val="21"/>
                      <w:szCs w:val="21"/>
                    </w:rPr>
                    <w:t>年</w:t>
                  </w:r>
                  <w:r>
                    <w:rPr>
                      <w:rFonts w:hint="eastAsia"/>
                      <w:sz w:val="21"/>
                      <w:szCs w:val="21"/>
                      <w:lang w:val="en-US" w:eastAsia="zh-CN"/>
                    </w:rPr>
                    <w:t>6</w:t>
                  </w:r>
                  <w:r>
                    <w:rPr>
                      <w:rFonts w:hint="eastAsia"/>
                      <w:sz w:val="21"/>
                      <w:szCs w:val="21"/>
                    </w:rPr>
                    <w:t>月</w:t>
                  </w:r>
                </w:p>
              </w:tc>
              <w:tc>
                <w:tcPr>
                  <w:tcW w:w="562" w:type="pct"/>
                  <w:vMerge w:val="restart"/>
                  <w:shd w:val="clear" w:color="auto" w:fill="auto"/>
                  <w:vAlign w:val="center"/>
                </w:tcPr>
                <w:p>
                  <w:pPr>
                    <w:jc w:val="center"/>
                    <w:rPr>
                      <w:sz w:val="21"/>
                      <w:szCs w:val="21"/>
                    </w:rPr>
                  </w:pPr>
                  <w:r>
                    <w:rPr>
                      <w:sz w:val="21"/>
                      <w:szCs w:val="21"/>
                    </w:rPr>
                    <w:t>长春市</w:t>
                  </w:r>
                </w:p>
              </w:tc>
              <w:tc>
                <w:tcPr>
                  <w:tcW w:w="566" w:type="pct"/>
                  <w:vMerge w:val="restart"/>
                  <w:shd w:val="clear" w:color="auto" w:fill="auto"/>
                  <w:vAlign w:val="center"/>
                </w:tcPr>
                <w:p>
                  <w:pPr>
                    <w:jc w:val="center"/>
                    <w:rPr>
                      <w:rFonts w:hint="default" w:eastAsia="宋体"/>
                      <w:sz w:val="21"/>
                      <w:szCs w:val="21"/>
                      <w:lang w:val="en-US" w:eastAsia="zh-CN"/>
                    </w:rPr>
                  </w:pPr>
                  <w:r>
                    <w:rPr>
                      <w:rFonts w:hint="eastAsia"/>
                      <w:sz w:val="21"/>
                      <w:szCs w:val="21"/>
                      <w:lang w:val="en-US" w:eastAsia="zh-CN"/>
                    </w:rPr>
                    <w:t>伊通河</w:t>
                  </w:r>
                </w:p>
              </w:tc>
              <w:tc>
                <w:tcPr>
                  <w:tcW w:w="899"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eastAsia="宋体"/>
                      <w:sz w:val="21"/>
                      <w:szCs w:val="21"/>
                      <w:lang w:val="en-US" w:eastAsia="zh-CN"/>
                    </w:rPr>
                  </w:pPr>
                  <w:r>
                    <w:rPr>
                      <w:rFonts w:hint="eastAsia" w:ascii="宋体" w:hAnsi="宋体" w:eastAsia="宋体" w:cs="宋体"/>
                      <w:i w:val="0"/>
                      <w:iCs w:val="0"/>
                      <w:caps w:val="0"/>
                      <w:color w:val="394351"/>
                      <w:spacing w:val="0"/>
                      <w:sz w:val="21"/>
                      <w:szCs w:val="21"/>
                    </w:rPr>
                    <w:t>新立城大坝</w:t>
                  </w:r>
                </w:p>
              </w:tc>
              <w:tc>
                <w:tcPr>
                  <w:tcW w:w="896"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1"/>
                      <w:szCs w:val="21"/>
                    </w:rPr>
                  </w:pPr>
                  <w:r>
                    <w:rPr>
                      <w:rFonts w:hint="eastAsia" w:ascii="宋体" w:hAnsi="宋体" w:eastAsia="宋体" w:cs="宋体"/>
                      <w:i w:val="0"/>
                      <w:iCs w:val="0"/>
                      <w:caps w:val="0"/>
                      <w:color w:val="394351"/>
                      <w:spacing w:val="0"/>
                      <w:sz w:val="21"/>
                      <w:szCs w:val="21"/>
                    </w:rPr>
                    <w:t>Ⅱ</w:t>
                  </w:r>
                </w:p>
              </w:tc>
              <w:tc>
                <w:tcPr>
                  <w:tcW w:w="896"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宋体"/>
                      <w:sz w:val="21"/>
                      <w:szCs w:val="21"/>
                      <w:lang w:eastAsia="zh-CN"/>
                    </w:rPr>
                  </w:pPr>
                  <w:r>
                    <w:rPr>
                      <w:rFonts w:hint="eastAsia" w:ascii="宋体" w:hAnsi="宋体" w:eastAsia="宋体" w:cs="宋体"/>
                      <w:i w:val="0"/>
                      <w:iCs w:val="0"/>
                      <w:caps w:val="0"/>
                      <w:color w:val="394351"/>
                      <w:spacing w:val="0"/>
                      <w:sz w:val="21"/>
                      <w:szCs w:val="21"/>
                    </w:rPr>
                    <w:t>Ⅱ</w:t>
                  </w:r>
                </w:p>
              </w:tc>
              <w:tc>
                <w:tcPr>
                  <w:tcW w:w="901"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sz w:val="21"/>
                      <w:szCs w:val="21"/>
                    </w:rPr>
                  </w:pPr>
                  <w:r>
                    <w:rPr>
                      <w:rFonts w:hint="eastAsia" w:ascii="宋体" w:hAnsi="宋体" w:eastAsia="宋体" w:cs="宋体"/>
                      <w:i w:val="0"/>
                      <w:iCs w:val="0"/>
                      <w:caps w:val="0"/>
                      <w:color w:val="394351"/>
                      <w:spacing w:val="0"/>
                      <w:sz w:val="21"/>
                      <w:szCs w:val="21"/>
                    </w:rPr>
                    <w:t>Ⅱ</w:t>
                  </w:r>
                </w:p>
              </w:tc>
              <w:tc>
                <w:tcPr>
                  <w:tcW w:w="835"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sz w:val="21"/>
                      <w:szCs w:val="21"/>
                    </w:rPr>
                  </w:pPr>
                  <w:r>
                    <w:rPr>
                      <w:rFonts w:hint="eastAsia" w:ascii="宋体" w:hAnsi="宋体" w:eastAsia="宋体" w:cs="宋体"/>
                      <w:i w:val="0"/>
                      <w:iCs w:val="0"/>
                      <w:caps w:val="0"/>
                      <w:color w:val="394351"/>
                      <w:spacing w:val="0"/>
                      <w:sz w:val="21"/>
                      <w:szCs w:val="21"/>
                    </w:rPr>
                    <w:t>→</w:t>
                  </w:r>
                </w:p>
              </w:tc>
              <w:tc>
                <w:tcPr>
                  <w:tcW w:w="834"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color w:val="333333"/>
                      <w:spacing w:val="-6"/>
                      <w:sz w:val="21"/>
                      <w:szCs w:val="21"/>
                    </w:rPr>
                  </w:pPr>
                  <w:r>
                    <w:rPr>
                      <w:rFonts w:hint="eastAsia" w:ascii="宋体" w:hAnsi="宋体" w:eastAsia="宋体" w:cs="宋体"/>
                      <w:i w:val="0"/>
                      <w:iCs w:val="0"/>
                      <w:caps w:val="0"/>
                      <w:color w:val="394351"/>
                      <w:spacing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pPr>
                    <w:jc w:val="center"/>
                    <w:rPr>
                      <w:sz w:val="21"/>
                      <w:szCs w:val="21"/>
                    </w:rPr>
                  </w:pPr>
                </w:p>
              </w:tc>
              <w:tc>
                <w:tcPr>
                  <w:tcW w:w="562" w:type="pct"/>
                  <w:vMerge w:val="continue"/>
                  <w:shd w:val="clear" w:color="auto" w:fill="auto"/>
                  <w:vAlign w:val="center"/>
                </w:tcPr>
                <w:p>
                  <w:pPr>
                    <w:jc w:val="center"/>
                    <w:rPr>
                      <w:sz w:val="21"/>
                      <w:szCs w:val="21"/>
                    </w:rPr>
                  </w:pPr>
                </w:p>
              </w:tc>
              <w:tc>
                <w:tcPr>
                  <w:tcW w:w="566" w:type="pct"/>
                  <w:vMerge w:val="continue"/>
                  <w:shd w:val="clear" w:color="auto" w:fill="auto"/>
                  <w:vAlign w:val="center"/>
                </w:tcPr>
                <w:p>
                  <w:pPr>
                    <w:jc w:val="center"/>
                    <w:rPr>
                      <w:rFonts w:hint="eastAsia"/>
                      <w:sz w:val="21"/>
                      <w:szCs w:val="21"/>
                      <w:lang w:val="en-US" w:eastAsia="zh-CN"/>
                    </w:rPr>
                  </w:pPr>
                </w:p>
              </w:tc>
              <w:tc>
                <w:tcPr>
                  <w:tcW w:w="899"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94351"/>
                      <w:spacing w:val="0"/>
                      <w:sz w:val="21"/>
                      <w:szCs w:val="21"/>
                    </w:rPr>
                    <w:t>杨家崴子</w:t>
                  </w:r>
                </w:p>
              </w:tc>
              <w:tc>
                <w:tcPr>
                  <w:tcW w:w="896"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劣Ⅴ</w:t>
                  </w:r>
                </w:p>
              </w:tc>
              <w:tc>
                <w:tcPr>
                  <w:tcW w:w="896"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Ⅲ</w:t>
                  </w:r>
                </w:p>
              </w:tc>
              <w:tc>
                <w:tcPr>
                  <w:tcW w:w="901"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Ⅴ</w:t>
                  </w:r>
                </w:p>
              </w:tc>
              <w:tc>
                <w:tcPr>
                  <w:tcW w:w="835"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w:t>
                  </w:r>
                </w:p>
              </w:tc>
              <w:tc>
                <w:tcPr>
                  <w:tcW w:w="834"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pPr>
                    <w:jc w:val="center"/>
                    <w:rPr>
                      <w:sz w:val="21"/>
                      <w:szCs w:val="21"/>
                    </w:rPr>
                  </w:pPr>
                </w:p>
              </w:tc>
              <w:tc>
                <w:tcPr>
                  <w:tcW w:w="562" w:type="pct"/>
                  <w:vMerge w:val="continue"/>
                  <w:shd w:val="clear" w:color="auto" w:fill="auto"/>
                  <w:vAlign w:val="center"/>
                </w:tcPr>
                <w:p>
                  <w:pPr>
                    <w:jc w:val="center"/>
                    <w:rPr>
                      <w:sz w:val="21"/>
                      <w:szCs w:val="21"/>
                    </w:rPr>
                  </w:pPr>
                </w:p>
              </w:tc>
              <w:tc>
                <w:tcPr>
                  <w:tcW w:w="566" w:type="pct"/>
                  <w:vMerge w:val="continue"/>
                  <w:shd w:val="clear" w:color="auto" w:fill="auto"/>
                  <w:vAlign w:val="center"/>
                </w:tcPr>
                <w:p>
                  <w:pPr>
                    <w:jc w:val="center"/>
                    <w:rPr>
                      <w:rFonts w:hint="eastAsia"/>
                      <w:sz w:val="21"/>
                      <w:szCs w:val="21"/>
                      <w:lang w:val="en-US" w:eastAsia="zh-CN"/>
                    </w:rPr>
                  </w:pPr>
                </w:p>
              </w:tc>
              <w:tc>
                <w:tcPr>
                  <w:tcW w:w="899"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94351"/>
                      <w:spacing w:val="0"/>
                      <w:sz w:val="21"/>
                      <w:szCs w:val="21"/>
                    </w:rPr>
                    <w:t>靠山大桥</w:t>
                  </w:r>
                </w:p>
              </w:tc>
              <w:tc>
                <w:tcPr>
                  <w:tcW w:w="896"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Ⅴ</w:t>
                  </w:r>
                </w:p>
              </w:tc>
              <w:tc>
                <w:tcPr>
                  <w:tcW w:w="896"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Ⅴ</w:t>
                  </w:r>
                </w:p>
              </w:tc>
              <w:tc>
                <w:tcPr>
                  <w:tcW w:w="901"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Ⅴ</w:t>
                  </w:r>
                </w:p>
              </w:tc>
              <w:tc>
                <w:tcPr>
                  <w:tcW w:w="835" w:type="dxa"/>
                  <w:shd w:val="clear" w:color="auto" w:fill="auto"/>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w:t>
                  </w:r>
                </w:p>
              </w:tc>
              <w:tc>
                <w:tcPr>
                  <w:tcW w:w="834" w:type="dxa"/>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iCs w:val="0"/>
                      <w:caps w:val="0"/>
                      <w:color w:val="394351"/>
                      <w:spacing w:val="0"/>
                      <w:kern w:val="0"/>
                      <w:sz w:val="21"/>
                      <w:szCs w:val="21"/>
                      <w:lang w:val="en-US" w:eastAsia="zh-CN" w:bidi="ar"/>
                    </w:rPr>
                  </w:pPr>
                  <w:r>
                    <w:rPr>
                      <w:rFonts w:hint="eastAsia" w:ascii="宋体" w:hAnsi="宋体" w:eastAsia="宋体" w:cs="宋体"/>
                      <w:i w:val="0"/>
                      <w:iCs w:val="0"/>
                      <w:caps w:val="0"/>
                      <w:color w:val="394351"/>
                      <w:spacing w:val="0"/>
                      <w:sz w:val="21"/>
                      <w:szCs w:val="21"/>
                    </w:rPr>
                    <w:t>→</w:t>
                  </w:r>
                </w:p>
              </w:tc>
            </w:tr>
          </w:tbl>
          <w:p>
            <w:pPr>
              <w:jc w:val="left"/>
              <w:rPr>
                <w:b/>
                <w:szCs w:val="21"/>
              </w:rPr>
            </w:pPr>
            <w:r>
              <w:rPr>
                <w:rFonts w:hint="eastAsia"/>
                <w:b/>
                <w:szCs w:val="21"/>
              </w:rPr>
              <w:t>注：“/”表示没有监测.“×”表示未达到控制目标要求，“↑”水质有所好转，“↑↑”水质明显好转，“→”水质类别没有变化，“↓”水质有所下降，“↓↓”水质明显下降，“○”没有数据无法比较。</w:t>
            </w:r>
          </w:p>
          <w:p>
            <w:pPr>
              <w:spacing w:line="360" w:lineRule="auto"/>
              <w:ind w:firstLine="480" w:firstLineChars="200"/>
              <w:jc w:val="left"/>
              <w:rPr>
                <w:rFonts w:hint="eastAsia" w:ascii="Times New Roman" w:hAnsi="Times New Roman" w:eastAsia="宋体"/>
                <w:b/>
                <w:sz w:val="24"/>
                <w:szCs w:val="24"/>
              </w:rPr>
            </w:pPr>
            <w:r>
              <w:rPr>
                <w:rFonts w:hint="eastAsia"/>
                <w:sz w:val="24"/>
              </w:rPr>
              <w:t>由监测结果可以看出，</w:t>
            </w:r>
            <w:r>
              <w:rPr>
                <w:rFonts w:hint="eastAsia"/>
                <w:sz w:val="24"/>
                <w:lang w:val="en-US" w:eastAsia="zh-CN"/>
              </w:rPr>
              <w:t>2023</w:t>
            </w:r>
            <w:r>
              <w:rPr>
                <w:rFonts w:hint="eastAsia"/>
                <w:sz w:val="24"/>
              </w:rPr>
              <w:t>年</w:t>
            </w:r>
            <w:r>
              <w:rPr>
                <w:rFonts w:hint="eastAsia"/>
                <w:sz w:val="24"/>
                <w:lang w:val="en-US" w:eastAsia="zh-CN"/>
              </w:rPr>
              <w:t>6</w:t>
            </w:r>
            <w:r>
              <w:rPr>
                <w:rFonts w:hint="eastAsia"/>
                <w:sz w:val="24"/>
              </w:rPr>
              <w:t>月份，</w:t>
            </w:r>
            <w:r>
              <w:rPr>
                <w:rFonts w:hint="eastAsia"/>
                <w:sz w:val="24"/>
                <w:lang w:val="en-US" w:eastAsia="zh-CN"/>
              </w:rPr>
              <w:t>伊通河新立城大坝断面</w:t>
            </w:r>
            <w:r>
              <w:rPr>
                <w:rFonts w:hint="eastAsia"/>
                <w:sz w:val="24"/>
              </w:rPr>
              <w:t>水质状况</w:t>
            </w:r>
            <w:r>
              <w:rPr>
                <w:rFonts w:hint="eastAsia"/>
                <w:sz w:val="24"/>
                <w:lang w:val="en-US" w:eastAsia="zh-CN"/>
              </w:rPr>
              <w:t>环比</w:t>
            </w:r>
            <w:r>
              <w:rPr>
                <w:sz w:val="24"/>
              </w:rPr>
              <w:t>为</w:t>
            </w:r>
            <w:r>
              <w:rPr>
                <w:rFonts w:hint="eastAsia"/>
                <w:sz w:val="24"/>
                <w:lang w:val="en-US" w:eastAsia="zh-CN"/>
              </w:rPr>
              <w:t>水质类别没有变化，同比为水质类别没有变化；杨家崴子断面</w:t>
            </w:r>
            <w:r>
              <w:rPr>
                <w:rFonts w:hint="eastAsia"/>
                <w:sz w:val="24"/>
              </w:rPr>
              <w:t>水质状况</w:t>
            </w:r>
            <w:r>
              <w:rPr>
                <w:rFonts w:hint="eastAsia"/>
                <w:sz w:val="24"/>
                <w:lang w:val="en-US" w:eastAsia="zh-CN"/>
              </w:rPr>
              <w:t>环比</w:t>
            </w:r>
            <w:r>
              <w:rPr>
                <w:sz w:val="24"/>
              </w:rPr>
              <w:t>为</w:t>
            </w:r>
            <w:r>
              <w:rPr>
                <w:rFonts w:hint="eastAsia"/>
                <w:sz w:val="24"/>
                <w:lang w:val="en-US" w:eastAsia="zh-CN"/>
              </w:rPr>
              <w:t>水质明显下降，同比为水质有所下降；靠山大桥断面</w:t>
            </w:r>
            <w:r>
              <w:rPr>
                <w:rFonts w:hint="eastAsia"/>
                <w:sz w:val="24"/>
              </w:rPr>
              <w:t>水质状况</w:t>
            </w:r>
            <w:r>
              <w:rPr>
                <w:rFonts w:hint="eastAsia"/>
                <w:sz w:val="24"/>
                <w:lang w:val="en-US" w:eastAsia="zh-CN"/>
              </w:rPr>
              <w:t>环比</w:t>
            </w:r>
            <w:r>
              <w:rPr>
                <w:sz w:val="24"/>
              </w:rPr>
              <w:t>为</w:t>
            </w:r>
            <w:r>
              <w:rPr>
                <w:rFonts w:hint="eastAsia"/>
                <w:sz w:val="24"/>
                <w:lang w:val="en-US" w:eastAsia="zh-CN"/>
              </w:rPr>
              <w:t>水质类别没有变化，同比为水质类别没有变化</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b/>
                <w:sz w:val="24"/>
                <w:szCs w:val="24"/>
              </w:rPr>
            </w:pPr>
            <w:r>
              <w:rPr>
                <w:rFonts w:hint="eastAsia" w:ascii="Times New Roman" w:hAnsi="Times New Roman" w:eastAsia="宋体"/>
                <w:b/>
                <w:sz w:val="24"/>
                <w:szCs w:val="24"/>
              </w:rPr>
              <w:t>二</w:t>
            </w:r>
            <w:r>
              <w:rPr>
                <w:rFonts w:ascii="Times New Roman" w:hAnsi="Times New Roman" w:eastAsia="宋体"/>
                <w:b/>
                <w:sz w:val="24"/>
                <w:szCs w:val="24"/>
              </w:rPr>
              <w:t>、</w:t>
            </w:r>
            <w:r>
              <w:rPr>
                <w:rFonts w:hint="eastAsia" w:ascii="Times New Roman" w:hAnsi="Times New Roman" w:eastAsia="宋体"/>
                <w:b/>
                <w:sz w:val="24"/>
                <w:szCs w:val="24"/>
              </w:rPr>
              <w:t>环境空气质量现状监测与评价</w:t>
            </w:r>
          </w:p>
          <w:p>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hAnsi="Times New Roman" w:eastAsia="宋体"/>
                <w:sz w:val="24"/>
                <w:szCs w:val="24"/>
                <w:lang w:val="zh-CN"/>
              </w:rPr>
            </w:pPr>
            <w:r>
              <w:rPr>
                <w:rFonts w:hint="eastAsia" w:ascii="Times New Roman" w:hAnsi="Times New Roman" w:eastAsia="宋体"/>
                <w:sz w:val="24"/>
                <w:szCs w:val="24"/>
              </w:rPr>
              <w:t>根据国家生态环境部HJ2.2-2018《大气环境影响评价技术导则》，“6.2.1.2 采用评价范围内国家或地方环境空气质量监测网中评价基准年连续1年的监测数据，或采用生态环境主管部门公开发布的环境空气质量现状数据”。本项目位于长春市，环境空气现状质量评价数据来源为“吉林省202</w:t>
            </w:r>
            <w:r>
              <w:rPr>
                <w:rFonts w:hint="eastAsia"/>
                <w:sz w:val="24"/>
                <w:szCs w:val="24"/>
                <w:lang w:val="en-US" w:eastAsia="zh-CN"/>
              </w:rPr>
              <w:t>2</w:t>
            </w:r>
            <w:r>
              <w:rPr>
                <w:rFonts w:hint="eastAsia" w:ascii="Times New Roman" w:hAnsi="Times New Roman" w:eastAsia="宋体"/>
                <w:sz w:val="24"/>
                <w:szCs w:val="24"/>
              </w:rPr>
              <w:t>年生态环境状况公报”，202</w:t>
            </w:r>
            <w:r>
              <w:rPr>
                <w:rFonts w:hint="eastAsia"/>
                <w:sz w:val="24"/>
                <w:szCs w:val="24"/>
                <w:lang w:val="en-US" w:eastAsia="zh-CN"/>
              </w:rPr>
              <w:t>2</w:t>
            </w:r>
            <w:r>
              <w:rPr>
                <w:rFonts w:hint="eastAsia" w:ascii="Times New Roman" w:hAnsi="Times New Roman" w:eastAsia="宋体"/>
                <w:sz w:val="24"/>
                <w:szCs w:val="24"/>
              </w:rPr>
              <w:t>年区域空气质量现状见下表</w:t>
            </w:r>
            <w:r>
              <w:rPr>
                <w:rFonts w:ascii="Times New Roman" w:hAnsi="Times New Roman" w:eastAsia="宋体"/>
                <w:sz w:val="24"/>
                <w:szCs w:val="24"/>
              </w:rPr>
              <w:t>。</w:t>
            </w:r>
            <w:bookmarkStart w:id="2" w:name="_Ref3518722"/>
            <w:bookmarkStart w:id="3" w:name="_Ref4387194"/>
          </w:p>
          <w:p>
            <w:pPr>
              <w:jc w:val="center"/>
              <w:rPr>
                <w:rFonts w:ascii="Times New Roman" w:hAnsi="Times New Roman" w:eastAsia="宋体"/>
                <w:b/>
                <w:bCs/>
                <w:sz w:val="21"/>
                <w:szCs w:val="21"/>
                <w:lang w:val="zh-CN"/>
              </w:rPr>
            </w:pPr>
            <w:r>
              <w:drawing>
                <wp:inline distT="0" distB="0" distL="114300" distR="114300">
                  <wp:extent cx="5059045" cy="3533140"/>
                  <wp:effectExtent l="0" t="0" r="825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059045" cy="3533140"/>
                          </a:xfrm>
                          <a:prstGeom prst="rect">
                            <a:avLst/>
                          </a:prstGeom>
                          <a:noFill/>
                          <a:ln>
                            <a:noFill/>
                          </a:ln>
                        </pic:spPr>
                      </pic:pic>
                    </a:graphicData>
                  </a:graphic>
                </wp:inline>
              </w:drawing>
            </w:r>
          </w:p>
          <w:p>
            <w:pPr>
              <w:jc w:val="center"/>
              <w:rPr>
                <w:rFonts w:hint="eastAsia"/>
                <w:b/>
                <w:bCs/>
                <w:sz w:val="21"/>
                <w:szCs w:val="21"/>
                <w:lang w:val="en-US" w:eastAsia="zh-CN"/>
              </w:rPr>
            </w:pPr>
            <w:r>
              <w:rPr>
                <w:rFonts w:hint="eastAsia"/>
                <w:b/>
                <w:bCs/>
                <w:sz w:val="21"/>
                <w:szCs w:val="21"/>
                <w:lang w:val="en-US" w:eastAsia="zh-CN"/>
              </w:rPr>
              <w:t>图3-1</w:t>
            </w:r>
            <w:r>
              <w:rPr>
                <w:rFonts w:ascii="Times New Roman" w:hAnsi="Times New Roman" w:eastAsia="宋体"/>
                <w:b/>
                <w:bCs/>
                <w:sz w:val="21"/>
                <w:szCs w:val="21"/>
              </w:rPr>
              <w:t xml:space="preserve">  </w:t>
            </w:r>
            <w:r>
              <w:rPr>
                <w:rFonts w:ascii="Times New Roman" w:hAnsi="Times New Roman" w:eastAsia="宋体"/>
                <w:b/>
                <w:bCs/>
                <w:sz w:val="21"/>
                <w:szCs w:val="21"/>
                <w:lang w:val="zh-CN"/>
              </w:rPr>
              <w:t xml:space="preserve"> </w:t>
            </w:r>
            <w:r>
              <w:rPr>
                <w:rFonts w:hint="eastAsia"/>
                <w:b/>
                <w:bCs/>
                <w:sz w:val="21"/>
                <w:szCs w:val="21"/>
                <w:lang w:val="en-US" w:eastAsia="zh-CN"/>
              </w:rPr>
              <w:t>2022年全省地级市及以上城市环境空气质量污染物年均浓度</w:t>
            </w:r>
          </w:p>
          <w:p>
            <w:pPr>
              <w:pStyle w:val="29"/>
              <w:rPr>
                <w:rFonts w:hint="default"/>
                <w:lang w:val="en-US" w:eastAsia="zh-CN"/>
              </w:rPr>
            </w:pPr>
          </w:p>
          <w:p>
            <w:pPr>
              <w:jc w:val="center"/>
              <w:rPr>
                <w:rFonts w:ascii="Times New Roman" w:hAnsi="Times New Roman" w:eastAsia="宋体"/>
                <w:b/>
                <w:bCs/>
                <w:sz w:val="21"/>
                <w:szCs w:val="21"/>
                <w:lang w:val="zh-CN"/>
              </w:rPr>
            </w:pPr>
            <w:r>
              <w:rPr>
                <w:rFonts w:ascii="Times New Roman" w:hAnsi="Times New Roman" w:eastAsia="宋体"/>
                <w:b/>
                <w:bCs/>
                <w:sz w:val="21"/>
                <w:szCs w:val="21"/>
                <w:lang w:val="zh-CN"/>
              </w:rPr>
              <w:t>表</w:t>
            </w:r>
            <w:r>
              <w:rPr>
                <w:rFonts w:hint="eastAsia"/>
                <w:b/>
                <w:bCs/>
                <w:sz w:val="21"/>
                <w:szCs w:val="21"/>
                <w:lang w:val="en-US" w:eastAsia="zh-CN"/>
              </w:rPr>
              <w:t>3-2</w:t>
            </w:r>
            <w:r>
              <w:rPr>
                <w:rFonts w:ascii="Times New Roman" w:hAnsi="Times New Roman" w:eastAsia="宋体"/>
                <w:b/>
                <w:bCs/>
                <w:sz w:val="21"/>
                <w:szCs w:val="21"/>
              </w:rPr>
              <w:t xml:space="preserve">  </w:t>
            </w:r>
            <w:r>
              <w:rPr>
                <w:rFonts w:ascii="Times New Roman" w:hAnsi="Times New Roman" w:eastAsia="宋体"/>
                <w:b/>
                <w:bCs/>
                <w:sz w:val="21"/>
                <w:szCs w:val="21"/>
                <w:lang w:val="zh-CN"/>
              </w:rPr>
              <w:t xml:space="preserve"> </w:t>
            </w:r>
            <w:r>
              <w:rPr>
                <w:rFonts w:ascii="Times New Roman" w:hAnsi="Times New Roman" w:eastAsia="宋体"/>
                <w:b/>
                <w:bCs/>
                <w:sz w:val="21"/>
                <w:szCs w:val="21"/>
              </w:rPr>
              <w:t>长春市</w:t>
            </w:r>
            <w:r>
              <w:rPr>
                <w:rFonts w:ascii="Times New Roman" w:hAnsi="Times New Roman" w:eastAsia="宋体"/>
                <w:b/>
                <w:bCs/>
                <w:sz w:val="21"/>
                <w:szCs w:val="21"/>
                <w:lang w:val="zh-CN"/>
              </w:rPr>
              <w:t>空气质量现状评价表</w:t>
            </w:r>
            <w:bookmarkEnd w:id="2"/>
            <w:r>
              <w:rPr>
                <w:rFonts w:ascii="Times New Roman" w:hAnsi="Times New Roman" w:eastAsia="宋体"/>
                <w:b/>
                <w:bCs/>
                <w:sz w:val="21"/>
                <w:szCs w:val="21"/>
                <w:lang w:val="zh-CN"/>
              </w:rPr>
              <w:t>（</w:t>
            </w:r>
            <w:r>
              <w:rPr>
                <w:rFonts w:ascii="Times New Roman" w:hAnsi="Times New Roman" w:eastAsia="宋体"/>
                <w:b/>
                <w:bCs/>
                <w:sz w:val="21"/>
                <w:szCs w:val="21"/>
              </w:rPr>
              <w:t>202</w:t>
            </w:r>
            <w:r>
              <w:rPr>
                <w:rFonts w:hint="eastAsia"/>
                <w:b/>
                <w:bCs/>
                <w:sz w:val="21"/>
                <w:szCs w:val="21"/>
                <w:lang w:val="en-US" w:eastAsia="zh-CN"/>
              </w:rPr>
              <w:t>2</w:t>
            </w:r>
            <w:r>
              <w:rPr>
                <w:rFonts w:ascii="Times New Roman" w:hAnsi="Times New Roman" w:eastAsia="宋体"/>
                <w:b/>
                <w:bCs/>
                <w:sz w:val="21"/>
                <w:szCs w:val="21"/>
                <w:lang w:val="zh-CN"/>
              </w:rPr>
              <w:t>年）</w:t>
            </w:r>
            <w:bookmarkEnd w:id="3"/>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1050"/>
              <w:gridCol w:w="1755"/>
              <w:gridCol w:w="1587"/>
              <w:gridCol w:w="1429"/>
              <w:gridCol w:w="1051"/>
              <w:gridCol w:w="10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658"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污染物</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年评价指标</w:t>
                  </w:r>
                </w:p>
              </w:tc>
              <w:tc>
                <w:tcPr>
                  <w:tcW w:w="995"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现状浓度/（µg/m</w:t>
                  </w:r>
                  <w:r>
                    <w:rPr>
                      <w:rFonts w:ascii="Times New Roman" w:hAnsi="Times New Roman" w:eastAsia="宋体"/>
                      <w:bCs/>
                      <w:sz w:val="21"/>
                      <w:szCs w:val="21"/>
                      <w:vertAlign w:val="superscript"/>
                    </w:rPr>
                    <w:t>3</w:t>
                  </w:r>
                  <w:r>
                    <w:rPr>
                      <w:rFonts w:ascii="Times New Roman" w:hAnsi="Times New Roman" w:eastAsia="宋体"/>
                      <w:bCs/>
                      <w:sz w:val="21"/>
                      <w:szCs w:val="21"/>
                    </w:rPr>
                    <w:t>）</w:t>
                  </w:r>
                </w:p>
              </w:tc>
              <w:tc>
                <w:tcPr>
                  <w:tcW w:w="896"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标准值/（µg/m</w:t>
                  </w:r>
                  <w:r>
                    <w:rPr>
                      <w:rFonts w:ascii="Times New Roman" w:hAnsi="Times New Roman" w:eastAsia="宋体"/>
                      <w:bCs/>
                      <w:sz w:val="21"/>
                      <w:szCs w:val="21"/>
                      <w:vertAlign w:val="superscript"/>
                    </w:rPr>
                    <w:t>3</w:t>
                  </w:r>
                  <w:r>
                    <w:rPr>
                      <w:rFonts w:ascii="Times New Roman" w:hAnsi="Times New Roman" w:eastAsia="宋体"/>
                      <w:bCs/>
                      <w:sz w:val="21"/>
                      <w:szCs w:val="21"/>
                    </w:rPr>
                    <w:t>）</w:t>
                  </w:r>
                </w:p>
              </w:tc>
              <w:tc>
                <w:tcPr>
                  <w:tcW w:w="659"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占标率/%</w:t>
                  </w:r>
                </w:p>
              </w:tc>
              <w:tc>
                <w:tcPr>
                  <w:tcW w:w="689"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SO</w:t>
                  </w:r>
                  <w:r>
                    <w:rPr>
                      <w:rFonts w:ascii="Times New Roman" w:hAnsi="Times New Roman" w:eastAsia="宋体"/>
                      <w:bCs/>
                      <w:sz w:val="21"/>
                      <w:szCs w:val="21"/>
                      <w:vertAlign w:val="subscript"/>
                    </w:rPr>
                    <w:t>2</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9.0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60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15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NO</w:t>
                  </w:r>
                  <w:r>
                    <w:rPr>
                      <w:rFonts w:ascii="Times New Roman" w:hAnsi="Times New Roman" w:eastAsia="宋体"/>
                      <w:bCs/>
                      <w:sz w:val="21"/>
                      <w:szCs w:val="21"/>
                      <w:vertAlign w:val="subscript"/>
                    </w:rPr>
                    <w:t>2</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hint="eastAsia"/>
                      <w:bCs/>
                      <w:sz w:val="21"/>
                      <w:szCs w:val="21"/>
                      <w:lang w:val="en-US" w:eastAsia="zh-CN"/>
                    </w:rPr>
                    <w:t>26</w:t>
                  </w:r>
                  <w:r>
                    <w:rPr>
                      <w:rFonts w:ascii="Times New Roman" w:hAnsi="Times New Roman" w:eastAsia="宋体"/>
                      <w:bCs/>
                      <w:sz w:val="21"/>
                      <w:szCs w:val="21"/>
                    </w:rPr>
                    <w:t>.0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40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65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PM</w:t>
                  </w:r>
                  <w:r>
                    <w:rPr>
                      <w:rFonts w:ascii="Times New Roman" w:hAnsi="Times New Roman" w:eastAsia="宋体"/>
                      <w:bCs/>
                      <w:sz w:val="21"/>
                      <w:szCs w:val="21"/>
                      <w:vertAlign w:val="subscript"/>
                    </w:rPr>
                    <w:t>10</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hint="eastAsia"/>
                      <w:bCs/>
                      <w:sz w:val="21"/>
                      <w:szCs w:val="21"/>
                      <w:lang w:val="en-US" w:eastAsia="zh-CN"/>
                    </w:rPr>
                    <w:t>48.</w:t>
                  </w:r>
                  <w:r>
                    <w:rPr>
                      <w:rFonts w:ascii="Times New Roman" w:hAnsi="Times New Roman" w:eastAsia="宋体"/>
                      <w:bCs/>
                      <w:sz w:val="21"/>
                      <w:szCs w:val="21"/>
                    </w:rPr>
                    <w:t>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70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68.6</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PM</w:t>
                  </w:r>
                  <w:r>
                    <w:rPr>
                      <w:rFonts w:ascii="Times New Roman" w:hAnsi="Times New Roman" w:eastAsia="宋体"/>
                      <w:bCs/>
                      <w:sz w:val="21"/>
                      <w:szCs w:val="21"/>
                      <w:vertAlign w:val="subscript"/>
                    </w:rPr>
                    <w:t>2.5</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年平均质量浓度</w:t>
                  </w:r>
                </w:p>
              </w:tc>
              <w:tc>
                <w:tcPr>
                  <w:tcW w:w="995" w:type="pct"/>
                  <w:vAlign w:val="center"/>
                </w:tcPr>
                <w:p>
                  <w:pPr>
                    <w:jc w:val="center"/>
                    <w:rPr>
                      <w:rFonts w:ascii="Times New Roman" w:hAnsi="Times New Roman" w:eastAsia="宋体"/>
                      <w:bCs/>
                      <w:sz w:val="21"/>
                      <w:szCs w:val="21"/>
                    </w:rPr>
                  </w:pPr>
                  <w:r>
                    <w:rPr>
                      <w:rFonts w:hint="eastAsia"/>
                      <w:bCs/>
                      <w:sz w:val="21"/>
                      <w:szCs w:val="21"/>
                      <w:lang w:val="en-US" w:eastAsia="zh-CN"/>
                    </w:rPr>
                    <w:t>28</w:t>
                  </w:r>
                  <w:r>
                    <w:rPr>
                      <w:rFonts w:ascii="Times New Roman" w:hAnsi="Times New Roman" w:eastAsia="宋体"/>
                      <w:bCs/>
                      <w:sz w:val="21"/>
                      <w:szCs w:val="21"/>
                    </w:rPr>
                    <w:t>.0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35</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80</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17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O</w:t>
                  </w:r>
                  <w:r>
                    <w:rPr>
                      <w:rFonts w:ascii="Times New Roman" w:hAnsi="Times New Roman" w:eastAsia="宋体"/>
                      <w:bCs/>
                      <w:sz w:val="21"/>
                      <w:szCs w:val="21"/>
                      <w:vertAlign w:val="subscript"/>
                    </w:rPr>
                    <w:t>3</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90百分位数日平均</w:t>
                  </w:r>
                </w:p>
              </w:tc>
              <w:tc>
                <w:tcPr>
                  <w:tcW w:w="995"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124</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160</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77.5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658"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CO</w:t>
                  </w:r>
                </w:p>
              </w:tc>
              <w:tc>
                <w:tcPr>
                  <w:tcW w:w="1100" w:type="pct"/>
                  <w:vAlign w:val="center"/>
                </w:tcPr>
                <w:p>
                  <w:pPr>
                    <w:widowControl/>
                    <w:jc w:val="center"/>
                    <w:textAlignment w:val="center"/>
                    <w:rPr>
                      <w:rFonts w:ascii="Times New Roman" w:hAnsi="Times New Roman" w:eastAsia="宋体"/>
                      <w:bCs/>
                      <w:sz w:val="21"/>
                      <w:szCs w:val="21"/>
                    </w:rPr>
                  </w:pPr>
                  <w:r>
                    <w:rPr>
                      <w:rFonts w:ascii="Times New Roman" w:hAnsi="Times New Roman" w:eastAsia="宋体"/>
                      <w:bCs/>
                      <w:sz w:val="21"/>
                      <w:szCs w:val="21"/>
                    </w:rPr>
                    <w:t>95百分位数日平均</w:t>
                  </w:r>
                </w:p>
              </w:tc>
              <w:tc>
                <w:tcPr>
                  <w:tcW w:w="995"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1.0</w:t>
                  </w:r>
                </w:p>
              </w:tc>
              <w:tc>
                <w:tcPr>
                  <w:tcW w:w="896"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4</w:t>
                  </w:r>
                </w:p>
              </w:tc>
              <w:tc>
                <w:tcPr>
                  <w:tcW w:w="659" w:type="pct"/>
                  <w:vAlign w:val="center"/>
                </w:tcPr>
                <w:p>
                  <w:pPr>
                    <w:jc w:val="center"/>
                    <w:rPr>
                      <w:rFonts w:hint="default" w:ascii="Times New Roman" w:hAnsi="Times New Roman" w:eastAsia="宋体"/>
                      <w:bCs/>
                      <w:sz w:val="21"/>
                      <w:szCs w:val="21"/>
                      <w:lang w:val="en-US" w:eastAsia="zh-CN"/>
                    </w:rPr>
                  </w:pPr>
                  <w:r>
                    <w:rPr>
                      <w:rFonts w:hint="eastAsia"/>
                      <w:bCs/>
                      <w:sz w:val="21"/>
                      <w:szCs w:val="21"/>
                      <w:lang w:val="en-US" w:eastAsia="zh-CN"/>
                    </w:rPr>
                    <w:t>25</w:t>
                  </w:r>
                </w:p>
              </w:tc>
              <w:tc>
                <w:tcPr>
                  <w:tcW w:w="689" w:type="pct"/>
                  <w:vAlign w:val="center"/>
                </w:tcPr>
                <w:p>
                  <w:pPr>
                    <w:jc w:val="center"/>
                    <w:rPr>
                      <w:rFonts w:ascii="Times New Roman" w:hAnsi="Times New Roman" w:eastAsia="宋体"/>
                      <w:bCs/>
                      <w:sz w:val="21"/>
                      <w:szCs w:val="21"/>
                    </w:rPr>
                  </w:pPr>
                  <w:r>
                    <w:rPr>
                      <w:rFonts w:ascii="Times New Roman" w:hAnsi="Times New Roman" w:eastAsia="宋体"/>
                      <w:bCs/>
                      <w:sz w:val="21"/>
                      <w:szCs w:val="21"/>
                    </w:rPr>
                    <w:t>达标</w:t>
                  </w:r>
                </w:p>
              </w:tc>
            </w:tr>
          </w:tbl>
          <w:p>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kern w:val="0"/>
                <w:sz w:val="24"/>
                <w:szCs w:val="24"/>
              </w:rPr>
              <w:t>通过上表可知，长春市区域城市环境空气质量达标</w:t>
            </w:r>
            <w:r>
              <w:rPr>
                <w:rFonts w:ascii="Times New Roman" w:hAnsi="Times New Roman" w:eastAsia="宋体"/>
                <w:kern w:val="0"/>
                <w:sz w:val="24"/>
                <w:szCs w:val="24"/>
              </w:rPr>
              <w:t>。</w:t>
            </w:r>
          </w:p>
          <w:p>
            <w:pPr>
              <w:spacing w:line="360" w:lineRule="auto"/>
              <w:ind w:firstLine="482" w:firstLineChars="200"/>
              <w:jc w:val="left"/>
              <w:rPr>
                <w:rFonts w:ascii="Times New Roman" w:hAnsi="Times New Roman" w:eastAsia="宋体"/>
                <w:b/>
                <w:bCs/>
                <w:color w:val="auto"/>
                <w:sz w:val="24"/>
                <w:szCs w:val="24"/>
              </w:rPr>
            </w:pPr>
            <w:r>
              <w:rPr>
                <w:rFonts w:ascii="Times New Roman" w:hAnsi="Times New Roman" w:eastAsia="宋体"/>
                <w:b/>
                <w:bCs/>
                <w:color w:val="auto"/>
                <w:sz w:val="24"/>
                <w:szCs w:val="24"/>
              </w:rPr>
              <w:t>2</w:t>
            </w:r>
            <w:r>
              <w:rPr>
                <w:rFonts w:hint="eastAsia" w:ascii="Times New Roman" w:hAnsi="Times New Roman" w:eastAsia="宋体"/>
                <w:b/>
                <w:bCs/>
                <w:color w:val="auto"/>
                <w:sz w:val="24"/>
                <w:szCs w:val="24"/>
              </w:rPr>
              <w:t>、特征污染物</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1</w:t>
            </w:r>
            <w:r>
              <w:rPr>
                <w:rFonts w:hint="eastAsia" w:ascii="Times New Roman" w:hAnsi="Times New Roman" w:eastAsia="宋体"/>
                <w:bCs/>
                <w:color w:val="auto"/>
                <w:sz w:val="24"/>
                <w:szCs w:val="24"/>
              </w:rPr>
              <w:t>）监测点位</w:t>
            </w:r>
          </w:p>
          <w:p>
            <w:pPr>
              <w:spacing w:line="360" w:lineRule="auto"/>
              <w:ind w:firstLine="480" w:firstLineChars="200"/>
              <w:jc w:val="left"/>
              <w:rPr>
                <w:rFonts w:hint="eastAsia" w:ascii="Times New Roman" w:hAnsi="Times New Roman" w:eastAsia="宋体"/>
                <w:b/>
                <w:bCs/>
                <w:color w:val="auto"/>
                <w:sz w:val="24"/>
                <w:szCs w:val="24"/>
              </w:rPr>
            </w:pPr>
            <w:r>
              <w:rPr>
                <w:rFonts w:hint="eastAsia" w:ascii="Times New Roman" w:hAnsi="Times New Roman" w:eastAsia="宋体"/>
                <w:color w:val="auto"/>
                <w:sz w:val="24"/>
                <w:szCs w:val="24"/>
              </w:rPr>
              <w:t>根据本项目建设位置、气象条件、及评价等级，在评价区域内布设</w:t>
            </w: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个特征污染物监测点位。布置位置详见下表及附图</w:t>
            </w:r>
            <w:r>
              <w:rPr>
                <w:rFonts w:ascii="Times New Roman" w:hAnsi="Times New Roman" w:eastAsia="宋体"/>
                <w:color w:val="auto"/>
                <w:sz w:val="24"/>
                <w:szCs w:val="24"/>
              </w:rPr>
              <w:t>3</w:t>
            </w:r>
            <w:r>
              <w:rPr>
                <w:rFonts w:hint="eastAsia" w:ascii="Times New Roman" w:hAnsi="Times New Roman" w:eastAsia="宋体"/>
                <w:color w:val="auto"/>
                <w:sz w:val="24"/>
                <w:szCs w:val="24"/>
              </w:rPr>
              <w:t>。</w:t>
            </w:r>
          </w:p>
          <w:p>
            <w:pPr>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hint="eastAsia"/>
                <w:b/>
                <w:bCs/>
                <w:color w:val="auto"/>
                <w:sz w:val="21"/>
                <w:szCs w:val="21"/>
                <w:lang w:val="en-US" w:eastAsia="zh-CN"/>
              </w:rPr>
              <w:t>3-3</w:t>
            </w:r>
            <w:r>
              <w:rPr>
                <w:rFonts w:ascii="Times New Roman" w:hAnsi="Times New Roman" w:eastAsia="宋体"/>
                <w:b/>
                <w:bCs/>
                <w:color w:val="auto"/>
                <w:sz w:val="21"/>
                <w:szCs w:val="21"/>
              </w:rPr>
              <w:t xml:space="preserve">  </w:t>
            </w:r>
            <w:r>
              <w:rPr>
                <w:rFonts w:hint="eastAsia" w:ascii="Times New Roman" w:hAnsi="Times New Roman" w:eastAsia="宋体"/>
                <w:b/>
                <w:bCs/>
                <w:color w:val="auto"/>
                <w:sz w:val="21"/>
                <w:szCs w:val="21"/>
              </w:rPr>
              <w:t>特征污染物补充监测点位基本信息</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353"/>
              <w:gridCol w:w="1253"/>
              <w:gridCol w:w="803"/>
              <w:gridCol w:w="1618"/>
              <w:gridCol w:w="843"/>
              <w:gridCol w:w="9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2"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监测点名称</w:t>
                  </w:r>
                </w:p>
              </w:tc>
              <w:tc>
                <w:tcPr>
                  <w:tcW w:w="1633" w:type="pct"/>
                  <w:gridSpan w:val="2"/>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监测点坐标</w:t>
                  </w:r>
                </w:p>
              </w:tc>
              <w:tc>
                <w:tcPr>
                  <w:tcW w:w="503"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监测因子</w:t>
                  </w:r>
                </w:p>
              </w:tc>
              <w:tc>
                <w:tcPr>
                  <w:tcW w:w="1014"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监测时段</w:t>
                  </w:r>
                </w:p>
              </w:tc>
              <w:tc>
                <w:tcPr>
                  <w:tcW w:w="528"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相对厂址方位</w:t>
                  </w:r>
                </w:p>
              </w:tc>
              <w:tc>
                <w:tcPr>
                  <w:tcW w:w="597" w:type="pct"/>
                  <w:vMerge w:val="restar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相对厂界距离</w:t>
                  </w:r>
                  <w:r>
                    <w:rPr>
                      <w:rFonts w:ascii="Times New Roman" w:hAnsi="Times New Roman" w:eastAsia="宋体"/>
                      <w:color w:val="auto"/>
                      <w:kern w:val="0"/>
                      <w:sz w:val="21"/>
                      <w:szCs w:val="21"/>
                    </w:rPr>
                    <w:t>/</w:t>
                  </w:r>
                  <w:r>
                    <w:rPr>
                      <w:rFonts w:hint="eastAsia"/>
                      <w:color w:val="auto"/>
                      <w:kern w:val="0"/>
                      <w:sz w:val="21"/>
                      <w:szCs w:val="21"/>
                      <w:lang w:val="en-US" w:eastAsia="zh-CN"/>
                    </w:rPr>
                    <w:t>k</w:t>
                  </w:r>
                  <w:r>
                    <w:rPr>
                      <w:rFonts w:ascii="Times New Roman" w:hAnsi="Times New Roman" w:eastAsia="宋体"/>
                      <w:color w:val="auto"/>
                      <w:kern w:val="0"/>
                      <w:sz w:val="21"/>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2"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848" w:type="pct"/>
                  <w:tcBorders>
                    <w:tl2br w:val="nil"/>
                    <w:tr2bl w:val="nil"/>
                  </w:tcBorders>
                  <w:shd w:val="clear" w:color="auto" w:fill="auto"/>
                  <w:vAlign w:val="center"/>
                </w:tcPr>
                <w:p>
                  <w:pPr>
                    <w:autoSpaceDE w:val="0"/>
                    <w:autoSpaceDN w:val="0"/>
                    <w:adjustRightInd w:val="0"/>
                    <w:jc w:val="center"/>
                    <w:textAlignment w:val="baseline"/>
                    <w:rPr>
                      <w:rFonts w:hint="eastAsia" w:ascii="Times New Roman" w:hAnsi="Times New Roman" w:eastAsia="宋体"/>
                      <w:color w:val="auto"/>
                      <w:kern w:val="0"/>
                      <w:sz w:val="21"/>
                      <w:szCs w:val="21"/>
                      <w:lang w:eastAsia="zh-CN"/>
                    </w:rPr>
                  </w:pPr>
                  <w:r>
                    <w:rPr>
                      <w:rFonts w:hint="eastAsia" w:ascii="Times New Roman" w:hAnsi="Times New Roman" w:eastAsia="宋体"/>
                      <w:color w:val="auto"/>
                      <w:kern w:val="0"/>
                      <w:sz w:val="21"/>
                      <w:szCs w:val="21"/>
                      <w:lang w:val="en-US" w:eastAsia="zh-CN"/>
                    </w:rPr>
                    <w:t>经度</w:t>
                  </w:r>
                </w:p>
              </w:tc>
              <w:tc>
                <w:tcPr>
                  <w:tcW w:w="785" w:type="pct"/>
                  <w:tcBorders>
                    <w:tl2br w:val="nil"/>
                    <w:tr2bl w:val="nil"/>
                  </w:tcBorders>
                  <w:shd w:val="clear" w:color="auto" w:fill="auto"/>
                  <w:vAlign w:val="center"/>
                </w:tcPr>
                <w:p>
                  <w:pPr>
                    <w:autoSpaceDE w:val="0"/>
                    <w:autoSpaceDN w:val="0"/>
                    <w:adjustRightInd w:val="0"/>
                    <w:jc w:val="center"/>
                    <w:textAlignment w:val="baseline"/>
                    <w:rPr>
                      <w:rFonts w:hint="eastAsia" w:ascii="Times New Roman" w:hAnsi="Times New Roman" w:eastAsia="宋体"/>
                      <w:color w:val="auto"/>
                      <w:kern w:val="0"/>
                      <w:sz w:val="21"/>
                      <w:szCs w:val="21"/>
                      <w:lang w:val="en-US" w:eastAsia="zh-CN"/>
                    </w:rPr>
                  </w:pPr>
                  <w:r>
                    <w:rPr>
                      <w:rFonts w:hint="eastAsia" w:ascii="Times New Roman" w:hAnsi="Times New Roman" w:eastAsia="宋体"/>
                      <w:color w:val="auto"/>
                      <w:kern w:val="0"/>
                      <w:sz w:val="21"/>
                      <w:szCs w:val="21"/>
                      <w:lang w:val="en-US" w:eastAsia="zh-CN"/>
                    </w:rPr>
                    <w:t>纬度</w:t>
                  </w:r>
                </w:p>
              </w:tc>
              <w:tc>
                <w:tcPr>
                  <w:tcW w:w="503"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1014"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528"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c>
                <w:tcPr>
                  <w:tcW w:w="597" w:type="pct"/>
                  <w:vMerge w:val="continue"/>
                  <w:tcBorders>
                    <w:tl2br w:val="nil"/>
                    <w:tr2bl w:val="nil"/>
                  </w:tcBorders>
                  <w:shd w:val="clear" w:color="auto" w:fill="auto"/>
                  <w:vAlign w:val="center"/>
                </w:tcPr>
                <w:p>
                  <w:pPr>
                    <w:rPr>
                      <w:rFonts w:ascii="Times New Roman" w:hAnsi="Times New Roman" w:eastAsia="宋体"/>
                      <w:color w:val="auto"/>
                      <w:kern w:val="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2" w:type="pct"/>
                  <w:tcBorders>
                    <w:tl2br w:val="nil"/>
                    <w:tr2bl w:val="nil"/>
                  </w:tcBorders>
                  <w:shd w:val="clear" w:color="auto" w:fill="auto"/>
                  <w:vAlign w:val="center"/>
                </w:tcPr>
                <w:p>
                  <w:pPr>
                    <w:autoSpaceDE w:val="0"/>
                    <w:autoSpaceDN w:val="0"/>
                    <w:adjustRightInd w:val="0"/>
                    <w:jc w:val="center"/>
                    <w:textAlignment w:val="baseline"/>
                    <w:rPr>
                      <w:rFonts w:hint="default" w:ascii="Times New Roman" w:hAnsi="Times New Roman" w:eastAsia="宋体"/>
                      <w:color w:val="auto"/>
                      <w:kern w:val="0"/>
                      <w:sz w:val="21"/>
                      <w:szCs w:val="21"/>
                      <w:lang w:val="en-US"/>
                    </w:rPr>
                  </w:pPr>
                  <w:r>
                    <w:rPr>
                      <w:rFonts w:hint="eastAsia"/>
                      <w:color w:val="auto"/>
                      <w:sz w:val="21"/>
                      <w:szCs w:val="21"/>
                      <w:lang w:val="en-US" w:eastAsia="zh-CN"/>
                    </w:rPr>
                    <w:t>小西屯</w:t>
                  </w:r>
                </w:p>
              </w:tc>
              <w:tc>
                <w:tcPr>
                  <w:tcW w:w="848" w:type="pct"/>
                  <w:tcBorders>
                    <w:tl2br w:val="nil"/>
                    <w:tr2bl w:val="nil"/>
                  </w:tcBorders>
                  <w:shd w:val="clear" w:color="auto" w:fill="auto"/>
                  <w:vAlign w:val="center"/>
                </w:tcPr>
                <w:p>
                  <w:pPr>
                    <w:adjustRightInd w:val="0"/>
                    <w:snapToGrid w:val="0"/>
                    <w:spacing w:line="0" w:lineRule="atLeast"/>
                    <w:jc w:val="center"/>
                    <w:rPr>
                      <w:rFonts w:hint="default" w:ascii="Times New Roman" w:hAnsi="Times New Roman" w:eastAsia="宋体" w:cs="宋体"/>
                      <w:snapToGrid w:val="0"/>
                      <w:color w:val="auto"/>
                      <w:kern w:val="0"/>
                      <w:sz w:val="21"/>
                      <w:szCs w:val="21"/>
                      <w:highlight w:val="yellow"/>
                      <w:lang w:val="en-US" w:eastAsia="zh-CN"/>
                    </w:rPr>
                  </w:pPr>
                  <w:r>
                    <w:rPr>
                      <w:rFonts w:hint="eastAsia" w:cs="宋体"/>
                      <w:snapToGrid w:val="0"/>
                      <w:color w:val="auto"/>
                      <w:kern w:val="0"/>
                      <w:sz w:val="21"/>
                      <w:szCs w:val="21"/>
                      <w:lang w:val="en-US" w:eastAsia="zh-CN"/>
                    </w:rPr>
                    <w:t>125.4225</w:t>
                  </w:r>
                </w:p>
              </w:tc>
              <w:tc>
                <w:tcPr>
                  <w:tcW w:w="785" w:type="pct"/>
                  <w:tcBorders>
                    <w:tl2br w:val="nil"/>
                    <w:tr2bl w:val="nil"/>
                  </w:tcBorders>
                  <w:shd w:val="clear" w:color="auto" w:fill="auto"/>
                  <w:vAlign w:val="center"/>
                </w:tcPr>
                <w:p>
                  <w:pPr>
                    <w:adjustRightInd w:val="0"/>
                    <w:snapToGrid w:val="0"/>
                    <w:spacing w:line="0" w:lineRule="atLeast"/>
                    <w:jc w:val="center"/>
                    <w:rPr>
                      <w:rFonts w:hint="default" w:ascii="Times New Roman" w:hAnsi="Times New Roman" w:eastAsia="宋体" w:cs="宋体"/>
                      <w:snapToGrid w:val="0"/>
                      <w:color w:val="auto"/>
                      <w:kern w:val="0"/>
                      <w:sz w:val="21"/>
                      <w:szCs w:val="21"/>
                      <w:highlight w:val="yellow"/>
                      <w:lang w:val="en-US" w:eastAsia="zh-CN"/>
                    </w:rPr>
                  </w:pPr>
                  <w:r>
                    <w:rPr>
                      <w:rFonts w:hint="eastAsia" w:ascii="Times New Roman" w:hAnsi="Times New Roman" w:eastAsia="宋体" w:cs="宋体"/>
                      <w:snapToGrid w:val="0"/>
                      <w:color w:val="auto"/>
                      <w:kern w:val="0"/>
                      <w:sz w:val="21"/>
                      <w:szCs w:val="21"/>
                      <w:lang w:val="en-US" w:eastAsia="zh-CN"/>
                    </w:rPr>
                    <w:t>44.0384</w:t>
                  </w:r>
                </w:p>
              </w:tc>
              <w:tc>
                <w:tcPr>
                  <w:tcW w:w="503" w:type="pct"/>
                  <w:tcBorders>
                    <w:tl2br w:val="nil"/>
                    <w:tr2bl w:val="nil"/>
                  </w:tcBorders>
                  <w:shd w:val="clear" w:color="auto" w:fill="auto"/>
                  <w:vAlign w:val="center"/>
                </w:tcPr>
                <w:p>
                  <w:pPr>
                    <w:autoSpaceDE w:val="0"/>
                    <w:autoSpaceDN w:val="0"/>
                    <w:adjustRightInd w:val="0"/>
                    <w:jc w:val="center"/>
                    <w:textAlignment w:val="baseline"/>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T</w:t>
                  </w:r>
                  <w:r>
                    <w:rPr>
                      <w:rFonts w:ascii="Times New Roman" w:hAnsi="Times New Roman" w:eastAsia="宋体"/>
                      <w:color w:val="auto"/>
                      <w:kern w:val="0"/>
                      <w:sz w:val="21"/>
                      <w:szCs w:val="21"/>
                    </w:rPr>
                    <w:t>SP</w:t>
                  </w:r>
                </w:p>
              </w:tc>
              <w:tc>
                <w:tcPr>
                  <w:tcW w:w="1014" w:type="pct"/>
                  <w:tcBorders>
                    <w:tl2br w:val="nil"/>
                    <w:tr2bl w:val="nil"/>
                  </w:tcBorders>
                  <w:shd w:val="clear" w:color="auto" w:fill="auto"/>
                  <w:vAlign w:val="center"/>
                </w:tcPr>
                <w:p>
                  <w:pPr>
                    <w:autoSpaceDE w:val="0"/>
                    <w:autoSpaceDN w:val="0"/>
                    <w:adjustRightInd w:val="0"/>
                    <w:textAlignment w:val="baseline"/>
                    <w:rPr>
                      <w:rFonts w:hint="default" w:ascii="Times New Roman" w:hAnsi="Times New Roman" w:eastAsia="宋体"/>
                      <w:color w:val="auto"/>
                      <w:kern w:val="0"/>
                      <w:sz w:val="21"/>
                      <w:szCs w:val="21"/>
                      <w:lang w:val="en-US" w:eastAsia="zh-CN"/>
                    </w:rPr>
                  </w:pPr>
                  <w:r>
                    <w:rPr>
                      <w:rFonts w:hint="eastAsia"/>
                      <w:color w:val="auto"/>
                      <w:kern w:val="0"/>
                      <w:sz w:val="21"/>
                      <w:szCs w:val="21"/>
                      <w:lang w:val="en-US" w:eastAsia="zh-CN"/>
                    </w:rPr>
                    <w:t>2023.7.24-7.26</w:t>
                  </w:r>
                </w:p>
              </w:tc>
              <w:tc>
                <w:tcPr>
                  <w:tcW w:w="528" w:type="pct"/>
                  <w:tcBorders>
                    <w:tl2br w:val="nil"/>
                    <w:tr2bl w:val="nil"/>
                  </w:tcBorders>
                  <w:shd w:val="clear" w:color="auto" w:fill="auto"/>
                  <w:vAlign w:val="center"/>
                </w:tcPr>
                <w:p>
                  <w:pPr>
                    <w:adjustRightInd w:val="0"/>
                    <w:snapToGrid w:val="0"/>
                    <w:spacing w:line="0" w:lineRule="atLeast"/>
                    <w:jc w:val="center"/>
                    <w:rPr>
                      <w:rFonts w:hint="eastAsia" w:ascii="Times New Roman" w:hAnsi="Times New Roman" w:eastAsia="宋体" w:cs="宋体"/>
                      <w:snapToGrid w:val="0"/>
                      <w:color w:val="auto"/>
                      <w:kern w:val="0"/>
                      <w:sz w:val="21"/>
                      <w:szCs w:val="21"/>
                      <w:lang w:eastAsia="zh-CN"/>
                    </w:rPr>
                  </w:pPr>
                  <w:r>
                    <w:rPr>
                      <w:rFonts w:hint="eastAsia" w:cs="宋体"/>
                      <w:snapToGrid w:val="0"/>
                      <w:color w:val="auto"/>
                      <w:kern w:val="0"/>
                      <w:sz w:val="21"/>
                      <w:szCs w:val="21"/>
                      <w:lang w:val="en-US" w:eastAsia="zh-CN"/>
                    </w:rPr>
                    <w:t>东北</w:t>
                  </w:r>
                </w:p>
              </w:tc>
              <w:tc>
                <w:tcPr>
                  <w:tcW w:w="597" w:type="pct"/>
                  <w:tcBorders>
                    <w:tl2br w:val="nil"/>
                    <w:tr2bl w:val="nil"/>
                  </w:tcBorders>
                  <w:shd w:val="clear" w:color="auto" w:fill="auto"/>
                  <w:vAlign w:val="center"/>
                </w:tcPr>
                <w:p>
                  <w:pPr>
                    <w:adjustRightInd w:val="0"/>
                    <w:snapToGrid w:val="0"/>
                    <w:spacing w:line="0" w:lineRule="atLeast"/>
                    <w:jc w:val="center"/>
                    <w:rPr>
                      <w:rFonts w:hint="default" w:ascii="Times New Roman" w:hAnsi="Times New Roman" w:eastAsia="宋体" w:cs="宋体"/>
                      <w:snapToGrid w:val="0"/>
                      <w:color w:val="auto"/>
                      <w:kern w:val="0"/>
                      <w:sz w:val="21"/>
                      <w:szCs w:val="21"/>
                      <w:lang w:val="en-US" w:eastAsia="zh-CN"/>
                    </w:rPr>
                  </w:pPr>
                  <w:r>
                    <w:rPr>
                      <w:rFonts w:hint="eastAsia" w:cs="宋体"/>
                      <w:snapToGrid w:val="0"/>
                      <w:color w:val="auto"/>
                      <w:kern w:val="0"/>
                      <w:sz w:val="21"/>
                      <w:szCs w:val="21"/>
                      <w:lang w:val="en-US" w:eastAsia="zh-CN"/>
                    </w:rPr>
                    <w:t>1.852</w:t>
                  </w:r>
                </w:p>
              </w:tc>
            </w:tr>
          </w:tbl>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2</w:t>
            </w:r>
            <w:r>
              <w:rPr>
                <w:rFonts w:hint="eastAsia" w:ascii="Times New Roman" w:hAnsi="Times New Roman" w:eastAsia="宋体"/>
                <w:bCs/>
                <w:color w:val="auto"/>
                <w:sz w:val="24"/>
                <w:szCs w:val="24"/>
              </w:rPr>
              <w:t>）监测项目</w:t>
            </w:r>
          </w:p>
          <w:p>
            <w:pPr>
              <w:spacing w:line="360" w:lineRule="auto"/>
              <w:ind w:firstLine="480" w:firstLineChars="200"/>
              <w:jc w:val="left"/>
              <w:rPr>
                <w:rFonts w:hint="eastAsia" w:ascii="Times New Roman" w:hAnsi="Times New Roman" w:eastAsia="宋体"/>
                <w:color w:val="auto"/>
                <w:sz w:val="24"/>
                <w:szCs w:val="24"/>
              </w:rPr>
            </w:pPr>
            <w:r>
              <w:rPr>
                <w:rFonts w:hint="eastAsia" w:ascii="Times New Roman" w:hAnsi="Times New Roman" w:eastAsia="宋体"/>
                <w:color w:val="auto"/>
                <w:sz w:val="24"/>
                <w:szCs w:val="24"/>
              </w:rPr>
              <w:t>根据项目生产工艺，特征污染物监测项目为TSP</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3</w:t>
            </w:r>
            <w:r>
              <w:rPr>
                <w:rFonts w:hint="eastAsia" w:ascii="Times New Roman" w:hAnsi="Times New Roman" w:eastAsia="宋体"/>
                <w:bCs/>
                <w:color w:val="auto"/>
                <w:sz w:val="24"/>
                <w:szCs w:val="24"/>
              </w:rPr>
              <w:t>）监测时间</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监测时间：</w:t>
            </w:r>
            <w:r>
              <w:rPr>
                <w:rFonts w:hint="eastAsia"/>
                <w:color w:val="auto"/>
                <w:sz w:val="24"/>
                <w:szCs w:val="24"/>
                <w:lang w:val="en-US" w:eastAsia="zh-CN"/>
              </w:rPr>
              <w:t>2023年7月24日-7月26日</w:t>
            </w:r>
            <w:r>
              <w:rPr>
                <w:rFonts w:hint="eastAsia" w:ascii="Times New Roman" w:hAnsi="Times New Roman" w:eastAsia="宋体"/>
                <w:color w:val="auto"/>
                <w:sz w:val="24"/>
                <w:szCs w:val="24"/>
              </w:rPr>
              <w:t>，连续</w:t>
            </w: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rPr>
              <w:t>天</w:t>
            </w:r>
          </w:p>
          <w:p>
            <w:pPr>
              <w:spacing w:line="360" w:lineRule="auto"/>
              <w:ind w:firstLine="482" w:firstLineChars="200"/>
              <w:jc w:val="left"/>
              <w:rPr>
                <w:rFonts w:ascii="Times New Roman" w:hAnsi="Times New Roman" w:eastAsia="宋体"/>
                <w:b/>
                <w:bCs/>
                <w:color w:val="auto"/>
                <w:sz w:val="24"/>
                <w:szCs w:val="24"/>
              </w:rPr>
            </w:pPr>
            <w:r>
              <w:rPr>
                <w:rFonts w:hint="eastAsia" w:ascii="Times New Roman" w:hAnsi="Times New Roman" w:eastAsia="宋体"/>
                <w:b/>
                <w:bCs/>
                <w:color w:val="auto"/>
                <w:sz w:val="24"/>
                <w:szCs w:val="24"/>
              </w:rPr>
              <w:t>（</w:t>
            </w:r>
            <w:r>
              <w:rPr>
                <w:rFonts w:ascii="Times New Roman" w:hAnsi="Times New Roman" w:eastAsia="宋体"/>
                <w:b/>
                <w:bCs/>
                <w:color w:val="auto"/>
                <w:sz w:val="24"/>
                <w:szCs w:val="24"/>
              </w:rPr>
              <w:t>4</w:t>
            </w:r>
            <w:r>
              <w:rPr>
                <w:rFonts w:hint="eastAsia" w:ascii="Times New Roman" w:hAnsi="Times New Roman" w:eastAsia="宋体"/>
                <w:b/>
                <w:bCs/>
                <w:color w:val="auto"/>
                <w:sz w:val="24"/>
                <w:szCs w:val="24"/>
              </w:rPr>
              <w:t>）评价方法</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利用占标率法进行评价区环境空气质量的现状评价，计算公式如下：</w:t>
            </w:r>
          </w:p>
          <w:p>
            <w:pPr>
              <w:spacing w:line="360" w:lineRule="auto"/>
              <w:jc w:val="center"/>
              <w:rPr>
                <w:rFonts w:ascii="Times New Roman" w:hAnsi="Times New Roman" w:eastAsia="宋体"/>
                <w:color w:val="auto"/>
                <w:sz w:val="21"/>
                <w:szCs w:val="21"/>
              </w:rPr>
            </w:pPr>
            <w:r>
              <w:rPr>
                <w:rFonts w:ascii="Times New Roman" w:hAnsi="Times New Roman" w:eastAsia="宋体"/>
                <w:color w:val="auto"/>
                <w:sz w:val="21"/>
                <w:szCs w:val="21"/>
              </w:rPr>
              <w:drawing>
                <wp:inline distT="0" distB="0" distL="0" distR="0">
                  <wp:extent cx="914400" cy="336550"/>
                  <wp:effectExtent l="0" t="0" r="0" b="0"/>
                  <wp:docPr id="6" name="图片 2" descr="wps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ps60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14400" cy="336550"/>
                          </a:xfrm>
                          <a:prstGeom prst="rect">
                            <a:avLst/>
                          </a:prstGeom>
                          <a:noFill/>
                          <a:ln>
                            <a:noFill/>
                          </a:ln>
                        </pic:spPr>
                      </pic:pic>
                    </a:graphicData>
                  </a:graphic>
                </wp:inline>
              </w:drawing>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式中：</w:t>
            </w:r>
            <w:r>
              <w:rPr>
                <w:rFonts w:ascii="Times New Roman" w:hAnsi="Times New Roman" w:eastAsia="宋体"/>
                <w:color w:val="auto"/>
                <w:sz w:val="24"/>
                <w:szCs w:val="24"/>
              </w:rPr>
              <w:t>P</w:t>
            </w:r>
            <w:r>
              <w:rPr>
                <w:rFonts w:ascii="Times New Roman" w:hAnsi="Times New Roman" w:eastAsia="宋体"/>
                <w:color w:val="auto"/>
                <w:sz w:val="24"/>
                <w:szCs w:val="24"/>
                <w:vertAlign w:val="subscript"/>
              </w:rPr>
              <w:t>i</w:t>
            </w:r>
            <w:r>
              <w:rPr>
                <w:rFonts w:hint="eastAsia" w:ascii="Times New Roman" w:hAnsi="Times New Roman" w:eastAsia="宋体"/>
                <w:color w:val="auto"/>
                <w:sz w:val="24"/>
                <w:szCs w:val="24"/>
              </w:rPr>
              <w:t>——第</w:t>
            </w:r>
            <w:r>
              <w:rPr>
                <w:rFonts w:ascii="Times New Roman" w:hAnsi="Times New Roman" w:eastAsia="宋体"/>
                <w:color w:val="auto"/>
                <w:sz w:val="24"/>
                <w:szCs w:val="24"/>
              </w:rPr>
              <w:t>i</w:t>
            </w:r>
            <w:r>
              <w:rPr>
                <w:rFonts w:hint="eastAsia" w:ascii="Times New Roman" w:hAnsi="Times New Roman" w:eastAsia="宋体"/>
                <w:color w:val="auto"/>
                <w:sz w:val="24"/>
                <w:szCs w:val="24"/>
              </w:rPr>
              <w:t>个污染物的最大地面质量浓度占标率，</w:t>
            </w:r>
            <w:r>
              <w:rPr>
                <w:rFonts w:ascii="Times New Roman" w:hAnsi="Times New Roman" w:eastAsia="宋体"/>
                <w:color w:val="auto"/>
                <w:sz w:val="24"/>
                <w:szCs w:val="24"/>
              </w:rPr>
              <w:t>%</w:t>
            </w:r>
            <w:r>
              <w:rPr>
                <w:rFonts w:hint="eastAsia" w:ascii="Times New Roman" w:hAnsi="Times New Roman" w:eastAsia="宋体"/>
                <w:color w:val="auto"/>
                <w:sz w:val="24"/>
                <w:szCs w:val="24"/>
              </w:rPr>
              <w:t>；</w:t>
            </w:r>
          </w:p>
          <w:p>
            <w:pPr>
              <w:spacing w:line="360" w:lineRule="auto"/>
              <w:ind w:firstLine="1200" w:firstLineChars="500"/>
              <w:jc w:val="left"/>
              <w:rPr>
                <w:rFonts w:ascii="Times New Roman" w:hAnsi="Times New Roman" w:eastAsia="宋体"/>
                <w:color w:val="auto"/>
                <w:sz w:val="24"/>
                <w:szCs w:val="24"/>
              </w:rPr>
            </w:pPr>
            <w:r>
              <w:rPr>
                <w:rFonts w:ascii="Times New Roman" w:hAnsi="Times New Roman" w:eastAsia="宋体"/>
                <w:color w:val="auto"/>
                <w:sz w:val="24"/>
                <w:szCs w:val="24"/>
              </w:rPr>
              <w:t>C</w:t>
            </w:r>
            <w:r>
              <w:rPr>
                <w:rFonts w:ascii="Times New Roman" w:hAnsi="Times New Roman" w:eastAsia="宋体"/>
                <w:color w:val="auto"/>
                <w:sz w:val="24"/>
                <w:szCs w:val="24"/>
                <w:vertAlign w:val="subscript"/>
              </w:rPr>
              <w:t>i</w:t>
            </w:r>
            <w:r>
              <w:rPr>
                <w:rFonts w:hint="eastAsia" w:ascii="Times New Roman" w:hAnsi="Times New Roman" w:eastAsia="宋体"/>
                <w:color w:val="auto"/>
                <w:sz w:val="24"/>
                <w:szCs w:val="24"/>
              </w:rPr>
              <w:t>——采用估算模式计算出的第</w:t>
            </w:r>
            <w:r>
              <w:rPr>
                <w:rFonts w:ascii="Times New Roman" w:hAnsi="Times New Roman" w:eastAsia="宋体"/>
                <w:color w:val="auto"/>
                <w:sz w:val="24"/>
                <w:szCs w:val="24"/>
              </w:rPr>
              <w:t>i</w:t>
            </w:r>
            <w:r>
              <w:rPr>
                <w:rFonts w:hint="eastAsia" w:ascii="Times New Roman" w:hAnsi="Times New Roman" w:eastAsia="宋体"/>
                <w:color w:val="auto"/>
                <w:sz w:val="24"/>
                <w:szCs w:val="24"/>
              </w:rPr>
              <w:t>个污染物的最大地面质量浓度，</w:t>
            </w:r>
            <w:r>
              <w:rPr>
                <w:rFonts w:ascii="Times New Roman" w:hAnsi="Times New Roman" w:eastAsia="宋体"/>
                <w:color w:val="auto"/>
                <w:sz w:val="24"/>
                <w:szCs w:val="24"/>
              </w:rPr>
              <w:t>mg/m</w:t>
            </w:r>
            <w:r>
              <w:rPr>
                <w:rFonts w:ascii="Times New Roman" w:hAnsi="Times New Roman" w:eastAsia="宋体"/>
                <w:color w:val="auto"/>
                <w:sz w:val="24"/>
                <w:szCs w:val="24"/>
                <w:vertAlign w:val="superscript"/>
              </w:rPr>
              <w:t>3</w:t>
            </w:r>
            <w:r>
              <w:rPr>
                <w:rFonts w:hint="eastAsia" w:ascii="Times New Roman" w:hAnsi="Times New Roman" w:eastAsia="宋体"/>
                <w:color w:val="auto"/>
                <w:sz w:val="24"/>
                <w:szCs w:val="24"/>
              </w:rPr>
              <w:t>；</w:t>
            </w:r>
          </w:p>
          <w:p>
            <w:pPr>
              <w:spacing w:line="360" w:lineRule="auto"/>
              <w:ind w:firstLine="1200" w:firstLineChars="500"/>
              <w:jc w:val="left"/>
              <w:rPr>
                <w:rFonts w:ascii="Times New Roman" w:hAnsi="Times New Roman" w:eastAsia="宋体"/>
                <w:color w:val="auto"/>
                <w:sz w:val="24"/>
                <w:szCs w:val="24"/>
              </w:rPr>
            </w:pPr>
            <w:r>
              <w:rPr>
                <w:rFonts w:ascii="Times New Roman" w:hAnsi="Times New Roman" w:eastAsia="宋体"/>
                <w:color w:val="auto"/>
                <w:sz w:val="24"/>
                <w:szCs w:val="24"/>
              </w:rPr>
              <w:t>C</w:t>
            </w:r>
            <w:r>
              <w:rPr>
                <w:rFonts w:ascii="Times New Roman" w:hAnsi="Times New Roman" w:eastAsia="宋体"/>
                <w:color w:val="auto"/>
                <w:sz w:val="24"/>
                <w:szCs w:val="24"/>
                <w:vertAlign w:val="subscript"/>
              </w:rPr>
              <w:t>0i</w:t>
            </w:r>
            <w:r>
              <w:rPr>
                <w:rFonts w:hint="eastAsia" w:ascii="Times New Roman" w:hAnsi="Times New Roman" w:eastAsia="宋体"/>
                <w:color w:val="auto"/>
                <w:sz w:val="24"/>
                <w:szCs w:val="24"/>
              </w:rPr>
              <w:t>——第</w:t>
            </w:r>
            <w:r>
              <w:rPr>
                <w:rFonts w:ascii="Times New Roman" w:hAnsi="Times New Roman" w:eastAsia="宋体"/>
                <w:color w:val="auto"/>
                <w:sz w:val="24"/>
                <w:szCs w:val="24"/>
              </w:rPr>
              <w:t>i</w:t>
            </w:r>
            <w:r>
              <w:rPr>
                <w:rFonts w:hint="eastAsia" w:ascii="Times New Roman" w:hAnsi="Times New Roman" w:eastAsia="宋体"/>
                <w:color w:val="auto"/>
                <w:sz w:val="24"/>
                <w:szCs w:val="24"/>
              </w:rPr>
              <w:t>个污染物的环境空气质量浓度标准，</w:t>
            </w:r>
            <w:r>
              <w:rPr>
                <w:rFonts w:ascii="Times New Roman" w:hAnsi="Times New Roman" w:eastAsia="宋体"/>
                <w:color w:val="auto"/>
                <w:sz w:val="24"/>
                <w:szCs w:val="24"/>
              </w:rPr>
              <w:t>mg/m</w:t>
            </w:r>
            <w:r>
              <w:rPr>
                <w:rFonts w:ascii="Times New Roman" w:hAnsi="Times New Roman" w:eastAsia="宋体"/>
                <w:color w:val="auto"/>
                <w:sz w:val="24"/>
                <w:szCs w:val="24"/>
                <w:vertAlign w:val="superscript"/>
              </w:rPr>
              <w:t>3</w:t>
            </w:r>
            <w:r>
              <w:rPr>
                <w:rFonts w:hint="eastAsia" w:ascii="Times New Roman" w:hAnsi="Times New Roman" w:eastAsia="宋体"/>
                <w:color w:val="auto"/>
                <w:sz w:val="24"/>
                <w:szCs w:val="24"/>
              </w:rPr>
              <w:t>。</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5</w:t>
            </w:r>
            <w:r>
              <w:rPr>
                <w:rFonts w:hint="eastAsia" w:ascii="Times New Roman" w:hAnsi="Times New Roman" w:eastAsia="宋体"/>
                <w:bCs/>
                <w:color w:val="auto"/>
                <w:sz w:val="24"/>
                <w:szCs w:val="24"/>
              </w:rPr>
              <w:t>）评价标准</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《环境影响评价技术导则</w:t>
            </w:r>
            <w:r>
              <w:rPr>
                <w:rFonts w:ascii="Times New Roman" w:hAnsi="Times New Roman" w:eastAsia="宋体"/>
                <w:color w:val="auto"/>
                <w:sz w:val="24"/>
                <w:szCs w:val="24"/>
              </w:rPr>
              <w:t xml:space="preserve"> </w:t>
            </w:r>
            <w:r>
              <w:rPr>
                <w:rFonts w:hint="eastAsia" w:ascii="Times New Roman" w:hAnsi="Times New Roman" w:eastAsia="宋体"/>
                <w:color w:val="auto"/>
                <w:sz w:val="24"/>
                <w:szCs w:val="24"/>
              </w:rPr>
              <w:t>大气环境》（</w:t>
            </w:r>
            <w:r>
              <w:rPr>
                <w:rFonts w:ascii="Times New Roman" w:hAnsi="Times New Roman" w:eastAsia="宋体"/>
                <w:color w:val="auto"/>
                <w:sz w:val="24"/>
                <w:szCs w:val="24"/>
              </w:rPr>
              <w:t>HJ2.2-2008</w:t>
            </w:r>
            <w:r>
              <w:rPr>
                <w:rFonts w:hint="eastAsia" w:ascii="Times New Roman" w:hAnsi="Times New Roman" w:eastAsia="宋体"/>
                <w:color w:val="auto"/>
                <w:sz w:val="24"/>
                <w:szCs w:val="24"/>
              </w:rPr>
              <w:t>）、《大气污染物综合排放标准》（</w:t>
            </w:r>
            <w:r>
              <w:rPr>
                <w:rFonts w:ascii="Times New Roman" w:hAnsi="Times New Roman" w:eastAsia="宋体"/>
                <w:color w:val="auto"/>
                <w:sz w:val="24"/>
                <w:szCs w:val="24"/>
              </w:rPr>
              <w:t>GB16</w:t>
            </w:r>
            <w:r>
              <w:rPr>
                <w:rFonts w:hint="eastAsia"/>
                <w:color w:val="auto"/>
                <w:sz w:val="24"/>
                <w:szCs w:val="24"/>
                <w:lang w:eastAsia="zh-CN"/>
              </w:rPr>
              <w:t>151</w:t>
            </w:r>
            <w:r>
              <w:rPr>
                <w:rFonts w:ascii="Times New Roman" w:hAnsi="Times New Roman" w:eastAsia="宋体"/>
                <w:color w:val="auto"/>
                <w:sz w:val="24"/>
                <w:szCs w:val="24"/>
              </w:rPr>
              <w:t>-1996</w:t>
            </w:r>
            <w:r>
              <w:rPr>
                <w:rFonts w:hint="eastAsia" w:ascii="Times New Roman" w:hAnsi="Times New Roman" w:eastAsia="宋体"/>
                <w:color w:val="auto"/>
                <w:sz w:val="24"/>
                <w:szCs w:val="24"/>
              </w:rPr>
              <w:t>）。</w:t>
            </w:r>
          </w:p>
          <w:p>
            <w:pPr>
              <w:spacing w:line="360" w:lineRule="auto"/>
              <w:ind w:firstLine="480" w:firstLineChars="200"/>
              <w:jc w:val="left"/>
              <w:rPr>
                <w:rFonts w:ascii="Times New Roman" w:hAnsi="Times New Roman" w:eastAsia="宋体"/>
                <w:bCs/>
                <w:color w:val="auto"/>
                <w:sz w:val="24"/>
                <w:szCs w:val="24"/>
              </w:rPr>
            </w:pPr>
            <w:r>
              <w:rPr>
                <w:rFonts w:hint="eastAsia" w:ascii="Times New Roman" w:hAnsi="Times New Roman" w:eastAsia="宋体"/>
                <w:bCs/>
                <w:color w:val="auto"/>
                <w:sz w:val="24"/>
                <w:szCs w:val="24"/>
              </w:rPr>
              <w:t>（</w:t>
            </w:r>
            <w:r>
              <w:rPr>
                <w:rFonts w:ascii="Times New Roman" w:hAnsi="Times New Roman" w:eastAsia="宋体"/>
                <w:bCs/>
                <w:color w:val="auto"/>
                <w:sz w:val="24"/>
                <w:szCs w:val="24"/>
              </w:rPr>
              <w:t>6</w:t>
            </w:r>
            <w:r>
              <w:rPr>
                <w:rFonts w:hint="eastAsia" w:ascii="Times New Roman" w:hAnsi="Times New Roman" w:eastAsia="宋体"/>
                <w:bCs/>
                <w:color w:val="auto"/>
                <w:sz w:val="24"/>
                <w:szCs w:val="24"/>
              </w:rPr>
              <w:t>）评价结果及分析</w:t>
            </w:r>
          </w:p>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特征污染物评价结果详见下表。</w:t>
            </w:r>
          </w:p>
          <w:p>
            <w:pPr>
              <w:jc w:val="center"/>
              <w:rPr>
                <w:rFonts w:ascii="Times New Roman" w:hAnsi="Times New Roman" w:eastAsia="宋体"/>
                <w:b/>
                <w:bCs/>
                <w:color w:val="auto"/>
                <w:sz w:val="21"/>
                <w:szCs w:val="21"/>
              </w:rPr>
            </w:pPr>
            <w:r>
              <w:rPr>
                <w:rFonts w:hint="eastAsia" w:ascii="Times New Roman" w:hAnsi="Times New Roman" w:eastAsia="宋体"/>
                <w:b/>
                <w:bCs/>
                <w:color w:val="auto"/>
                <w:sz w:val="21"/>
                <w:szCs w:val="21"/>
              </w:rPr>
              <w:t>表</w:t>
            </w:r>
            <w:r>
              <w:rPr>
                <w:rFonts w:hint="eastAsia"/>
                <w:b/>
                <w:bCs/>
                <w:color w:val="auto"/>
                <w:sz w:val="21"/>
                <w:szCs w:val="21"/>
                <w:lang w:val="en-US" w:eastAsia="zh-CN"/>
              </w:rPr>
              <w:t>3-4</w:t>
            </w:r>
            <w:r>
              <w:rPr>
                <w:rFonts w:hint="eastAsia" w:ascii="Times New Roman" w:hAnsi="Times New Roman" w:eastAsia="宋体"/>
                <w:b/>
                <w:bCs/>
                <w:color w:val="auto"/>
                <w:sz w:val="21"/>
                <w:szCs w:val="21"/>
                <w:lang w:val="en-US" w:eastAsia="zh-CN"/>
              </w:rPr>
              <w:t xml:space="preserve"> </w:t>
            </w:r>
            <w:r>
              <w:rPr>
                <w:rFonts w:ascii="Times New Roman" w:hAnsi="Times New Roman" w:eastAsia="宋体"/>
                <w:b/>
                <w:bCs/>
                <w:color w:val="auto"/>
                <w:sz w:val="21"/>
                <w:szCs w:val="21"/>
              </w:rPr>
              <w:t xml:space="preserve"> </w:t>
            </w:r>
            <w:r>
              <w:rPr>
                <w:rFonts w:hint="eastAsia" w:ascii="Times New Roman" w:hAnsi="Times New Roman" w:eastAsia="宋体"/>
                <w:b/>
                <w:bCs/>
                <w:color w:val="auto"/>
                <w:sz w:val="21"/>
                <w:szCs w:val="21"/>
              </w:rPr>
              <w:t>特征污染物环境质量现状（监测结果）表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6" w:type="dxa"/>
                <w:bottom w:w="0" w:type="dxa"/>
                <w:right w:w="6" w:type="dxa"/>
              </w:tblCellMar>
            </w:tblPr>
            <w:tblGrid>
              <w:gridCol w:w="668"/>
              <w:gridCol w:w="1160"/>
              <w:gridCol w:w="1063"/>
              <w:gridCol w:w="635"/>
              <w:gridCol w:w="913"/>
              <w:gridCol w:w="913"/>
              <w:gridCol w:w="913"/>
              <w:gridCol w:w="780"/>
              <w:gridCol w:w="469"/>
              <w:gridCol w:w="4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cantSplit/>
                <w:tblHeader/>
                <w:jc w:val="center"/>
              </w:trPr>
              <w:tc>
                <w:tcPr>
                  <w:tcW w:w="419"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监测点名称</w:t>
                  </w:r>
                </w:p>
              </w:tc>
              <w:tc>
                <w:tcPr>
                  <w:tcW w:w="1393" w:type="pct"/>
                  <w:gridSpan w:val="2"/>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监测点坐标</w:t>
                  </w:r>
                </w:p>
              </w:tc>
              <w:tc>
                <w:tcPr>
                  <w:tcW w:w="398"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污染物</w:t>
                  </w:r>
                </w:p>
              </w:tc>
              <w:tc>
                <w:tcPr>
                  <w:tcW w:w="572"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平均时间</w:t>
                  </w:r>
                </w:p>
              </w:tc>
              <w:tc>
                <w:tcPr>
                  <w:tcW w:w="572"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评价标准</w:t>
                  </w:r>
                  <w:r>
                    <w:rPr>
                      <w:rFonts w:ascii="Times New Roman" w:hAnsi="Times New Roman" w:eastAsia="宋体"/>
                      <w:color w:val="auto"/>
                      <w:sz w:val="21"/>
                      <w:szCs w:val="21"/>
                    </w:rPr>
                    <w:t>/</w:t>
                  </w:r>
                  <w:r>
                    <w:rPr>
                      <w:rFonts w:hint="eastAsia" w:ascii="Times New Roman" w:hAnsi="Times New Roman" w:eastAsia="宋体"/>
                      <w:color w:val="auto"/>
                      <w:sz w:val="21"/>
                      <w:szCs w:val="21"/>
                    </w:rPr>
                    <w:t>（</w:t>
                  </w:r>
                  <w:r>
                    <w:rPr>
                      <w:rFonts w:ascii="Times New Roman" w:hAnsi="Times New Roman" w:eastAsia="宋体"/>
                      <w:color w:val="auto"/>
                      <w:sz w:val="21"/>
                      <w:szCs w:val="21"/>
                    </w:rPr>
                    <w:t>μg/m</w:t>
                  </w:r>
                  <w:r>
                    <w:rPr>
                      <w:rFonts w:ascii="Times New Roman" w:hAnsi="Times New Roman" w:eastAsia="宋体"/>
                      <w:color w:val="auto"/>
                      <w:sz w:val="21"/>
                      <w:szCs w:val="21"/>
                      <w:vertAlign w:val="superscript"/>
                    </w:rPr>
                    <w:t>3</w:t>
                  </w:r>
                  <w:r>
                    <w:rPr>
                      <w:rFonts w:hint="eastAsia" w:ascii="Times New Roman" w:hAnsi="Times New Roman" w:eastAsia="宋体"/>
                      <w:color w:val="auto"/>
                      <w:sz w:val="21"/>
                      <w:szCs w:val="21"/>
                    </w:rPr>
                    <w:t>）</w:t>
                  </w:r>
                </w:p>
              </w:tc>
              <w:tc>
                <w:tcPr>
                  <w:tcW w:w="572"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监测浓度范围（</w:t>
                  </w:r>
                  <w:r>
                    <w:rPr>
                      <w:rFonts w:ascii="Times New Roman" w:hAnsi="Times New Roman" w:eastAsia="宋体"/>
                      <w:color w:val="auto"/>
                      <w:sz w:val="21"/>
                      <w:szCs w:val="21"/>
                    </w:rPr>
                    <w:t>μg/m</w:t>
                  </w:r>
                  <w:r>
                    <w:rPr>
                      <w:rFonts w:ascii="Times New Roman" w:hAnsi="Times New Roman" w:eastAsia="宋体"/>
                      <w:color w:val="auto"/>
                      <w:sz w:val="21"/>
                      <w:szCs w:val="21"/>
                      <w:vertAlign w:val="superscript"/>
                    </w:rPr>
                    <w:t>3</w:t>
                  </w:r>
                  <w:r>
                    <w:rPr>
                      <w:rFonts w:hint="eastAsia" w:ascii="Times New Roman" w:hAnsi="Times New Roman" w:eastAsia="宋体"/>
                      <w:color w:val="auto"/>
                      <w:sz w:val="21"/>
                      <w:szCs w:val="21"/>
                    </w:rPr>
                    <w:t>）</w:t>
                  </w:r>
                </w:p>
              </w:tc>
              <w:tc>
                <w:tcPr>
                  <w:tcW w:w="489"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最大浓度占标率</w:t>
                  </w:r>
                  <w:r>
                    <w:rPr>
                      <w:rFonts w:ascii="Times New Roman" w:hAnsi="Times New Roman" w:eastAsia="宋体"/>
                      <w:color w:val="auto"/>
                      <w:sz w:val="21"/>
                      <w:szCs w:val="21"/>
                    </w:rPr>
                    <w:t>/%</w:t>
                  </w:r>
                </w:p>
              </w:tc>
              <w:tc>
                <w:tcPr>
                  <w:tcW w:w="294"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超标率</w:t>
                  </w:r>
                  <w:r>
                    <w:rPr>
                      <w:rFonts w:ascii="Times New Roman" w:hAnsi="Times New Roman" w:eastAsia="宋体"/>
                      <w:color w:val="auto"/>
                      <w:sz w:val="21"/>
                      <w:szCs w:val="21"/>
                    </w:rPr>
                    <w:t>/%</w:t>
                  </w:r>
                </w:p>
              </w:tc>
              <w:tc>
                <w:tcPr>
                  <w:tcW w:w="288" w:type="pct"/>
                  <w:vMerge w:val="restar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cantSplit/>
                <w:tblHeader/>
                <w:jc w:val="center"/>
              </w:trPr>
              <w:tc>
                <w:tcPr>
                  <w:tcW w:w="419"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727" w:type="pct"/>
                  <w:tcBorders>
                    <w:tl2br w:val="nil"/>
                    <w:tr2bl w:val="nil"/>
                  </w:tcBorders>
                  <w:vAlign w:val="center"/>
                </w:tcPr>
                <w:p>
                  <w:pPr>
                    <w:tabs>
                      <w:tab w:val="left" w:pos="540"/>
                      <w:tab w:val="left" w:pos="4095"/>
                    </w:tabs>
                    <w:topLinePunct/>
                    <w:adjustRightInd w:val="0"/>
                    <w:snapToGrid w:val="0"/>
                    <w:jc w:val="center"/>
                    <w:rPr>
                      <w:rFonts w:ascii="Times New Roman" w:hAnsi="Times New Roman" w:eastAsia="宋体"/>
                      <w:color w:val="auto"/>
                      <w:sz w:val="21"/>
                      <w:szCs w:val="21"/>
                    </w:rPr>
                  </w:pPr>
                  <w:r>
                    <w:rPr>
                      <w:rFonts w:ascii="Times New Roman" w:hAnsi="Times New Roman" w:eastAsia="宋体"/>
                      <w:color w:val="auto"/>
                      <w:sz w:val="21"/>
                      <w:szCs w:val="21"/>
                    </w:rPr>
                    <w:t>X</w:t>
                  </w:r>
                </w:p>
              </w:tc>
              <w:tc>
                <w:tcPr>
                  <w:tcW w:w="665" w:type="pct"/>
                  <w:tcBorders>
                    <w:tl2br w:val="nil"/>
                    <w:tr2bl w:val="nil"/>
                  </w:tcBorders>
                  <w:vAlign w:val="center"/>
                </w:tcPr>
                <w:p>
                  <w:pPr>
                    <w:jc w:val="center"/>
                    <w:rPr>
                      <w:rFonts w:ascii="Times New Roman" w:hAnsi="Times New Roman" w:eastAsia="宋体"/>
                      <w:color w:val="auto"/>
                      <w:sz w:val="21"/>
                      <w:szCs w:val="21"/>
                    </w:rPr>
                  </w:pPr>
                  <w:r>
                    <w:rPr>
                      <w:rFonts w:ascii="Times New Roman" w:hAnsi="Times New Roman" w:eastAsia="宋体"/>
                      <w:color w:val="auto"/>
                      <w:sz w:val="21"/>
                      <w:szCs w:val="21"/>
                    </w:rPr>
                    <w:t>Y</w:t>
                  </w:r>
                </w:p>
              </w:tc>
              <w:tc>
                <w:tcPr>
                  <w:tcW w:w="398"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572"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572"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572"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489"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294" w:type="pct"/>
                  <w:vMerge w:val="continue"/>
                  <w:tcBorders>
                    <w:tl2br w:val="nil"/>
                    <w:tr2bl w:val="nil"/>
                  </w:tcBorders>
                  <w:vAlign w:val="center"/>
                </w:tcPr>
                <w:p>
                  <w:pPr>
                    <w:widowControl/>
                    <w:jc w:val="left"/>
                    <w:rPr>
                      <w:rFonts w:ascii="Times New Roman" w:hAnsi="Times New Roman" w:eastAsia="宋体"/>
                      <w:color w:val="auto"/>
                      <w:sz w:val="21"/>
                      <w:szCs w:val="21"/>
                    </w:rPr>
                  </w:pPr>
                </w:p>
              </w:tc>
              <w:tc>
                <w:tcPr>
                  <w:tcW w:w="288" w:type="pct"/>
                  <w:vMerge w:val="continue"/>
                  <w:tcBorders>
                    <w:tl2br w:val="nil"/>
                    <w:tr2bl w:val="nil"/>
                  </w:tcBorders>
                  <w:vAlign w:val="center"/>
                </w:tcPr>
                <w:p>
                  <w:pPr>
                    <w:widowControl/>
                    <w:jc w:val="left"/>
                    <w:rPr>
                      <w:rFonts w:ascii="Times New Roman" w:hAnsi="Times New Roman" w:eastAsia="宋体"/>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6" w:type="dxa"/>
                  <w:bottom w:w="0" w:type="dxa"/>
                  <w:right w:w="6" w:type="dxa"/>
                </w:tblCellMar>
              </w:tblPrEx>
              <w:trPr>
                <w:cantSplit/>
                <w:trHeight w:val="209" w:hRule="atLeast"/>
                <w:tblHeader/>
                <w:jc w:val="center"/>
              </w:trPr>
              <w:tc>
                <w:tcPr>
                  <w:tcW w:w="642" w:type="dxa"/>
                  <w:tcBorders>
                    <w:tl2br w:val="nil"/>
                    <w:tr2bl w:val="nil"/>
                  </w:tcBorders>
                  <w:vAlign w:val="center"/>
                </w:tcPr>
                <w:p>
                  <w:pPr>
                    <w:autoSpaceDE w:val="0"/>
                    <w:autoSpaceDN w:val="0"/>
                    <w:adjustRightInd w:val="0"/>
                    <w:jc w:val="center"/>
                    <w:textAlignment w:val="baseline"/>
                    <w:rPr>
                      <w:rFonts w:hint="default" w:ascii="Times New Roman" w:hAnsi="Times New Roman" w:eastAsia="宋体"/>
                      <w:color w:val="auto"/>
                      <w:sz w:val="21"/>
                      <w:szCs w:val="21"/>
                      <w:lang w:val="en-US" w:eastAsia="zh-CN"/>
                    </w:rPr>
                  </w:pPr>
                  <w:r>
                    <w:rPr>
                      <w:rFonts w:hint="eastAsia"/>
                      <w:color w:val="auto"/>
                      <w:sz w:val="21"/>
                      <w:szCs w:val="21"/>
                      <w:lang w:val="en-US" w:eastAsia="zh-CN"/>
                    </w:rPr>
                    <w:t>小西屯</w:t>
                  </w:r>
                </w:p>
              </w:tc>
              <w:tc>
                <w:tcPr>
                  <w:tcW w:w="1220" w:type="dxa"/>
                  <w:tcBorders>
                    <w:tl2br w:val="nil"/>
                    <w:tr2bl w:val="nil"/>
                  </w:tcBorders>
                  <w:vAlign w:val="center"/>
                </w:tcPr>
                <w:p>
                  <w:pPr>
                    <w:adjustRightInd w:val="0"/>
                    <w:snapToGrid w:val="0"/>
                    <w:spacing w:line="0" w:lineRule="atLeast"/>
                    <w:jc w:val="center"/>
                    <w:rPr>
                      <w:rFonts w:ascii="Times New Roman" w:hAnsi="Times New Roman" w:eastAsia="宋体" w:cs="宋体"/>
                      <w:snapToGrid w:val="0"/>
                      <w:color w:val="auto"/>
                      <w:sz w:val="21"/>
                      <w:szCs w:val="21"/>
                    </w:rPr>
                  </w:pPr>
                  <w:r>
                    <w:rPr>
                      <w:rFonts w:hint="eastAsia" w:cs="宋体"/>
                      <w:snapToGrid w:val="0"/>
                      <w:color w:val="auto"/>
                      <w:kern w:val="0"/>
                      <w:sz w:val="21"/>
                      <w:szCs w:val="21"/>
                      <w:lang w:val="en-US" w:eastAsia="zh-CN"/>
                    </w:rPr>
                    <w:t>125.4225</w:t>
                  </w:r>
                </w:p>
              </w:tc>
              <w:tc>
                <w:tcPr>
                  <w:tcW w:w="1115" w:type="dxa"/>
                  <w:tcBorders>
                    <w:tl2br w:val="nil"/>
                    <w:tr2bl w:val="nil"/>
                  </w:tcBorders>
                  <w:vAlign w:val="center"/>
                </w:tcPr>
                <w:p>
                  <w:pPr>
                    <w:adjustRightInd w:val="0"/>
                    <w:snapToGrid w:val="0"/>
                    <w:spacing w:line="0" w:lineRule="atLeast"/>
                    <w:jc w:val="center"/>
                    <w:rPr>
                      <w:rFonts w:ascii="Times New Roman" w:hAnsi="Times New Roman" w:eastAsia="宋体" w:cs="宋体"/>
                      <w:snapToGrid w:val="0"/>
                      <w:color w:val="auto"/>
                      <w:sz w:val="21"/>
                      <w:szCs w:val="21"/>
                    </w:rPr>
                  </w:pPr>
                  <w:r>
                    <w:rPr>
                      <w:rFonts w:hint="eastAsia" w:ascii="Times New Roman" w:hAnsi="Times New Roman" w:eastAsia="宋体" w:cs="宋体"/>
                      <w:snapToGrid w:val="0"/>
                      <w:color w:val="auto"/>
                      <w:kern w:val="0"/>
                      <w:sz w:val="21"/>
                      <w:szCs w:val="21"/>
                      <w:lang w:val="en-US" w:eastAsia="zh-CN"/>
                    </w:rPr>
                    <w:t>44.0384</w:t>
                  </w:r>
                </w:p>
              </w:tc>
              <w:tc>
                <w:tcPr>
                  <w:tcW w:w="398"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TSP</w:t>
                  </w:r>
                </w:p>
              </w:tc>
              <w:tc>
                <w:tcPr>
                  <w:tcW w:w="572"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日均值</w:t>
                  </w:r>
                </w:p>
              </w:tc>
              <w:tc>
                <w:tcPr>
                  <w:tcW w:w="572"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300</w:t>
                  </w:r>
                </w:p>
              </w:tc>
              <w:tc>
                <w:tcPr>
                  <w:tcW w:w="572"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88-112</w:t>
                  </w:r>
                </w:p>
              </w:tc>
              <w:tc>
                <w:tcPr>
                  <w:tcW w:w="489"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37</w:t>
                  </w:r>
                </w:p>
              </w:tc>
              <w:tc>
                <w:tcPr>
                  <w:tcW w:w="294"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0</w:t>
                  </w:r>
                </w:p>
              </w:tc>
              <w:tc>
                <w:tcPr>
                  <w:tcW w:w="288" w:type="pct"/>
                  <w:tcBorders>
                    <w:tl2br w:val="nil"/>
                    <w:tr2bl w:val="nil"/>
                  </w:tcBorders>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达标</w:t>
                  </w:r>
                </w:p>
              </w:tc>
            </w:tr>
          </w:tbl>
          <w:p>
            <w:pPr>
              <w:spacing w:line="360" w:lineRule="auto"/>
              <w:ind w:firstLine="480" w:firstLineChars="200"/>
              <w:jc w:val="left"/>
              <w:rPr>
                <w:rFonts w:ascii="Times New Roman" w:hAnsi="Times New Roman" w:eastAsia="宋体"/>
                <w:color w:val="auto"/>
                <w:sz w:val="24"/>
                <w:szCs w:val="24"/>
              </w:rPr>
            </w:pPr>
            <w:r>
              <w:rPr>
                <w:rFonts w:hint="eastAsia" w:ascii="Times New Roman" w:hAnsi="Times New Roman" w:eastAsia="宋体"/>
                <w:color w:val="auto"/>
                <w:sz w:val="24"/>
                <w:szCs w:val="24"/>
              </w:rPr>
              <w:t>根据上表可以看出，各监测点环境空气的标准指数均小于1，由此可见，拟建项目所在地环境空气质量能满足二级标准要求。</w:t>
            </w:r>
          </w:p>
          <w:p>
            <w:pPr>
              <w:spacing w:line="360" w:lineRule="auto"/>
              <w:jc w:val="left"/>
              <w:rPr>
                <w:rFonts w:ascii="Times New Roman" w:hAnsi="Times New Roman" w:eastAsia="宋体"/>
                <w:b/>
                <w:sz w:val="24"/>
                <w:szCs w:val="24"/>
              </w:rPr>
            </w:pPr>
            <w:r>
              <w:rPr>
                <w:rFonts w:hint="eastAsia" w:ascii="Times New Roman" w:hAnsi="Times New Roman" w:eastAsia="宋体"/>
                <w:b/>
                <w:sz w:val="24"/>
                <w:szCs w:val="24"/>
              </w:rPr>
              <w:t>三</w:t>
            </w:r>
            <w:r>
              <w:rPr>
                <w:rFonts w:ascii="Times New Roman" w:hAnsi="Times New Roman" w:eastAsia="宋体"/>
                <w:b/>
                <w:sz w:val="24"/>
                <w:szCs w:val="24"/>
              </w:rPr>
              <w:t>、</w:t>
            </w:r>
            <w:r>
              <w:rPr>
                <w:rFonts w:hint="eastAsia" w:ascii="Times New Roman" w:hAnsi="Times New Roman" w:eastAsia="宋体"/>
                <w:b/>
                <w:sz w:val="24"/>
                <w:szCs w:val="24"/>
              </w:rPr>
              <w:t>声环境质量现状监测与评价</w:t>
            </w:r>
          </w:p>
          <w:p>
            <w:pPr>
              <w:spacing w:line="360" w:lineRule="auto"/>
              <w:ind w:firstLine="480" w:firstLineChars="200"/>
              <w:jc w:val="left"/>
              <w:rPr>
                <w:rFonts w:ascii="Times New Roman" w:hAnsi="Times New Roman" w:eastAsia="宋体"/>
                <w:sz w:val="24"/>
                <w:szCs w:val="24"/>
              </w:rPr>
            </w:pPr>
            <w:r>
              <w:rPr>
                <w:rFonts w:hint="eastAsia" w:ascii="Times New Roman" w:hAnsi="Times New Roman" w:eastAsia="宋体"/>
                <w:sz w:val="24"/>
                <w:szCs w:val="24"/>
              </w:rPr>
              <w:t>根据《建设项目环境影响报告表编制技术指南（污染影响类）（试行）》（环办环评[2020]33号），本项目厂界外周边50米范围内不存在声环境保护目标，因此无需监测声环境质量现状并评价达标情况。</w:t>
            </w:r>
          </w:p>
          <w:p>
            <w:pPr>
              <w:spacing w:line="360" w:lineRule="auto"/>
              <w:rPr>
                <w:rFonts w:ascii="Times New Roman" w:hAnsi="Times New Roman" w:eastAsia="宋体"/>
                <w:b/>
                <w:sz w:val="24"/>
                <w:szCs w:val="24"/>
              </w:rPr>
            </w:pPr>
            <w:r>
              <w:rPr>
                <w:rFonts w:hint="eastAsia" w:ascii="Times New Roman" w:hAnsi="Times New Roman" w:eastAsia="宋体"/>
                <w:b/>
                <w:sz w:val="24"/>
                <w:szCs w:val="24"/>
              </w:rPr>
              <w:t>四、土壤环境质量现状监测与评价</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根据《环境影响评价技术导则</w:t>
            </w:r>
            <w:r>
              <w:rPr>
                <w:rFonts w:ascii="Times New Roman" w:hAnsi="Times New Roman" w:eastAsia="宋体"/>
                <w:sz w:val="24"/>
                <w:szCs w:val="24"/>
              </w:rPr>
              <w:t>-</w:t>
            </w:r>
            <w:r>
              <w:rPr>
                <w:rFonts w:hint="eastAsia" w:ascii="Times New Roman" w:hAnsi="Times New Roman" w:eastAsia="宋体"/>
                <w:sz w:val="24"/>
                <w:szCs w:val="24"/>
              </w:rPr>
              <w:t>土壤环境（试行）》（</w:t>
            </w:r>
            <w:r>
              <w:rPr>
                <w:rFonts w:ascii="Times New Roman" w:hAnsi="Times New Roman" w:eastAsia="宋体"/>
                <w:sz w:val="24"/>
                <w:szCs w:val="24"/>
              </w:rPr>
              <w:t>HJ964-2018</w:t>
            </w:r>
            <w:r>
              <w:rPr>
                <w:rFonts w:hint="eastAsia" w:ascii="Times New Roman" w:hAnsi="Times New Roman" w:eastAsia="宋体"/>
                <w:sz w:val="24"/>
                <w:szCs w:val="24"/>
              </w:rPr>
              <w:t>）本项目为Ⅳ类项目，可不开展土壤环境影响评价。</w:t>
            </w:r>
          </w:p>
          <w:p>
            <w:pPr>
              <w:spacing w:line="360" w:lineRule="auto"/>
              <w:rPr>
                <w:rFonts w:ascii="Times New Roman" w:hAnsi="Times New Roman" w:eastAsia="宋体"/>
                <w:b/>
                <w:sz w:val="24"/>
                <w:szCs w:val="24"/>
              </w:rPr>
            </w:pPr>
            <w:r>
              <w:rPr>
                <w:rFonts w:hint="eastAsia" w:ascii="Times New Roman" w:hAnsi="Times New Roman" w:eastAsia="宋体"/>
                <w:b/>
                <w:sz w:val="24"/>
                <w:szCs w:val="24"/>
              </w:rPr>
              <w:t>五</w:t>
            </w:r>
            <w:r>
              <w:rPr>
                <w:rFonts w:ascii="Times New Roman" w:hAnsi="Times New Roman" w:eastAsia="宋体"/>
                <w:b/>
                <w:sz w:val="24"/>
                <w:szCs w:val="24"/>
              </w:rPr>
              <w:t>、</w:t>
            </w:r>
            <w:r>
              <w:rPr>
                <w:rFonts w:hint="eastAsia" w:ascii="Times New Roman" w:hAnsi="Times New Roman" w:eastAsia="宋体"/>
                <w:b/>
                <w:sz w:val="24"/>
                <w:szCs w:val="24"/>
              </w:rPr>
              <w:t>地下水环境质量现状监测与评价</w:t>
            </w:r>
          </w:p>
          <w:p>
            <w:pPr>
              <w:tabs>
                <w:tab w:val="left" w:pos="2420"/>
              </w:tabs>
              <w:spacing w:line="360" w:lineRule="auto"/>
              <w:ind w:firstLine="480" w:firstLineChars="200"/>
              <w:rPr>
                <w:rFonts w:ascii="Times New Roman" w:hAnsi="Times New Roman" w:eastAsia="宋体"/>
                <w:sz w:val="24"/>
                <w:szCs w:val="21"/>
              </w:rPr>
            </w:pPr>
            <w:r>
              <w:rPr>
                <w:rFonts w:hint="eastAsia" w:ascii="Times New Roman" w:hAnsi="Times New Roman" w:eastAsia="宋体"/>
                <w:sz w:val="24"/>
                <w:szCs w:val="24"/>
              </w:rPr>
              <w:t>根据《环境影响评价技术导则-地下水环境》（HJ610-2016）本项目为Ⅳ类项目，可不开展地下水环境影响评价。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环境</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保护</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目标</w:t>
            </w:r>
          </w:p>
        </w:tc>
        <w:tc>
          <w:tcPr>
            <w:tcW w:w="8190" w:type="dxa"/>
          </w:tcPr>
          <w:p>
            <w:pPr>
              <w:spacing w:before="60" w:beforeLines="25"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根据《建设项目环境影响报告表编制技术指南》（污染影响类），调查了项目厂界外500米范围内区域环境保护目标情况。</w:t>
            </w:r>
          </w:p>
          <w:p>
            <w:pPr>
              <w:adjustRightInd w:val="0"/>
              <w:snapToGrid w:val="0"/>
              <w:spacing w:line="360" w:lineRule="auto"/>
              <w:ind w:firstLine="480" w:firstLineChars="200"/>
              <w:rPr>
                <w:rFonts w:hint="default" w:ascii="Times New Roman" w:hAnsi="Times New Roman" w:eastAsia="宋体"/>
                <w:kern w:val="0"/>
                <w:sz w:val="24"/>
                <w:szCs w:val="21"/>
                <w:lang w:val="en-US" w:eastAsia="zh-CN"/>
              </w:rPr>
            </w:pPr>
            <w:r>
              <w:rPr>
                <w:rFonts w:hint="eastAsia" w:ascii="Times New Roman" w:hAnsi="Times New Roman" w:eastAsia="宋体" w:cs="宋体"/>
                <w:sz w:val="24"/>
                <w:szCs w:val="24"/>
              </w:rPr>
              <w:t>经调查，距离本项目最近敏感点为位于项目东北侧</w:t>
            </w:r>
            <w:r>
              <w:rPr>
                <w:rFonts w:hint="eastAsia" w:cs="宋体"/>
                <w:sz w:val="24"/>
                <w:szCs w:val="24"/>
                <w:lang w:val="en-US" w:eastAsia="zh-CN"/>
              </w:rPr>
              <w:t>1852</w:t>
            </w:r>
            <w:r>
              <w:rPr>
                <w:rFonts w:hint="eastAsia" w:ascii="Times New Roman" w:hAnsi="Times New Roman" w:eastAsia="宋体" w:cs="宋体"/>
                <w:sz w:val="24"/>
                <w:szCs w:val="24"/>
              </w:rPr>
              <w:t>m处的</w:t>
            </w:r>
            <w:r>
              <w:rPr>
                <w:rFonts w:hint="eastAsia" w:cs="宋体"/>
                <w:sz w:val="24"/>
                <w:szCs w:val="24"/>
                <w:lang w:val="en-US" w:eastAsia="zh-CN"/>
              </w:rPr>
              <w:t>小西屯</w:t>
            </w:r>
            <w:r>
              <w:rPr>
                <w:rFonts w:hint="eastAsia" w:ascii="Times New Roman" w:hAnsi="Times New Roman" w:eastAsia="宋体" w:cs="宋体"/>
                <w:sz w:val="24"/>
                <w:szCs w:val="24"/>
              </w:rPr>
              <w:t>，项目厂界外500m范围内无自然保护区、风景名胜区、居住区、文化区和农村地区中人群较集中的区域，无地下水集中式饮用水水源和热水、矿泉水、温泉等特殊地下水资源</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综上所述，本项目没有环境保护目标。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00" w:type="dxa"/>
            <w:tcMar>
              <w:left w:w="28" w:type="dxa"/>
              <w:right w:w="28" w:type="dxa"/>
            </w:tcMar>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污染</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物排</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放控</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制标</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准</w:t>
            </w:r>
          </w:p>
        </w:tc>
        <w:tc>
          <w:tcPr>
            <w:tcW w:w="8190" w:type="dxa"/>
          </w:tcPr>
          <w:p>
            <w:pPr>
              <w:spacing w:line="360" w:lineRule="auto"/>
              <w:jc w:val="left"/>
              <w:rPr>
                <w:rFonts w:ascii="Times New Roman" w:hAnsi="Times New Roman" w:eastAsia="宋体"/>
                <w:b/>
                <w:sz w:val="24"/>
                <w:szCs w:val="24"/>
              </w:rPr>
            </w:pPr>
            <w:r>
              <w:rPr>
                <w:rFonts w:hint="eastAsia" w:ascii="Times New Roman" w:hAnsi="Times New Roman" w:eastAsia="宋体"/>
                <w:b/>
                <w:sz w:val="24"/>
                <w:szCs w:val="24"/>
              </w:rPr>
              <w:t>一、</w:t>
            </w:r>
            <w:r>
              <w:rPr>
                <w:rFonts w:ascii="Times New Roman" w:hAnsi="Times New Roman" w:eastAsia="宋体"/>
                <w:b/>
                <w:sz w:val="24"/>
                <w:szCs w:val="24"/>
              </w:rPr>
              <w:t>废水</w:t>
            </w:r>
          </w:p>
          <w:p>
            <w:pPr>
              <w:pStyle w:val="63"/>
              <w:spacing w:line="360" w:lineRule="auto"/>
              <w:ind w:firstLine="480"/>
              <w:rPr>
                <w:rFonts w:ascii="Times New Roman" w:hAnsi="Times New Roman" w:eastAsia="宋体"/>
                <w:sz w:val="24"/>
                <w:szCs w:val="24"/>
              </w:rPr>
            </w:pPr>
            <w:r>
              <w:rPr>
                <w:rFonts w:hint="eastAsia" w:ascii="Times New Roman" w:hAnsi="Times New Roman" w:eastAsia="宋体"/>
                <w:sz w:val="24"/>
                <w:szCs w:val="24"/>
              </w:rPr>
              <w:t>本项目污水经市政污水管网排入</w:t>
            </w:r>
            <w:r>
              <w:rPr>
                <w:rFonts w:hint="eastAsia"/>
                <w:bCs/>
                <w:color w:val="auto"/>
                <w:sz w:val="24"/>
                <w:u w:val="none"/>
                <w:lang w:val="en-US" w:eastAsia="zh-CN"/>
              </w:rPr>
              <w:t>柏林水务长春高新污水处理有限公司</w:t>
            </w:r>
            <w:r>
              <w:rPr>
                <w:rFonts w:hint="eastAsia" w:ascii="Times New Roman" w:hAnsi="Times New Roman" w:eastAsia="宋体"/>
                <w:sz w:val="24"/>
                <w:szCs w:val="24"/>
              </w:rPr>
              <w:t>，由</w:t>
            </w:r>
            <w:r>
              <w:rPr>
                <w:rFonts w:hint="eastAsia"/>
                <w:bCs/>
                <w:color w:val="auto"/>
                <w:sz w:val="24"/>
                <w:u w:val="none"/>
                <w:lang w:val="en-US" w:eastAsia="zh-CN"/>
              </w:rPr>
              <w:t>柏林水务长春高新污水处理有限公司</w:t>
            </w:r>
            <w:r>
              <w:rPr>
                <w:rFonts w:hint="eastAsia" w:ascii="Times New Roman" w:hAnsi="Times New Roman" w:eastAsia="宋体"/>
                <w:sz w:val="24"/>
                <w:szCs w:val="24"/>
              </w:rPr>
              <w:t>集中处理达标后排入</w:t>
            </w:r>
            <w:r>
              <w:rPr>
                <w:rFonts w:hint="eastAsia"/>
                <w:sz w:val="24"/>
                <w:szCs w:val="24"/>
                <w:lang w:val="en-US" w:eastAsia="zh-CN"/>
              </w:rPr>
              <w:t>伊通河</w:t>
            </w:r>
            <w:r>
              <w:rPr>
                <w:rFonts w:hint="eastAsia" w:ascii="Times New Roman" w:hAnsi="Times New Roman" w:eastAsia="宋体"/>
                <w:sz w:val="24"/>
                <w:szCs w:val="24"/>
              </w:rPr>
              <w:t>，控制本项目水污染物排放满足《污水综合</w:t>
            </w:r>
            <w:r>
              <w:rPr>
                <w:rFonts w:ascii="Times New Roman" w:hAnsi="Times New Roman" w:eastAsia="宋体"/>
                <w:sz w:val="24"/>
                <w:szCs w:val="24"/>
              </w:rPr>
              <w:t>排放标准</w:t>
            </w:r>
            <w:r>
              <w:rPr>
                <w:rFonts w:hint="eastAsia" w:ascii="Times New Roman" w:hAnsi="Times New Roman" w:eastAsia="宋体"/>
                <w:sz w:val="24"/>
                <w:szCs w:val="24"/>
              </w:rPr>
              <w:t>》（</w:t>
            </w:r>
            <w:r>
              <w:rPr>
                <w:rFonts w:ascii="Times New Roman" w:hAnsi="Times New Roman" w:eastAsia="宋体"/>
                <w:sz w:val="24"/>
                <w:szCs w:val="24"/>
              </w:rPr>
              <w:t>GB8978-1996</w:t>
            </w:r>
            <w:r>
              <w:rPr>
                <w:rFonts w:hint="eastAsia" w:ascii="Times New Roman" w:hAnsi="Times New Roman" w:eastAsia="宋体"/>
                <w:sz w:val="24"/>
                <w:szCs w:val="24"/>
              </w:rPr>
              <w:t>）中三级</w:t>
            </w:r>
            <w:r>
              <w:rPr>
                <w:rFonts w:ascii="Times New Roman" w:hAnsi="Times New Roman" w:eastAsia="宋体"/>
                <w:sz w:val="24"/>
                <w:szCs w:val="24"/>
              </w:rPr>
              <w:t>排放</w:t>
            </w:r>
            <w:r>
              <w:rPr>
                <w:rFonts w:hint="eastAsia" w:ascii="Times New Roman" w:hAnsi="Times New Roman" w:eastAsia="宋体"/>
                <w:sz w:val="24"/>
                <w:szCs w:val="24"/>
              </w:rPr>
              <w:t>标准。</w:t>
            </w:r>
            <w:r>
              <w:rPr>
                <w:rFonts w:hint="eastAsia"/>
                <w:bCs/>
                <w:color w:val="auto"/>
                <w:sz w:val="24"/>
                <w:u w:val="none"/>
                <w:lang w:val="en-US" w:eastAsia="zh-CN"/>
              </w:rPr>
              <w:t>柏林水务长春高新污水处理有限公司《</w:t>
            </w:r>
            <w:r>
              <w:rPr>
                <w:rFonts w:hint="eastAsia" w:ascii="Times New Roman" w:hAnsi="Times New Roman" w:eastAsia="宋体"/>
                <w:sz w:val="24"/>
                <w:szCs w:val="24"/>
              </w:rPr>
              <w:t>城镇污水处理厂污染物排放标准</w:t>
            </w:r>
            <w:r>
              <w:rPr>
                <w:rFonts w:hint="eastAsia"/>
                <w:bCs/>
                <w:color w:val="auto"/>
                <w:sz w:val="24"/>
                <w:u w:val="none"/>
                <w:lang w:val="en-US" w:eastAsia="zh-CN"/>
              </w:rPr>
              <w:t>》（</w:t>
            </w:r>
            <w:r>
              <w:rPr>
                <w:rFonts w:hint="eastAsia" w:ascii="Times New Roman" w:hAnsi="Times New Roman" w:eastAsia="宋体"/>
                <w:sz w:val="24"/>
                <w:szCs w:val="24"/>
              </w:rPr>
              <w:t>GB18918-2002</w:t>
            </w:r>
            <w:r>
              <w:rPr>
                <w:rFonts w:hint="eastAsia"/>
                <w:bCs/>
                <w:color w:val="auto"/>
                <w:sz w:val="24"/>
                <w:u w:val="none"/>
                <w:lang w:val="en-US" w:eastAsia="zh-CN"/>
              </w:rPr>
              <w:t>）中一级A标准</w:t>
            </w:r>
            <w:r>
              <w:rPr>
                <w:rFonts w:hint="eastAsia" w:ascii="Times New Roman" w:hAnsi="Times New Roman" w:eastAsia="宋体"/>
                <w:sz w:val="24"/>
                <w:szCs w:val="24"/>
              </w:rPr>
              <w:t>，详见</w:t>
            </w:r>
            <w:r>
              <w:rPr>
                <w:rFonts w:hint="eastAsia" w:ascii="Times New Roman" w:hAnsi="Times New Roman" w:eastAsia="宋体"/>
                <w:sz w:val="24"/>
                <w:szCs w:val="24"/>
                <w:lang w:val="en-US" w:eastAsia="zh-CN"/>
              </w:rPr>
              <w:t>下</w:t>
            </w:r>
            <w:r>
              <w:rPr>
                <w:rFonts w:hint="eastAsia" w:ascii="Times New Roman" w:hAnsi="Times New Roman" w:eastAsia="宋体"/>
                <w:sz w:val="24"/>
                <w:szCs w:val="24"/>
              </w:rPr>
              <w:t>表。</w:t>
            </w:r>
          </w:p>
          <w:p>
            <w:pPr>
              <w:pStyle w:val="52"/>
              <w:spacing w:line="240" w:lineRule="auto"/>
              <w:ind w:firstLine="0" w:firstLineChars="0"/>
              <w:jc w:val="center"/>
              <w:rPr>
                <w:rFonts w:ascii="Times New Roman" w:hAnsi="Times New Roman" w:eastAsia="宋体"/>
                <w:b/>
                <w:sz w:val="21"/>
                <w:szCs w:val="21"/>
              </w:rPr>
            </w:pPr>
            <w:r>
              <w:rPr>
                <w:rFonts w:hint="eastAsia" w:ascii="Times New Roman" w:hAnsi="Times New Roman" w:eastAsia="宋体"/>
                <w:b/>
                <w:sz w:val="21"/>
                <w:szCs w:val="21"/>
              </w:rPr>
              <w:t>表</w:t>
            </w:r>
            <w:r>
              <w:rPr>
                <w:rFonts w:hint="eastAsia" w:ascii="Times New Roman" w:hAnsi="Times New Roman" w:eastAsia="宋体"/>
                <w:b/>
                <w:sz w:val="21"/>
                <w:szCs w:val="21"/>
                <w:lang w:val="en-US" w:eastAsia="zh-CN"/>
              </w:rPr>
              <w:t>3</w:t>
            </w:r>
            <w:r>
              <w:rPr>
                <w:rFonts w:hint="eastAsia"/>
                <w:b/>
                <w:sz w:val="21"/>
                <w:szCs w:val="21"/>
                <w:lang w:val="en-US" w:eastAsia="zh-CN"/>
              </w:rPr>
              <w:t>-5</w:t>
            </w:r>
            <w:r>
              <w:rPr>
                <w:rFonts w:ascii="Times New Roman" w:hAnsi="Times New Roman" w:eastAsia="宋体"/>
                <w:b/>
                <w:sz w:val="21"/>
                <w:szCs w:val="21"/>
              </w:rPr>
              <w:t xml:space="preserve">  </w:t>
            </w:r>
            <w:r>
              <w:rPr>
                <w:rFonts w:hint="eastAsia" w:ascii="Times New Roman" w:hAnsi="Times New Roman" w:eastAsia="宋体"/>
                <w:b/>
                <w:sz w:val="21"/>
                <w:szCs w:val="21"/>
              </w:rPr>
              <w:t>三级标准    单位：mg/L（pH无量纲）</w:t>
            </w:r>
          </w:p>
          <w:tbl>
            <w:tblPr>
              <w:tblStyle w:val="23"/>
              <w:tblW w:w="5000" w:type="pct"/>
              <w:jc w:val="center"/>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Layout w:type="fixed"/>
              <w:tblCellMar>
                <w:top w:w="0" w:type="dxa"/>
                <w:left w:w="108" w:type="dxa"/>
                <w:bottom w:w="0" w:type="dxa"/>
                <w:right w:w="108" w:type="dxa"/>
              </w:tblCellMar>
            </w:tblPr>
            <w:tblGrid>
              <w:gridCol w:w="4164"/>
              <w:gridCol w:w="3800"/>
            </w:tblGrid>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污染物名称</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三级标准</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pH</w:t>
                  </w:r>
                </w:p>
              </w:tc>
              <w:tc>
                <w:tcPr>
                  <w:tcW w:w="238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sz w:val="21"/>
                      <w:szCs w:val="21"/>
                      <w:u w:val="single"/>
                      <w:lang w:val="en-US" w:eastAsia="zh-CN"/>
                    </w:rPr>
                  </w:pPr>
                  <w:r>
                    <w:rPr>
                      <w:rFonts w:hint="eastAsia" w:cs="Times New Roman"/>
                      <w:sz w:val="21"/>
                      <w:szCs w:val="21"/>
                      <w:lang w:val="en-US" w:eastAsia="zh-CN"/>
                    </w:rPr>
                    <w:t>6-9</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COD</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500</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BOD</w:t>
                  </w:r>
                  <w:r>
                    <w:rPr>
                      <w:rFonts w:ascii="Times New Roman" w:hAnsi="Times New Roman" w:eastAsia="宋体" w:cs="Times New Roman"/>
                      <w:sz w:val="21"/>
                      <w:szCs w:val="21"/>
                      <w:vertAlign w:val="subscript"/>
                    </w:rPr>
                    <w:t>5</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300</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氨氮</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bCs/>
                      <w:sz w:val="21"/>
                      <w:szCs w:val="21"/>
                    </w:rPr>
                  </w:pPr>
                  <w:r>
                    <w:rPr>
                      <w:rFonts w:ascii="Times New Roman" w:hAnsi="Times New Roman" w:eastAsia="宋体" w:cs="Times New Roman"/>
                      <w:bCs/>
                      <w:sz w:val="21"/>
                      <w:szCs w:val="21"/>
                    </w:rPr>
                    <w:t>--</w:t>
                  </w:r>
                </w:p>
              </w:tc>
            </w:tr>
            <w:tr>
              <w:tblPrEx>
                <w:tblBorders>
                  <w:top w:val="single" w:color="auto" w:sz="12" w:space="0"/>
                  <w:left w:val="single" w:color="FFFFFF" w:sz="4" w:space="0"/>
                  <w:bottom w:val="single" w:color="auto" w:sz="12" w:space="0"/>
                  <w:right w:val="single" w:color="FFFFFF"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14" w:type="pct"/>
                  <w:tcBorders>
                    <w:tl2br w:val="nil"/>
                    <w:tr2bl w:val="nil"/>
                  </w:tcBorders>
                  <w:vAlign w:val="center"/>
                </w:tcPr>
                <w:p>
                  <w:pPr>
                    <w:autoSpaceDE w:val="0"/>
                    <w:autoSpaceDN w:val="0"/>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SS</w:t>
                  </w:r>
                </w:p>
              </w:tc>
              <w:tc>
                <w:tcPr>
                  <w:tcW w:w="2385" w:type="pct"/>
                  <w:tcBorders>
                    <w:tl2br w:val="nil"/>
                    <w:tr2bl w:val="nil"/>
                  </w:tcBorders>
                  <w:vAlign w:val="center"/>
                </w:tcPr>
                <w:p>
                  <w:pPr>
                    <w:adjustRightInd w:val="0"/>
                    <w:snapToGrid w:val="0"/>
                    <w:spacing w:line="24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400</w:t>
                  </w:r>
                </w:p>
              </w:tc>
            </w:tr>
          </w:tbl>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color w:val="auto"/>
                <w:kern w:val="2"/>
                <w:sz w:val="21"/>
                <w:szCs w:val="21"/>
                <w:lang w:val="en-US" w:eastAsia="zh-CN" w:bidi="ar"/>
              </w:rPr>
            </w:pPr>
            <w:r>
              <w:rPr>
                <w:rFonts w:hint="eastAsia" w:ascii="Times New Roman" w:hAnsi="Times New Roman" w:eastAsia="宋体"/>
                <w:b/>
                <w:sz w:val="21"/>
                <w:szCs w:val="21"/>
              </w:rPr>
              <w:t>表</w:t>
            </w:r>
            <w:r>
              <w:rPr>
                <w:rFonts w:hint="eastAsia"/>
                <w:b/>
                <w:sz w:val="21"/>
                <w:szCs w:val="21"/>
                <w:lang w:val="en-US" w:eastAsia="zh-CN"/>
              </w:rPr>
              <w:t>3-6</w:t>
            </w:r>
            <w:r>
              <w:rPr>
                <w:rFonts w:ascii="Times New Roman" w:hAnsi="Times New Roman" w:eastAsia="宋体"/>
                <w:b/>
                <w:sz w:val="21"/>
                <w:szCs w:val="21"/>
              </w:rPr>
              <w:t xml:space="preserve">   </w:t>
            </w:r>
            <w:r>
              <w:rPr>
                <w:rFonts w:hint="default" w:ascii="Times New Roman" w:hAnsi="Times New Roman" w:eastAsia="宋体" w:cs="Times New Roman"/>
                <w:b/>
                <w:color w:val="auto"/>
                <w:kern w:val="2"/>
                <w:sz w:val="21"/>
                <w:szCs w:val="21"/>
                <w:lang w:val="en-US" w:eastAsia="zh-CN" w:bidi="ar"/>
              </w:rPr>
              <w:t>城镇污水处理厂污染物排放标准   单位：mg/L</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955"/>
              <w:gridCol w:w="1992"/>
              <w:gridCol w:w="1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序号</w:t>
                  </w:r>
                </w:p>
              </w:tc>
              <w:tc>
                <w:tcPr>
                  <w:tcW w:w="1853"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污染物</w:t>
                  </w:r>
                </w:p>
              </w:tc>
              <w:tc>
                <w:tcPr>
                  <w:tcW w:w="1249"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标准</w:t>
                  </w:r>
                  <w:r>
                    <w:rPr>
                      <w:rFonts w:hint="eastAsia" w:cs="Times New Roman"/>
                      <w:bCs/>
                      <w:color w:val="auto"/>
                      <w:sz w:val="21"/>
                      <w:szCs w:val="21"/>
                      <w:lang w:val="en-US" w:eastAsia="zh-CN"/>
                    </w:rPr>
                    <w:t>限值</w:t>
                  </w:r>
                </w:p>
              </w:tc>
              <w:tc>
                <w:tcPr>
                  <w:tcW w:w="1250"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1</w:t>
                  </w:r>
                </w:p>
              </w:tc>
              <w:tc>
                <w:tcPr>
                  <w:tcW w:w="1853"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pH</w:t>
                  </w:r>
                </w:p>
              </w:tc>
              <w:tc>
                <w:tcPr>
                  <w:tcW w:w="1249"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6-9</w:t>
                  </w:r>
                </w:p>
              </w:tc>
              <w:tc>
                <w:tcPr>
                  <w:tcW w:w="1250" w:type="pct"/>
                  <w:vMerge w:val="restar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bCs/>
                      <w:color w:val="auto"/>
                      <w:sz w:val="21"/>
                      <w:szCs w:val="21"/>
                      <w:u w:val="none"/>
                      <w:lang w:val="en-US" w:eastAsia="zh-CN"/>
                    </w:rPr>
                    <w:t>《</w:t>
                  </w:r>
                  <w:r>
                    <w:rPr>
                      <w:rFonts w:hint="eastAsia" w:ascii="Times New Roman" w:hAnsi="Times New Roman" w:eastAsia="宋体"/>
                      <w:sz w:val="21"/>
                      <w:szCs w:val="21"/>
                    </w:rPr>
                    <w:t>城镇污水处理厂污染物排放标准</w:t>
                  </w:r>
                  <w:r>
                    <w:rPr>
                      <w:rFonts w:hint="eastAsia"/>
                      <w:bCs/>
                      <w:color w:val="auto"/>
                      <w:sz w:val="21"/>
                      <w:szCs w:val="21"/>
                      <w:u w:val="none"/>
                      <w:lang w:val="en-US" w:eastAsia="zh-CN"/>
                    </w:rPr>
                    <w:t>》（</w:t>
                  </w:r>
                  <w:r>
                    <w:rPr>
                      <w:rFonts w:hint="eastAsia" w:ascii="Times New Roman" w:hAnsi="Times New Roman" w:eastAsia="宋体"/>
                      <w:sz w:val="21"/>
                      <w:szCs w:val="21"/>
                    </w:rPr>
                    <w:t>GB18918-2002</w:t>
                  </w:r>
                  <w:r>
                    <w:rPr>
                      <w:rFonts w:hint="eastAsia"/>
                      <w:bCs/>
                      <w:color w:val="auto"/>
                      <w:sz w:val="21"/>
                      <w:szCs w:val="21"/>
                      <w:u w:val="none"/>
                      <w:lang w:val="en-US" w:eastAsia="zh-CN"/>
                    </w:rPr>
                    <w:t>）中一级A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2</w:t>
                  </w:r>
                </w:p>
              </w:tc>
              <w:tc>
                <w:tcPr>
                  <w:tcW w:w="1853"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化学需氧量（COD）</w:t>
                  </w:r>
                </w:p>
              </w:tc>
              <w:tc>
                <w:tcPr>
                  <w:tcW w:w="1249"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50</w:t>
                  </w:r>
                </w:p>
              </w:tc>
              <w:tc>
                <w:tcPr>
                  <w:tcW w:w="1250" w:type="pct"/>
                  <w:vMerge w:val="continue"/>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3</w:t>
                  </w:r>
                </w:p>
              </w:tc>
              <w:tc>
                <w:tcPr>
                  <w:tcW w:w="1853"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生化需氧量(BOD</w:t>
                  </w:r>
                  <w:r>
                    <w:rPr>
                      <w:rFonts w:hint="default" w:ascii="Times New Roman" w:hAnsi="Times New Roman" w:eastAsia="宋体" w:cs="Times New Roman"/>
                      <w:bCs/>
                      <w:color w:val="auto"/>
                      <w:sz w:val="21"/>
                      <w:szCs w:val="21"/>
                      <w:vertAlign w:val="subscript"/>
                      <w:lang w:val="en-US" w:eastAsia="zh-CN"/>
                    </w:rPr>
                    <w:t>5</w:t>
                  </w:r>
                  <w:r>
                    <w:rPr>
                      <w:rFonts w:hint="default" w:ascii="Times New Roman" w:hAnsi="Times New Roman" w:eastAsia="宋体" w:cs="Times New Roman"/>
                      <w:bCs/>
                      <w:color w:val="auto"/>
                      <w:sz w:val="21"/>
                      <w:szCs w:val="21"/>
                      <w:lang w:val="en-US" w:eastAsia="zh-CN"/>
                    </w:rPr>
                    <w:t>)</w:t>
                  </w:r>
                </w:p>
              </w:tc>
              <w:tc>
                <w:tcPr>
                  <w:tcW w:w="1249"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w:t>
                  </w:r>
                </w:p>
              </w:tc>
              <w:tc>
                <w:tcPr>
                  <w:tcW w:w="1250" w:type="pct"/>
                  <w:vMerge w:val="continue"/>
                  <w:tcBorders>
                    <w:tl2br w:val="nil"/>
                    <w:tr2bl w:val="nil"/>
                  </w:tcBorders>
                  <w:noWrap w:val="0"/>
                  <w:vAlign w:val="center"/>
                </w:tcPr>
                <w:p>
                  <w:pPr>
                    <w:pStyle w:val="79"/>
                    <w:numPr>
                      <w:ilvl w:val="0"/>
                      <w:numId w:val="0"/>
                    </w:numPr>
                    <w:rPr>
                      <w:rFonts w:hint="default" w:ascii="Times New Roman" w:hAnsi="Times New Roman" w:eastAsia="宋体" w:cs="Times New Roman"/>
                      <w:b/>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4</w:t>
                  </w:r>
                </w:p>
              </w:tc>
              <w:tc>
                <w:tcPr>
                  <w:tcW w:w="1853"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氨氮（NH</w:t>
                  </w:r>
                  <w:r>
                    <w:rPr>
                      <w:rFonts w:hint="default" w:ascii="Times New Roman" w:hAnsi="Times New Roman" w:eastAsia="宋体" w:cs="Times New Roman"/>
                      <w:bCs/>
                      <w:color w:val="auto"/>
                      <w:sz w:val="21"/>
                      <w:szCs w:val="21"/>
                      <w:vertAlign w:val="subscript"/>
                      <w:lang w:val="en-US" w:eastAsia="zh-CN"/>
                    </w:rPr>
                    <w:t>3</w:t>
                  </w:r>
                  <w:r>
                    <w:rPr>
                      <w:rFonts w:hint="default" w:ascii="Times New Roman" w:hAnsi="Times New Roman" w:eastAsia="宋体" w:cs="Times New Roman"/>
                      <w:bCs/>
                      <w:color w:val="auto"/>
                      <w:sz w:val="21"/>
                      <w:szCs w:val="21"/>
                      <w:lang w:val="en-US" w:eastAsia="zh-CN"/>
                    </w:rPr>
                    <w:t>-N）</w:t>
                  </w:r>
                </w:p>
              </w:tc>
              <w:tc>
                <w:tcPr>
                  <w:tcW w:w="1249"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5（8）</w:t>
                  </w:r>
                </w:p>
              </w:tc>
              <w:tc>
                <w:tcPr>
                  <w:tcW w:w="1250" w:type="pct"/>
                  <w:vMerge w:val="continue"/>
                  <w:tcBorders>
                    <w:tl2br w:val="nil"/>
                    <w:tr2bl w:val="nil"/>
                  </w:tcBorders>
                  <w:noWrap w:val="0"/>
                  <w:vAlign w:val="center"/>
                </w:tcPr>
                <w:p>
                  <w:pPr>
                    <w:pStyle w:val="79"/>
                    <w:numPr>
                      <w:ilvl w:val="0"/>
                      <w:numId w:val="0"/>
                    </w:numPr>
                    <w:rPr>
                      <w:rFonts w:hint="default" w:ascii="Times New Roman" w:hAnsi="Times New Roman" w:eastAsia="宋体" w:cs="Times New Roman"/>
                      <w:b/>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kern w:val="0"/>
                      <w:sz w:val="21"/>
                      <w:szCs w:val="21"/>
                      <w:lang w:val="en-US" w:eastAsia="zh-CN" w:bidi="ar-SA"/>
                    </w:rPr>
                  </w:pPr>
                  <w:r>
                    <w:rPr>
                      <w:rFonts w:hint="default" w:ascii="Times New Roman" w:hAnsi="Times New Roman" w:eastAsia="宋体" w:cs="Times New Roman"/>
                      <w:bCs/>
                      <w:color w:val="auto"/>
                      <w:sz w:val="21"/>
                      <w:szCs w:val="21"/>
                      <w:lang w:val="en-US" w:eastAsia="zh-CN"/>
                    </w:rPr>
                    <w:t>5</w:t>
                  </w:r>
                </w:p>
              </w:tc>
              <w:tc>
                <w:tcPr>
                  <w:tcW w:w="1853"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悬浮物(SS)</w:t>
                  </w:r>
                </w:p>
              </w:tc>
              <w:tc>
                <w:tcPr>
                  <w:tcW w:w="1249" w:type="pct"/>
                  <w:tcBorders>
                    <w:tl2br w:val="nil"/>
                    <w:tr2bl w:val="nil"/>
                  </w:tcBorders>
                  <w:noWrap w:val="0"/>
                  <w:vAlign w:val="center"/>
                </w:tcPr>
                <w:p>
                  <w:pPr>
                    <w:pStyle w:val="87"/>
                    <w:tabs>
                      <w:tab w:val="clear" w:pos="42"/>
                      <w:tab w:val="clear" w:pos="4584"/>
                    </w:tabs>
                    <w:spacing w:before="62" w:after="62"/>
                    <w:ind w:firstLine="0" w:firstLineChars="0"/>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10</w:t>
                  </w:r>
                </w:p>
              </w:tc>
              <w:tc>
                <w:tcPr>
                  <w:tcW w:w="1250" w:type="pct"/>
                  <w:vMerge w:val="continue"/>
                  <w:tcBorders>
                    <w:tl2br w:val="nil"/>
                    <w:tr2bl w:val="nil"/>
                  </w:tcBorders>
                  <w:noWrap w:val="0"/>
                  <w:vAlign w:val="center"/>
                </w:tcPr>
                <w:p>
                  <w:pPr>
                    <w:pStyle w:val="79"/>
                    <w:numPr>
                      <w:ilvl w:val="0"/>
                      <w:numId w:val="0"/>
                    </w:numPr>
                    <w:rPr>
                      <w:rFonts w:hint="default" w:ascii="Times New Roman" w:hAnsi="Times New Roman" w:eastAsia="宋体" w:cs="Times New Roman"/>
                      <w:b/>
                      <w:color w:val="auto"/>
                      <w:sz w:val="21"/>
                      <w:szCs w:val="21"/>
                      <w:lang w:val="en-US" w:eastAsia="zh-CN"/>
                    </w:rPr>
                  </w:pPr>
                </w:p>
              </w:tc>
            </w:tr>
          </w:tbl>
          <w:p>
            <w:pPr>
              <w:spacing w:line="360" w:lineRule="auto"/>
              <w:jc w:val="left"/>
              <w:rPr>
                <w:rFonts w:hint="eastAsia" w:ascii="Times New Roman" w:hAnsi="Times New Roman" w:eastAsia="宋体" w:cs="宋体"/>
                <w:b w:val="0"/>
                <w:bCs w:val="0"/>
                <w:i w:val="0"/>
                <w:iCs w:val="0"/>
                <w:color w:val="auto"/>
                <w:sz w:val="24"/>
                <w:szCs w:val="24"/>
                <w:u w:val="none"/>
              </w:rPr>
            </w:pPr>
            <w:r>
              <w:rPr>
                <w:rFonts w:hint="eastAsia" w:ascii="Times New Roman" w:hAnsi="Times New Roman" w:eastAsia="宋体" w:cs="宋体"/>
                <w:b/>
                <w:sz w:val="24"/>
                <w:szCs w:val="24"/>
              </w:rPr>
              <w:t>二、废气</w:t>
            </w:r>
          </w:p>
          <w:p>
            <w:pPr>
              <w:spacing w:line="360" w:lineRule="auto"/>
              <w:ind w:firstLine="480" w:firstLineChars="200"/>
              <w:rPr>
                <w:rFonts w:hint="eastAsia" w:ascii="Times New Roman" w:hAnsi="Times New Roman" w:eastAsia="宋体" w:cs="宋体"/>
                <w:b w:val="0"/>
                <w:bCs w:val="0"/>
                <w:i w:val="0"/>
                <w:iCs w:val="0"/>
                <w:color w:val="auto"/>
                <w:sz w:val="24"/>
                <w:szCs w:val="24"/>
                <w:u w:val="none"/>
              </w:rPr>
            </w:pPr>
            <w:r>
              <w:rPr>
                <w:rFonts w:hint="eastAsia" w:ascii="Times New Roman" w:hAnsi="Times New Roman" w:eastAsia="宋体" w:cs="宋体"/>
                <w:b w:val="0"/>
                <w:bCs w:val="0"/>
                <w:i w:val="0"/>
                <w:iCs w:val="0"/>
                <w:color w:val="auto"/>
                <w:sz w:val="24"/>
                <w:szCs w:val="24"/>
                <w:u w:val="none"/>
              </w:rPr>
              <w:t>本项目</w:t>
            </w:r>
            <w:r>
              <w:rPr>
                <w:rFonts w:hint="eastAsia" w:cs="宋体"/>
                <w:b w:val="0"/>
                <w:bCs w:val="0"/>
                <w:i w:val="0"/>
                <w:iCs w:val="0"/>
                <w:color w:val="auto"/>
                <w:sz w:val="24"/>
                <w:szCs w:val="24"/>
                <w:u w:val="none"/>
                <w:lang w:val="en-US" w:eastAsia="zh-CN"/>
              </w:rPr>
              <w:t>燃天然气热水锅炉</w:t>
            </w:r>
            <w:r>
              <w:rPr>
                <w:rFonts w:hint="eastAsia" w:ascii="Times New Roman" w:hAnsi="Times New Roman" w:eastAsia="宋体" w:cs="宋体"/>
                <w:b w:val="0"/>
                <w:bCs w:val="0"/>
                <w:i w:val="0"/>
                <w:iCs w:val="0"/>
                <w:color w:val="auto"/>
                <w:sz w:val="24"/>
                <w:szCs w:val="24"/>
                <w:u w:val="none"/>
                <w:lang w:val="en-US" w:eastAsia="zh-CN"/>
              </w:rPr>
              <w:t>烟气执行《锅炉大气污染物排放标准》（GB13271-2014）表3大气污染物特别排放限值</w:t>
            </w:r>
            <w:r>
              <w:rPr>
                <w:rFonts w:hint="eastAsia" w:ascii="Times New Roman" w:hAnsi="Times New Roman" w:eastAsia="宋体" w:cs="宋体"/>
                <w:b w:val="0"/>
                <w:bCs w:val="0"/>
                <w:i w:val="0"/>
                <w:iCs w:val="0"/>
                <w:color w:val="auto"/>
                <w:sz w:val="24"/>
                <w:szCs w:val="24"/>
                <w:u w:val="none"/>
                <w:lang w:eastAsia="zh-CN"/>
              </w:rPr>
              <w:t>，</w:t>
            </w:r>
            <w:r>
              <w:rPr>
                <w:rFonts w:hint="eastAsia" w:ascii="Times New Roman" w:hAnsi="Times New Roman" w:eastAsia="宋体" w:cs="宋体"/>
                <w:b w:val="0"/>
                <w:bCs w:val="0"/>
                <w:i w:val="0"/>
                <w:iCs w:val="0"/>
                <w:color w:val="auto"/>
                <w:sz w:val="24"/>
                <w:szCs w:val="24"/>
                <w:u w:val="none"/>
              </w:rPr>
              <w:t>详见</w:t>
            </w:r>
            <w:r>
              <w:rPr>
                <w:rFonts w:hint="eastAsia" w:ascii="Times New Roman" w:hAnsi="Times New Roman" w:eastAsia="宋体" w:cs="宋体"/>
                <w:b w:val="0"/>
                <w:bCs w:val="0"/>
                <w:i w:val="0"/>
                <w:iCs w:val="0"/>
                <w:color w:val="auto"/>
                <w:sz w:val="24"/>
                <w:szCs w:val="24"/>
                <w:u w:val="none"/>
                <w:lang w:val="en-US" w:eastAsia="zh-CN"/>
              </w:rPr>
              <w:t>下表</w:t>
            </w:r>
            <w:r>
              <w:rPr>
                <w:rFonts w:hint="eastAsia" w:ascii="Times New Roman" w:hAnsi="Times New Roman" w:eastAsia="宋体" w:cs="宋体"/>
                <w:b w:val="0"/>
                <w:bCs w:val="0"/>
                <w:i w:val="0"/>
                <w:iCs w:val="0"/>
                <w:color w:val="auto"/>
                <w:sz w:val="24"/>
                <w:szCs w:val="24"/>
                <w:u w:val="none"/>
              </w:rPr>
              <w:t>。</w:t>
            </w:r>
          </w:p>
          <w:p>
            <w:pPr>
              <w:spacing w:line="240" w:lineRule="auto"/>
              <w:ind w:firstLine="482"/>
              <w:jc w:val="center"/>
              <w:rPr>
                <w:rFonts w:hint="eastAsia" w:ascii="Times New Roman" w:hAnsi="Times New Roman" w:eastAsia="宋体" w:cs="宋体"/>
                <w:b/>
                <w:bCs/>
                <w:i w:val="0"/>
                <w:iCs w:val="0"/>
                <w:color w:val="auto"/>
                <w:sz w:val="21"/>
                <w:szCs w:val="21"/>
                <w:u w:val="none"/>
              </w:rPr>
            </w:pPr>
            <w:r>
              <w:rPr>
                <w:rFonts w:hint="default" w:ascii="Times New Roman" w:hAnsi="Times New Roman" w:eastAsia="宋体" w:cs="Times New Roman"/>
                <w:b/>
                <w:bCs/>
                <w:i w:val="0"/>
                <w:iCs w:val="0"/>
                <w:color w:val="auto"/>
                <w:sz w:val="21"/>
                <w:szCs w:val="21"/>
                <w:u w:val="none"/>
              </w:rPr>
              <w:t>表</w:t>
            </w:r>
            <w:r>
              <w:rPr>
                <w:rFonts w:hint="eastAsia" w:cs="Times New Roman"/>
                <w:b/>
                <w:bCs/>
                <w:i w:val="0"/>
                <w:iCs w:val="0"/>
                <w:color w:val="auto"/>
                <w:sz w:val="21"/>
                <w:szCs w:val="21"/>
                <w:u w:val="none"/>
                <w:lang w:val="en-US" w:eastAsia="zh-CN"/>
              </w:rPr>
              <w:t>3-7</w:t>
            </w:r>
            <w:r>
              <w:rPr>
                <w:rFonts w:hint="default" w:ascii="Times New Roman" w:hAnsi="Times New Roman" w:eastAsia="宋体" w:cs="Times New Roman"/>
                <w:b/>
                <w:bCs/>
                <w:i w:val="0"/>
                <w:iCs w:val="0"/>
                <w:color w:val="auto"/>
                <w:sz w:val="21"/>
                <w:szCs w:val="21"/>
                <w:u w:val="none"/>
                <w:lang w:val="en-US" w:eastAsia="zh-CN"/>
              </w:rPr>
              <w:t xml:space="preserve"> </w:t>
            </w:r>
            <w:r>
              <w:rPr>
                <w:rFonts w:hint="eastAsia" w:ascii="Times New Roman" w:hAnsi="Times New Roman" w:eastAsia="宋体" w:cs="宋体"/>
                <w:b/>
                <w:bCs/>
                <w:i w:val="0"/>
                <w:iCs w:val="0"/>
                <w:color w:val="auto"/>
                <w:sz w:val="21"/>
                <w:szCs w:val="21"/>
                <w:u w:val="none"/>
                <w:lang w:val="en-US" w:eastAsia="zh-CN"/>
              </w:rPr>
              <w:t xml:space="preserve"> </w:t>
            </w:r>
            <w:r>
              <w:rPr>
                <w:rFonts w:hint="eastAsia" w:ascii="Times New Roman" w:hAnsi="Times New Roman" w:eastAsia="宋体" w:cs="宋体"/>
                <w:b/>
                <w:bCs/>
                <w:i w:val="0"/>
                <w:iCs w:val="0"/>
                <w:color w:val="auto"/>
                <w:sz w:val="21"/>
                <w:szCs w:val="21"/>
                <w:u w:val="none"/>
              </w:rPr>
              <w:t xml:space="preserve"> </w:t>
            </w:r>
            <w:r>
              <w:rPr>
                <w:rFonts w:hint="eastAsia" w:ascii="Times New Roman" w:hAnsi="Times New Roman" w:eastAsia="宋体" w:cs="宋体"/>
                <w:b/>
                <w:bCs/>
                <w:i w:val="0"/>
                <w:iCs w:val="0"/>
                <w:color w:val="auto"/>
                <w:sz w:val="21"/>
                <w:szCs w:val="21"/>
                <w:u w:val="none"/>
                <w:lang w:val="en-US" w:eastAsia="zh-CN"/>
              </w:rPr>
              <w:t>锅炉大气污染物排放标准</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076"/>
              <w:gridCol w:w="3111"/>
              <w:gridCol w:w="1400"/>
              <w:gridCol w:w="1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锅炉</w:t>
                  </w:r>
                  <w:r>
                    <w:rPr>
                      <w:rFonts w:hint="default" w:ascii="Times New Roman" w:hAnsi="Times New Roman" w:eastAsia="宋体" w:cs="Times New Roman"/>
                      <w:i w:val="0"/>
                      <w:iCs w:val="0"/>
                      <w:color w:val="auto"/>
                      <w:sz w:val="21"/>
                      <w:szCs w:val="21"/>
                      <w:u w:val="none"/>
                      <w:lang w:val="en-US" w:eastAsia="zh-CN"/>
                    </w:rPr>
                    <w:t>类型</w:t>
                  </w:r>
                </w:p>
              </w:tc>
              <w:tc>
                <w:tcPr>
                  <w:tcW w:w="674"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污染类型</w:t>
                  </w:r>
                </w:p>
              </w:tc>
              <w:tc>
                <w:tcPr>
                  <w:tcW w:w="1950"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标准名称及级（类）别</w:t>
                  </w:r>
                </w:p>
              </w:tc>
              <w:tc>
                <w:tcPr>
                  <w:tcW w:w="877"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污染因子</w:t>
                  </w:r>
                </w:p>
              </w:tc>
              <w:tc>
                <w:tcPr>
                  <w:tcW w:w="676"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0" w:type="pct"/>
                  <w:vMerge w:val="restart"/>
                  <w:noWrap/>
                  <w:vAlign w:val="center"/>
                </w:tcPr>
                <w:p>
                  <w:pPr>
                    <w:tabs>
                      <w:tab w:val="left" w:pos="539"/>
                      <w:tab w:val="left" w:pos="1257"/>
                    </w:tabs>
                    <w:adjustRightInd w:val="0"/>
                    <w:snapToGrid w:val="0"/>
                    <w:spacing w:line="240" w:lineRule="auto"/>
                    <w:ind w:left="-105" w:leftChars="-50" w:right="-107" w:rightChars="-51"/>
                    <w:jc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燃天然气</w:t>
                  </w:r>
                </w:p>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锅炉</w:t>
                  </w:r>
                </w:p>
              </w:tc>
              <w:tc>
                <w:tcPr>
                  <w:tcW w:w="674" w:type="pct"/>
                  <w:vMerge w:val="restar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锅炉废气</w:t>
                  </w:r>
                </w:p>
              </w:tc>
              <w:tc>
                <w:tcPr>
                  <w:tcW w:w="1950" w:type="pct"/>
                  <w:vMerge w:val="restar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《锅炉大气污染物排放标准》（GB13271-2014）表3大气污染物特别排放限制</w:t>
                  </w:r>
                </w:p>
              </w:tc>
              <w:tc>
                <w:tcPr>
                  <w:tcW w:w="877"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烟尘</w:t>
                  </w:r>
                </w:p>
              </w:tc>
              <w:tc>
                <w:tcPr>
                  <w:tcW w:w="676"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20</w:t>
                  </w:r>
                  <w:r>
                    <w:rPr>
                      <w:rFonts w:hint="default" w:ascii="Times New Roman" w:hAnsi="Times New Roman" w:eastAsia="宋体" w:cs="Times New Roman"/>
                      <w:i w:val="0"/>
                      <w:iCs w:val="0"/>
                      <w:color w:val="auto"/>
                      <w:sz w:val="21"/>
                      <w:szCs w:val="21"/>
                      <w:u w:val="none"/>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0"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674"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1950"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877"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SO</w:t>
                  </w:r>
                  <w:r>
                    <w:rPr>
                      <w:rFonts w:hint="default" w:ascii="Times New Roman" w:hAnsi="Times New Roman" w:eastAsia="宋体" w:cs="Times New Roman"/>
                      <w:i w:val="0"/>
                      <w:iCs w:val="0"/>
                      <w:color w:val="auto"/>
                      <w:sz w:val="21"/>
                      <w:szCs w:val="21"/>
                      <w:u w:val="none"/>
                      <w:vertAlign w:val="subscript"/>
                      <w:lang w:val="en-US" w:eastAsia="zh-CN"/>
                    </w:rPr>
                    <w:t>2</w:t>
                  </w:r>
                </w:p>
              </w:tc>
              <w:tc>
                <w:tcPr>
                  <w:tcW w:w="676"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50</w:t>
                  </w:r>
                  <w:r>
                    <w:rPr>
                      <w:rFonts w:hint="default" w:ascii="Times New Roman" w:hAnsi="Times New Roman" w:eastAsia="宋体" w:cs="Times New Roman"/>
                      <w:i w:val="0"/>
                      <w:iCs w:val="0"/>
                      <w:color w:val="auto"/>
                      <w:sz w:val="21"/>
                      <w:szCs w:val="21"/>
                      <w:u w:val="none"/>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20"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674"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1950" w:type="pct"/>
                  <w:vMerge w:val="continue"/>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p>
              </w:tc>
              <w:tc>
                <w:tcPr>
                  <w:tcW w:w="877"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NOx</w:t>
                  </w:r>
                </w:p>
              </w:tc>
              <w:tc>
                <w:tcPr>
                  <w:tcW w:w="676" w:type="pct"/>
                  <w:noWrap/>
                  <w:vAlign w:val="center"/>
                </w:tcPr>
                <w:p>
                  <w:pPr>
                    <w:tabs>
                      <w:tab w:val="left" w:pos="539"/>
                      <w:tab w:val="left" w:pos="1257"/>
                    </w:tabs>
                    <w:adjustRightInd w:val="0"/>
                    <w:snapToGrid w:val="0"/>
                    <w:spacing w:line="240" w:lineRule="auto"/>
                    <w:ind w:left="-105" w:leftChars="-50" w:right="-107" w:rightChars="-51"/>
                    <w:jc w:val="center"/>
                    <w:rPr>
                      <w:rFonts w:hint="default"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150</w:t>
                  </w:r>
                  <w:r>
                    <w:rPr>
                      <w:rFonts w:hint="default" w:ascii="Times New Roman" w:hAnsi="Times New Roman" w:eastAsia="宋体" w:cs="Times New Roman"/>
                      <w:i w:val="0"/>
                      <w:iCs w:val="0"/>
                      <w:color w:val="auto"/>
                      <w:sz w:val="21"/>
                      <w:szCs w:val="21"/>
                      <w:u w:val="none"/>
                      <w:lang w:val="en-US" w:eastAsia="zh-CN"/>
                    </w:rPr>
                    <w:t>mg/m³</w:t>
                  </w:r>
                </w:p>
              </w:tc>
            </w:tr>
          </w:tbl>
          <w:p>
            <w:pPr>
              <w:spacing w:line="240" w:lineRule="auto"/>
              <w:jc w:val="left"/>
              <w:rPr>
                <w:rFonts w:hint="eastAsia" w:ascii="Times New Roman" w:hAnsi="Times New Roman" w:eastAsia="宋体"/>
                <w:sz w:val="21"/>
                <w:szCs w:val="21"/>
              </w:rPr>
            </w:pPr>
            <w:r>
              <w:rPr>
                <w:rFonts w:hint="eastAsia" w:ascii="Times New Roman" w:hAnsi="Times New Roman" w:eastAsia="宋体"/>
                <w:b/>
                <w:sz w:val="21"/>
                <w:szCs w:val="21"/>
                <w:lang w:val="en-US" w:eastAsia="zh-CN"/>
              </w:rPr>
              <w:t>注：新建锅炉房烟囱周围半径200m范围内有建筑物时，其烟囱应高出最高建筑物3m以上。</w:t>
            </w:r>
          </w:p>
          <w:p>
            <w:pPr>
              <w:spacing w:line="360" w:lineRule="auto"/>
              <w:jc w:val="left"/>
              <w:rPr>
                <w:rFonts w:hint="eastAsia" w:ascii="Times New Roman" w:hAnsi="Times New Roman" w:eastAsia="宋体" w:cs="宋体"/>
                <w:b/>
                <w:sz w:val="24"/>
                <w:szCs w:val="24"/>
              </w:rPr>
            </w:pPr>
            <w:r>
              <w:rPr>
                <w:rFonts w:hint="eastAsia" w:ascii="Times New Roman" w:hAnsi="Times New Roman" w:eastAsia="宋体" w:cs="宋体"/>
                <w:b/>
                <w:sz w:val="24"/>
                <w:szCs w:val="24"/>
              </w:rPr>
              <w:t>三、噪声</w:t>
            </w:r>
          </w:p>
          <w:p>
            <w:pPr>
              <w:pStyle w:val="52"/>
              <w:ind w:firstLine="480"/>
              <w:rPr>
                <w:rFonts w:hint="eastAsia"/>
                <w:b w:val="0"/>
                <w:bCs w:val="0"/>
                <w:u w:val="none"/>
                <w:lang w:val="en-US" w:eastAsia="zh-CN"/>
              </w:rPr>
            </w:pPr>
            <w:r>
              <w:rPr>
                <w:rFonts w:hint="eastAsia"/>
              </w:rPr>
              <w:t>本项目</w:t>
            </w:r>
            <w:r>
              <w:rPr>
                <w:rFonts w:hint="eastAsia"/>
                <w:b w:val="0"/>
                <w:bCs w:val="0"/>
                <w:u w:val="none"/>
                <w:lang w:val="en-US" w:eastAsia="zh-CN"/>
              </w:rPr>
              <w:t>施工噪声执行《建筑施工场界噪声排放标准》（GB12523-2011）表1规定的排放限值，详见下表。</w:t>
            </w:r>
          </w:p>
          <w:p>
            <w:pPr>
              <w:pStyle w:val="52"/>
              <w:spacing w:line="240" w:lineRule="auto"/>
              <w:ind w:firstLine="0" w:firstLineChars="0"/>
              <w:jc w:val="center"/>
              <w:rPr>
                <w:b/>
                <w:bCs/>
                <w:sz w:val="21"/>
                <w:szCs w:val="21"/>
                <w:u w:val="none"/>
              </w:rPr>
            </w:pPr>
            <w:r>
              <w:rPr>
                <w:rFonts w:hint="eastAsia"/>
                <w:b/>
                <w:bCs/>
                <w:sz w:val="21"/>
                <w:szCs w:val="21"/>
                <w:u w:val="none"/>
              </w:rPr>
              <w:t>表3-</w:t>
            </w:r>
            <w:r>
              <w:rPr>
                <w:rFonts w:hint="eastAsia"/>
                <w:b/>
                <w:bCs/>
                <w:sz w:val="21"/>
                <w:szCs w:val="21"/>
                <w:u w:val="none"/>
                <w:lang w:val="en-US" w:eastAsia="zh-CN"/>
              </w:rPr>
              <w:t>8</w:t>
            </w:r>
            <w:r>
              <w:rPr>
                <w:b/>
                <w:bCs/>
                <w:sz w:val="21"/>
                <w:szCs w:val="21"/>
                <w:u w:val="none"/>
              </w:rPr>
              <w:t xml:space="preserve">  </w:t>
            </w:r>
            <w:r>
              <w:rPr>
                <w:rFonts w:hint="eastAsia"/>
                <w:b/>
                <w:bCs/>
                <w:sz w:val="21"/>
                <w:szCs w:val="21"/>
                <w:u w:val="none"/>
                <w:lang w:val="en-US" w:eastAsia="zh-CN"/>
              </w:rPr>
              <w:t>建筑施工场界</w:t>
            </w:r>
            <w:r>
              <w:rPr>
                <w:rFonts w:hint="eastAsia"/>
                <w:b/>
                <w:bCs/>
                <w:sz w:val="21"/>
                <w:szCs w:val="21"/>
                <w:u w:val="none"/>
              </w:rPr>
              <w:t>环境噪声排放标准</w:t>
            </w:r>
            <w:r>
              <w:rPr>
                <w:b/>
                <w:bCs/>
                <w:sz w:val="21"/>
                <w:szCs w:val="21"/>
                <w:u w:val="none"/>
              </w:rPr>
              <w:t xml:space="preserve">      </w:t>
            </w:r>
            <w:r>
              <w:rPr>
                <w:rFonts w:hint="eastAsia"/>
                <w:b/>
                <w:bCs/>
                <w:sz w:val="21"/>
                <w:szCs w:val="21"/>
                <w:u w:val="none"/>
              </w:rPr>
              <w:t>单位：</w:t>
            </w:r>
            <w:r>
              <w:rPr>
                <w:b/>
                <w:bCs/>
                <w:sz w:val="21"/>
                <w:szCs w:val="21"/>
                <w:u w:val="none"/>
              </w:rPr>
              <w:t>dB</w:t>
            </w:r>
            <w:r>
              <w:rPr>
                <w:rFonts w:hint="eastAsia"/>
                <w:b/>
                <w:bCs/>
                <w:sz w:val="21"/>
                <w:szCs w:val="21"/>
                <w:u w:val="none"/>
              </w:rPr>
              <w:t>（</w:t>
            </w:r>
            <w:r>
              <w:rPr>
                <w:b/>
                <w:bCs/>
                <w:sz w:val="21"/>
                <w:szCs w:val="21"/>
                <w:u w:val="none"/>
              </w:rPr>
              <w:t>A</w:t>
            </w:r>
            <w:r>
              <w:rPr>
                <w:rFonts w:hint="eastAsia"/>
                <w:b/>
                <w:bCs/>
                <w:sz w:val="21"/>
                <w:szCs w:val="21"/>
                <w:u w:val="none"/>
              </w:rPr>
              <w:t>）</w:t>
            </w:r>
          </w:p>
          <w:tbl>
            <w:tblPr>
              <w:tblStyle w:val="23"/>
              <w:tblpPr w:leftFromText="180" w:rightFromText="180" w:vertAnchor="text" w:horzAnchor="margin" w:tblpY="6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40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80" w:type="pct"/>
                  <w:tcBorders>
                    <w:left w:val="nil"/>
                    <w:bottom w:val="single" w:color="auto" w:sz="4" w:space="0"/>
                    <w:right w:val="single" w:color="auto" w:sz="4" w:space="0"/>
                  </w:tcBorders>
                  <w:noWrap w:val="0"/>
                  <w:vAlign w:val="center"/>
                </w:tcPr>
                <w:p>
                  <w:pPr>
                    <w:pStyle w:val="52"/>
                    <w:spacing w:line="240" w:lineRule="auto"/>
                    <w:ind w:firstLine="0" w:firstLineChars="0"/>
                    <w:jc w:val="center"/>
                    <w:rPr>
                      <w:b w:val="0"/>
                      <w:bCs w:val="0"/>
                      <w:kern w:val="0"/>
                      <w:sz w:val="21"/>
                      <w:szCs w:val="21"/>
                      <w:u w:val="none"/>
                    </w:rPr>
                  </w:pPr>
                  <w:r>
                    <w:rPr>
                      <w:rFonts w:hint="eastAsia"/>
                      <w:b w:val="0"/>
                      <w:bCs w:val="0"/>
                      <w:kern w:val="0"/>
                      <w:sz w:val="21"/>
                      <w:szCs w:val="21"/>
                      <w:u w:val="none"/>
                    </w:rPr>
                    <w:t>昼间</w:t>
                  </w:r>
                </w:p>
              </w:tc>
              <w:tc>
                <w:tcPr>
                  <w:tcW w:w="2519" w:type="pct"/>
                  <w:tcBorders>
                    <w:left w:val="single" w:color="auto" w:sz="4" w:space="0"/>
                    <w:bottom w:val="single" w:color="auto" w:sz="4" w:space="0"/>
                    <w:right w:val="nil"/>
                  </w:tcBorders>
                  <w:noWrap w:val="0"/>
                  <w:vAlign w:val="center"/>
                </w:tcPr>
                <w:p>
                  <w:pPr>
                    <w:pStyle w:val="52"/>
                    <w:spacing w:line="240" w:lineRule="auto"/>
                    <w:ind w:firstLine="0" w:firstLineChars="0"/>
                    <w:jc w:val="center"/>
                    <w:rPr>
                      <w:b w:val="0"/>
                      <w:bCs w:val="0"/>
                      <w:kern w:val="0"/>
                      <w:sz w:val="21"/>
                      <w:szCs w:val="21"/>
                      <w:u w:val="none"/>
                    </w:rPr>
                  </w:pPr>
                  <w:r>
                    <w:rPr>
                      <w:rFonts w:hint="eastAsia"/>
                      <w:b w:val="0"/>
                      <w:bCs w:val="0"/>
                      <w:kern w:val="0"/>
                      <w:sz w:val="21"/>
                      <w:szCs w:val="21"/>
                      <w:u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480" w:type="pct"/>
                  <w:tcBorders>
                    <w:top w:val="single" w:color="auto" w:sz="4" w:space="0"/>
                    <w:left w:val="nil"/>
                    <w:right w:val="single" w:color="auto" w:sz="4" w:space="0"/>
                  </w:tcBorders>
                  <w:noWrap w:val="0"/>
                  <w:vAlign w:val="center"/>
                </w:tcPr>
                <w:p>
                  <w:pPr>
                    <w:pStyle w:val="52"/>
                    <w:spacing w:line="240" w:lineRule="auto"/>
                    <w:ind w:firstLine="0" w:firstLineChars="0"/>
                    <w:jc w:val="center"/>
                    <w:rPr>
                      <w:rFonts w:hint="default" w:eastAsia="宋体"/>
                      <w:b w:val="0"/>
                      <w:bCs w:val="0"/>
                      <w:kern w:val="0"/>
                      <w:sz w:val="21"/>
                      <w:szCs w:val="21"/>
                      <w:u w:val="none"/>
                      <w:lang w:val="en-US" w:eastAsia="zh-CN"/>
                    </w:rPr>
                  </w:pPr>
                  <w:r>
                    <w:rPr>
                      <w:rFonts w:hint="eastAsia"/>
                      <w:b w:val="0"/>
                      <w:bCs w:val="0"/>
                      <w:kern w:val="0"/>
                      <w:sz w:val="21"/>
                      <w:szCs w:val="21"/>
                      <w:u w:val="none"/>
                      <w:lang w:val="en-US" w:eastAsia="zh-CN"/>
                    </w:rPr>
                    <w:t>70</w:t>
                  </w:r>
                </w:p>
              </w:tc>
              <w:tc>
                <w:tcPr>
                  <w:tcW w:w="2519" w:type="pct"/>
                  <w:tcBorders>
                    <w:top w:val="single" w:color="auto" w:sz="4" w:space="0"/>
                    <w:left w:val="single" w:color="auto" w:sz="4" w:space="0"/>
                    <w:right w:val="nil"/>
                  </w:tcBorders>
                  <w:noWrap w:val="0"/>
                  <w:vAlign w:val="center"/>
                </w:tcPr>
                <w:p>
                  <w:pPr>
                    <w:pStyle w:val="52"/>
                    <w:spacing w:line="240" w:lineRule="auto"/>
                    <w:ind w:firstLine="0" w:firstLineChars="0"/>
                    <w:jc w:val="center"/>
                    <w:rPr>
                      <w:rFonts w:hint="default" w:eastAsia="宋体"/>
                      <w:b w:val="0"/>
                      <w:bCs w:val="0"/>
                      <w:kern w:val="0"/>
                      <w:sz w:val="21"/>
                      <w:szCs w:val="21"/>
                      <w:u w:val="none"/>
                      <w:lang w:val="en-US" w:eastAsia="zh-CN"/>
                    </w:rPr>
                  </w:pPr>
                  <w:r>
                    <w:rPr>
                      <w:rFonts w:hint="eastAsia"/>
                      <w:b w:val="0"/>
                      <w:bCs w:val="0"/>
                      <w:kern w:val="0"/>
                      <w:sz w:val="21"/>
                      <w:szCs w:val="21"/>
                      <w:u w:val="none"/>
                      <w:lang w:val="en-US" w:eastAsia="zh-CN"/>
                    </w:rPr>
                    <w:t>55</w:t>
                  </w:r>
                </w:p>
              </w:tc>
            </w:tr>
          </w:tbl>
          <w:p>
            <w:pPr>
              <w:pStyle w:val="52"/>
              <w:spacing w:line="360" w:lineRule="auto"/>
              <w:ind w:left="0" w:leftChars="0" w:firstLine="480" w:firstLineChars="200"/>
              <w:jc w:val="both"/>
              <w:rPr>
                <w:rFonts w:hint="eastAsia" w:ascii="Times New Roman" w:hAnsi="Times New Roman" w:eastAsia="宋体" w:cs="宋体"/>
                <w:sz w:val="24"/>
                <w:szCs w:val="24"/>
              </w:rPr>
            </w:pPr>
            <w:r>
              <w:rPr>
                <w:rFonts w:hint="eastAsia" w:ascii="Times New Roman" w:hAnsi="Times New Roman" w:eastAsia="宋体" w:cs="宋体"/>
                <w:sz w:val="24"/>
                <w:szCs w:val="24"/>
              </w:rPr>
              <w:t>本项目运营期厂界四周噪声值执行《工业企业厂界环境噪声排放标准》（GB12348-2008）中</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rPr>
              <w:t>类标准值，详见下表。</w:t>
            </w:r>
          </w:p>
          <w:p>
            <w:pPr>
              <w:pStyle w:val="52"/>
              <w:spacing w:line="240" w:lineRule="auto"/>
              <w:ind w:firstLine="0" w:firstLineChars="0"/>
              <w:jc w:val="center"/>
              <w:rPr>
                <w:rFonts w:hint="eastAsia" w:ascii="Times New Roman" w:hAnsi="Times New Roman" w:eastAsia="宋体" w:cs="宋体"/>
                <w:b/>
                <w:sz w:val="21"/>
                <w:szCs w:val="21"/>
              </w:rPr>
            </w:pPr>
            <w:r>
              <w:rPr>
                <w:rFonts w:hint="eastAsia" w:ascii="Times New Roman" w:hAnsi="Times New Roman" w:eastAsia="宋体" w:cs="宋体"/>
                <w:b/>
                <w:sz w:val="21"/>
                <w:szCs w:val="21"/>
              </w:rPr>
              <w:t>表</w:t>
            </w:r>
            <w:r>
              <w:rPr>
                <w:rFonts w:hint="eastAsia" w:cs="宋体"/>
                <w:b/>
                <w:sz w:val="21"/>
                <w:szCs w:val="21"/>
                <w:lang w:val="en-US" w:eastAsia="zh-CN"/>
              </w:rPr>
              <w:t>3-9</w:t>
            </w:r>
            <w:r>
              <w:rPr>
                <w:rFonts w:hint="eastAsia" w:ascii="Times New Roman" w:hAnsi="Times New Roman" w:eastAsia="宋体" w:cs="宋体"/>
                <w:b/>
                <w:sz w:val="21"/>
                <w:szCs w:val="21"/>
              </w:rPr>
              <w:t xml:space="preserve">  工业企业厂界环境噪声排放标准      单位：dB（A）</w:t>
            </w:r>
          </w:p>
          <w:tbl>
            <w:tblPr>
              <w:tblStyle w:val="23"/>
              <w:tblpPr w:leftFromText="180" w:rightFromText="180" w:vertAnchor="text" w:horzAnchor="margin" w:tblpY="69"/>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845"/>
              <w:gridCol w:w="22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4" w:type="pct"/>
                  <w:vMerge w:val="restart"/>
                  <w:tcBorders>
                    <w:top w:val="single" w:color="auto" w:sz="12" w:space="0"/>
                    <w:left w:val="nil"/>
                    <w:bottom w:val="single" w:color="auto" w:sz="4" w:space="0"/>
                    <w:right w:val="single" w:color="auto" w:sz="4" w:space="0"/>
                  </w:tcBorders>
                  <w:shd w:val="clear" w:color="auto" w:fill="auto"/>
                  <w:vAlign w:val="center"/>
                </w:tcPr>
                <w:p>
                  <w:pPr>
                    <w:pStyle w:val="52"/>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类别</w:t>
                  </w:r>
                </w:p>
              </w:tc>
              <w:tc>
                <w:tcPr>
                  <w:tcW w:w="3216" w:type="pct"/>
                  <w:gridSpan w:val="2"/>
                  <w:tcBorders>
                    <w:top w:val="single" w:color="auto" w:sz="12" w:space="0"/>
                    <w:left w:val="single" w:color="auto" w:sz="4" w:space="0"/>
                    <w:bottom w:val="single" w:color="auto" w:sz="4" w:space="0"/>
                    <w:right w:val="nil"/>
                  </w:tcBorders>
                  <w:shd w:val="clear" w:color="auto" w:fill="auto"/>
                  <w:vAlign w:val="center"/>
                </w:tcPr>
                <w:p>
                  <w:pPr>
                    <w:pStyle w:val="52"/>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环境噪声标准值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083" w:type="dxa"/>
                  <w:vMerge w:val="continue"/>
                  <w:tcBorders>
                    <w:top w:val="single" w:color="auto" w:sz="12" w:space="0"/>
                    <w:left w:val="nil"/>
                    <w:bottom w:val="single" w:color="auto" w:sz="4" w:space="0"/>
                    <w:right w:val="single" w:color="auto" w:sz="4" w:space="0"/>
                  </w:tcBorders>
                  <w:shd w:val="clear" w:color="auto" w:fill="auto"/>
                  <w:vAlign w:val="center"/>
                </w:tcPr>
                <w:p>
                  <w:pPr>
                    <w:spacing w:line="240" w:lineRule="auto"/>
                    <w:rPr>
                      <w:rFonts w:hint="eastAsia" w:ascii="Times New Roman" w:hAnsi="Times New Roman" w:eastAsia="宋体" w:cs="宋体"/>
                      <w:kern w:val="0"/>
                      <w:sz w:val="21"/>
                      <w:szCs w:val="21"/>
                    </w:rPr>
                  </w:pPr>
                </w:p>
              </w:tc>
              <w:tc>
                <w:tcPr>
                  <w:tcW w:w="178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2"/>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昼间</w:t>
                  </w:r>
                </w:p>
              </w:tc>
              <w:tc>
                <w:tcPr>
                  <w:tcW w:w="1432" w:type="pct"/>
                  <w:tcBorders>
                    <w:top w:val="single" w:color="auto" w:sz="4" w:space="0"/>
                    <w:left w:val="single" w:color="auto" w:sz="4" w:space="0"/>
                    <w:bottom w:val="single" w:color="auto" w:sz="4" w:space="0"/>
                    <w:right w:val="nil"/>
                  </w:tcBorders>
                  <w:shd w:val="clear" w:color="auto" w:fill="auto"/>
                  <w:vAlign w:val="center"/>
                </w:tcPr>
                <w:p>
                  <w:pPr>
                    <w:pStyle w:val="52"/>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4" w:type="pct"/>
                  <w:tcBorders>
                    <w:top w:val="single" w:color="auto" w:sz="4" w:space="0"/>
                    <w:left w:val="nil"/>
                    <w:bottom w:val="single" w:color="auto" w:sz="12" w:space="0"/>
                    <w:right w:val="single" w:color="auto" w:sz="4" w:space="0"/>
                  </w:tcBorders>
                  <w:shd w:val="clear" w:color="auto" w:fill="auto"/>
                  <w:vAlign w:val="center"/>
                </w:tcPr>
                <w:p>
                  <w:pPr>
                    <w:pStyle w:val="52"/>
                    <w:spacing w:line="240" w:lineRule="auto"/>
                    <w:ind w:firstLine="0" w:firstLineChars="0"/>
                    <w:jc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3</w:t>
                  </w:r>
                  <w:r>
                    <w:rPr>
                      <w:rFonts w:hint="eastAsia" w:ascii="Times New Roman" w:hAnsi="Times New Roman" w:eastAsia="宋体" w:cs="宋体"/>
                      <w:kern w:val="0"/>
                      <w:sz w:val="21"/>
                      <w:szCs w:val="21"/>
                    </w:rPr>
                    <w:t>类</w:t>
                  </w:r>
                </w:p>
              </w:tc>
              <w:tc>
                <w:tcPr>
                  <w:tcW w:w="1784" w:type="pct"/>
                  <w:tcBorders>
                    <w:top w:val="single" w:color="auto" w:sz="4" w:space="0"/>
                    <w:left w:val="single" w:color="auto" w:sz="4" w:space="0"/>
                    <w:bottom w:val="single" w:color="auto" w:sz="12" w:space="0"/>
                    <w:right w:val="single" w:color="auto" w:sz="4" w:space="0"/>
                  </w:tcBorders>
                  <w:shd w:val="clear" w:color="auto" w:fill="auto"/>
                  <w:vAlign w:val="center"/>
                </w:tcPr>
                <w:p>
                  <w:pPr>
                    <w:pStyle w:val="52"/>
                    <w:spacing w:line="240" w:lineRule="auto"/>
                    <w:ind w:firstLine="0" w:firstLineChars="0"/>
                    <w:jc w:val="center"/>
                    <w:rPr>
                      <w:rFonts w:hint="default"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65</w:t>
                  </w:r>
                </w:p>
              </w:tc>
              <w:tc>
                <w:tcPr>
                  <w:tcW w:w="1432" w:type="pct"/>
                  <w:tcBorders>
                    <w:top w:val="single" w:color="auto" w:sz="4" w:space="0"/>
                    <w:left w:val="single" w:color="auto" w:sz="4" w:space="0"/>
                    <w:bottom w:val="single" w:color="auto" w:sz="12" w:space="0"/>
                    <w:right w:val="nil"/>
                  </w:tcBorders>
                  <w:shd w:val="clear" w:color="auto" w:fill="auto"/>
                  <w:vAlign w:val="center"/>
                </w:tcPr>
                <w:p>
                  <w:pPr>
                    <w:pStyle w:val="52"/>
                    <w:spacing w:line="240" w:lineRule="auto"/>
                    <w:ind w:firstLine="0" w:firstLineChars="0"/>
                    <w:jc w:val="center"/>
                    <w:rPr>
                      <w:rFonts w:hint="default"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55</w:t>
                  </w:r>
                </w:p>
              </w:tc>
            </w:tr>
          </w:tbl>
          <w:p>
            <w:pPr>
              <w:spacing w:line="360" w:lineRule="auto"/>
              <w:jc w:val="left"/>
              <w:rPr>
                <w:rFonts w:hint="eastAsia" w:ascii="Times New Roman" w:hAnsi="Times New Roman" w:eastAsia="宋体" w:cs="宋体"/>
                <w:b/>
                <w:sz w:val="24"/>
                <w:szCs w:val="24"/>
              </w:rPr>
            </w:pPr>
            <w:r>
              <w:rPr>
                <w:rFonts w:hint="eastAsia" w:ascii="Times New Roman" w:hAnsi="Times New Roman" w:eastAsia="宋体" w:cs="宋体"/>
                <w:b/>
                <w:sz w:val="24"/>
                <w:szCs w:val="24"/>
              </w:rPr>
              <w:t>四、固体废弃物</w:t>
            </w:r>
          </w:p>
          <w:p>
            <w:pPr>
              <w:pStyle w:val="63"/>
              <w:spacing w:line="360" w:lineRule="auto"/>
              <w:ind w:firstLine="480"/>
              <w:rPr>
                <w:rFonts w:hint="eastAsia" w:ascii="Times New Roman" w:hAnsi="Times New Roman" w:eastAsia="宋体"/>
                <w:sz w:val="24"/>
                <w:szCs w:val="24"/>
              </w:rPr>
            </w:pPr>
            <w:r>
              <w:rPr>
                <w:rFonts w:hint="eastAsia" w:ascii="Times New Roman" w:hAnsi="Times New Roman" w:eastAsia="宋体"/>
                <w:sz w:val="24"/>
                <w:szCs w:val="24"/>
              </w:rPr>
              <w:t>项目一般固体废物执行《中华人民共和国固体废物污染环境防治法》和《一般工业固体废物贮存和填埋污染控制标准》（GB18599-2020）。</w:t>
            </w:r>
          </w:p>
          <w:p>
            <w:pPr>
              <w:pStyle w:val="63"/>
              <w:spacing w:line="360" w:lineRule="auto"/>
              <w:ind w:firstLine="480"/>
              <w:rPr>
                <w:rFonts w:hint="eastAsia" w:ascii="Times New Roman" w:hAnsi="Times New Roman" w:eastAsia="宋体"/>
                <w:sz w:val="24"/>
                <w:szCs w:val="24"/>
              </w:rPr>
            </w:pPr>
          </w:p>
          <w:p>
            <w:pPr>
              <w:pStyle w:val="63"/>
              <w:spacing w:line="360" w:lineRule="auto"/>
              <w:ind w:firstLine="480"/>
              <w:rPr>
                <w:rFonts w:hint="eastAsia" w:ascii="Times New Roman" w:hAnsi="Times New Roman" w:eastAsia="宋体"/>
                <w:sz w:val="24"/>
                <w:szCs w:val="24"/>
              </w:rPr>
            </w:pPr>
          </w:p>
          <w:p>
            <w:pPr>
              <w:pStyle w:val="63"/>
              <w:spacing w:line="360" w:lineRule="auto"/>
              <w:ind w:firstLine="480"/>
              <w:rPr>
                <w:rFonts w:hint="eastAsia" w:ascii="Times New Roman" w:hAnsi="Times New Roman" w:eastAsia="宋体"/>
                <w:sz w:val="24"/>
                <w:szCs w:val="24"/>
              </w:rPr>
            </w:pPr>
          </w:p>
          <w:p>
            <w:pPr>
              <w:pStyle w:val="63"/>
              <w:spacing w:line="360" w:lineRule="auto"/>
              <w:ind w:firstLine="480"/>
              <w:rPr>
                <w:rFonts w:hint="eastAsia" w:ascii="Times New Roman" w:hAnsi="Times New Roman" w:eastAsia="宋体"/>
                <w:sz w:val="24"/>
                <w:szCs w:val="24"/>
              </w:rPr>
            </w:pPr>
          </w:p>
          <w:p>
            <w:pPr>
              <w:pStyle w:val="63"/>
              <w:spacing w:line="360" w:lineRule="auto"/>
              <w:ind w:firstLine="480"/>
              <w:rPr>
                <w:rFonts w:hint="eastAsia" w:ascii="Times New Roman" w:hAnsi="Times New Roman" w:eastAsia="宋体"/>
                <w:sz w:val="24"/>
                <w:szCs w:val="24"/>
              </w:rPr>
            </w:pPr>
          </w:p>
          <w:p>
            <w:pPr>
              <w:pStyle w:val="63"/>
              <w:spacing w:line="360" w:lineRule="auto"/>
              <w:ind w:firstLine="480"/>
              <w:rPr>
                <w:rFonts w:hint="eastAsia" w:ascii="Times New Roman" w:hAnsi="Times New Roman" w:eastAsia="宋体"/>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21" w:hRule="atLeast"/>
          <w:jc w:val="center"/>
        </w:trPr>
        <w:tc>
          <w:tcPr>
            <w:tcW w:w="800" w:type="dxa"/>
            <w:vAlign w:val="center"/>
          </w:tcPr>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总量</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控制</w:t>
            </w:r>
          </w:p>
          <w:p>
            <w:pPr>
              <w:adjustRightInd w:val="0"/>
              <w:snapToGrid w:val="0"/>
              <w:jc w:val="center"/>
              <w:rPr>
                <w:rFonts w:ascii="Times New Roman" w:hAnsi="Times New Roman" w:eastAsia="宋体"/>
                <w:kern w:val="0"/>
                <w:sz w:val="24"/>
                <w:szCs w:val="21"/>
              </w:rPr>
            </w:pPr>
            <w:r>
              <w:rPr>
                <w:rFonts w:ascii="Times New Roman" w:hAnsi="Times New Roman" w:eastAsia="宋体"/>
                <w:kern w:val="0"/>
                <w:sz w:val="24"/>
                <w:szCs w:val="21"/>
              </w:rPr>
              <w:t>指标</w:t>
            </w:r>
          </w:p>
        </w:tc>
        <w:tc>
          <w:tcPr>
            <w:tcW w:w="8190" w:type="dxa"/>
            <w:vAlign w:val="center"/>
          </w:tcPr>
          <w:p>
            <w:pPr>
              <w:adjustRightInd w:val="0"/>
              <w:snapToGrid w:val="0"/>
              <w:spacing w:line="360" w:lineRule="auto"/>
              <w:ind w:firstLine="480" w:firstLineChars="200"/>
              <w:jc w:val="left"/>
              <w:rPr>
                <w:rFonts w:hint="default"/>
                <w:bCs/>
                <w:iCs/>
                <w:color w:val="auto"/>
                <w:sz w:val="24"/>
                <w:lang w:val="en-US" w:eastAsia="zh-CN"/>
              </w:rPr>
            </w:pPr>
            <w:r>
              <w:rPr>
                <w:rFonts w:hint="eastAsia"/>
                <w:kern w:val="0"/>
                <w:sz w:val="24"/>
                <w:szCs w:val="21"/>
              </w:rPr>
              <w:t>根据吉林省生态环境厅《关于进一步明确建设项目主要污染物排放总量审核有关事宜的复函》，</w:t>
            </w:r>
            <w:r>
              <w:rPr>
                <w:rFonts w:hint="eastAsia"/>
                <w:bCs/>
                <w:iCs/>
                <w:color w:val="auto"/>
                <w:sz w:val="24"/>
              </w:rPr>
              <w:t>大气主要污染物是指挥发性有机物（VOCs）、氮氧化物（NOx）、二氧化硫（SO</w:t>
            </w:r>
            <w:r>
              <w:rPr>
                <w:rFonts w:hint="eastAsia"/>
                <w:bCs/>
                <w:iCs/>
                <w:color w:val="auto"/>
                <w:sz w:val="24"/>
                <w:vertAlign w:val="subscript"/>
              </w:rPr>
              <w:t>2</w:t>
            </w:r>
            <w:r>
              <w:rPr>
                <w:rFonts w:hint="eastAsia"/>
                <w:bCs/>
                <w:iCs/>
                <w:color w:val="auto"/>
                <w:sz w:val="24"/>
              </w:rPr>
              <w:t>）、烟尘，水主要污染物是指化学需氧量（COD）、氨氮（NH</w:t>
            </w:r>
            <w:r>
              <w:rPr>
                <w:rFonts w:hint="eastAsia"/>
                <w:bCs/>
                <w:iCs/>
                <w:color w:val="auto"/>
                <w:sz w:val="24"/>
                <w:vertAlign w:val="subscript"/>
              </w:rPr>
              <w:t>3</w:t>
            </w:r>
            <w:r>
              <w:rPr>
                <w:rFonts w:hint="eastAsia"/>
                <w:bCs/>
                <w:iCs/>
                <w:color w:val="auto"/>
                <w:sz w:val="24"/>
              </w:rPr>
              <w:t>-N）。由现状调查和工程分析可知，本项目废水</w:t>
            </w:r>
            <w:r>
              <w:rPr>
                <w:rFonts w:hint="eastAsia"/>
                <w:bCs/>
                <w:iCs/>
                <w:color w:val="auto"/>
                <w:sz w:val="24"/>
                <w:lang w:val="en-US" w:eastAsia="zh-CN"/>
              </w:rPr>
              <w:t>排入</w:t>
            </w:r>
            <w:r>
              <w:rPr>
                <w:rFonts w:hint="eastAsia"/>
                <w:bCs/>
                <w:iCs/>
                <w:color w:val="auto"/>
                <w:sz w:val="24"/>
              </w:rPr>
              <w:t>市政污水管网，涉及COD和氨氮总量控制指标由柏林水务长春高新污水处理有限公司统一调配。</w:t>
            </w:r>
            <w:r>
              <w:rPr>
                <w:rFonts w:hint="eastAsia"/>
                <w:bCs/>
                <w:iCs/>
                <w:color w:val="auto"/>
                <w:sz w:val="24"/>
                <w:lang w:val="en-US" w:eastAsia="zh-CN"/>
              </w:rPr>
              <w:t>本项目锅炉烟气内污染物产生量为：烟尘：0.0286t/a、二氧化硫：0.04t/a、氮氧化物：0.1871t/a。</w:t>
            </w:r>
          </w:p>
          <w:p>
            <w:pPr>
              <w:adjustRightInd w:val="0"/>
              <w:snapToGrid w:val="0"/>
              <w:spacing w:line="360" w:lineRule="auto"/>
              <w:ind w:firstLine="480" w:firstLineChars="200"/>
              <w:jc w:val="left"/>
              <w:rPr>
                <w:rFonts w:hint="eastAsia" w:ascii="Times New Roman" w:hAnsi="Times New Roman" w:eastAsia="宋体"/>
                <w:kern w:val="0"/>
                <w:sz w:val="24"/>
                <w:szCs w:val="21"/>
                <w:lang w:eastAsia="zh-CN"/>
              </w:rPr>
            </w:pPr>
            <w:r>
              <w:rPr>
                <w:rFonts w:hint="eastAsia" w:ascii="Times New Roman" w:hAnsi="Times New Roman" w:eastAsia="宋体"/>
                <w:kern w:val="0"/>
                <w:sz w:val="24"/>
                <w:szCs w:val="21"/>
                <w:u w:val="none"/>
              </w:rPr>
              <w:t xml:space="preserve">本项目不属于重点行业，且根据《排污许可证申请与核发技术规范 </w:t>
            </w:r>
            <w:r>
              <w:rPr>
                <w:rFonts w:hint="eastAsia" w:ascii="Times New Roman" w:hAnsi="Times New Roman" w:eastAsia="宋体"/>
                <w:kern w:val="0"/>
                <w:sz w:val="24"/>
                <w:szCs w:val="21"/>
                <w:u w:val="none"/>
                <w:lang w:val="en-US" w:eastAsia="zh-CN"/>
              </w:rPr>
              <w:t>锅炉</w:t>
            </w:r>
            <w:r>
              <w:rPr>
                <w:rFonts w:hint="eastAsia" w:ascii="Times New Roman" w:hAnsi="Times New Roman" w:eastAsia="宋体"/>
                <w:kern w:val="0"/>
                <w:sz w:val="24"/>
                <w:szCs w:val="21"/>
                <w:u w:val="none"/>
              </w:rPr>
              <w:t>》确定，</w:t>
            </w:r>
            <w:r>
              <w:rPr>
                <w:rFonts w:hint="eastAsia" w:ascii="Times New Roman" w:hAnsi="Times New Roman" w:eastAsia="宋体"/>
                <w:kern w:val="0"/>
                <w:sz w:val="24"/>
                <w:szCs w:val="21"/>
                <w:u w:val="none"/>
                <w:lang w:val="en-US" w:eastAsia="zh-CN"/>
              </w:rPr>
              <w:t>废水排放口与废气</w:t>
            </w:r>
            <w:r>
              <w:rPr>
                <w:rFonts w:hint="eastAsia" w:ascii="Times New Roman" w:hAnsi="Times New Roman" w:eastAsia="宋体"/>
                <w:kern w:val="0"/>
                <w:sz w:val="24"/>
                <w:szCs w:val="21"/>
                <w:u w:val="none"/>
              </w:rPr>
              <w:t>排放口均为一般排放口，故本项目执行其他行业排放管理。根据吉林省生态环境厅《关于进一步明确建设项目主要污染物排放总量审核有关事宜的复函》，其他行业主要污染物总量核审管理采用“在环评审批过程中予以豁免主要污染物总量审核”的方式</w:t>
            </w:r>
            <w:r>
              <w:rPr>
                <w:rFonts w:hint="eastAsia" w:ascii="Times New Roman" w:hAnsi="Times New Roman" w:eastAsia="宋体"/>
                <w:kern w:val="0"/>
                <w:sz w:val="24"/>
                <w:szCs w:val="21"/>
                <w:u w:val="none"/>
                <w:lang w:eastAsia="zh-CN"/>
              </w:rPr>
              <w:t>，</w:t>
            </w:r>
            <w:r>
              <w:rPr>
                <w:rFonts w:hint="eastAsia" w:ascii="Times New Roman" w:hAnsi="Times New Roman" w:eastAsia="宋体"/>
                <w:kern w:val="0"/>
                <w:sz w:val="24"/>
                <w:szCs w:val="21"/>
                <w:u w:val="none"/>
              </w:rPr>
              <w:t>因此无需申请</w:t>
            </w:r>
            <w:r>
              <w:rPr>
                <w:rFonts w:hint="eastAsia" w:ascii="Times New Roman" w:hAnsi="Times New Roman" w:eastAsia="宋体"/>
                <w:kern w:val="0"/>
                <w:sz w:val="24"/>
                <w:szCs w:val="21"/>
                <w:u w:val="none"/>
                <w:lang w:val="en-US" w:eastAsia="zh-CN"/>
              </w:rPr>
              <w:t>主要污染物</w:t>
            </w:r>
            <w:r>
              <w:rPr>
                <w:rFonts w:hint="eastAsia" w:ascii="Times New Roman" w:hAnsi="Times New Roman" w:eastAsia="宋体"/>
                <w:kern w:val="0"/>
                <w:sz w:val="24"/>
                <w:szCs w:val="21"/>
                <w:u w:val="none"/>
              </w:rPr>
              <w:t>SO</w:t>
            </w:r>
            <w:r>
              <w:rPr>
                <w:rFonts w:hint="eastAsia" w:ascii="Times New Roman" w:hAnsi="Times New Roman" w:eastAsia="宋体"/>
                <w:kern w:val="0"/>
                <w:sz w:val="24"/>
                <w:szCs w:val="21"/>
                <w:u w:val="none"/>
                <w:vertAlign w:val="subscript"/>
              </w:rPr>
              <w:t>2</w:t>
            </w:r>
            <w:r>
              <w:rPr>
                <w:rFonts w:hint="eastAsia" w:ascii="Times New Roman" w:hAnsi="Times New Roman" w:eastAsia="宋体"/>
                <w:kern w:val="0"/>
                <w:sz w:val="24"/>
                <w:szCs w:val="21"/>
                <w:u w:val="none"/>
              </w:rPr>
              <w:t>及NO</w:t>
            </w:r>
            <w:r>
              <w:rPr>
                <w:rFonts w:hint="eastAsia" w:ascii="Times New Roman" w:hAnsi="Times New Roman" w:eastAsia="宋体"/>
                <w:kern w:val="0"/>
                <w:sz w:val="24"/>
                <w:szCs w:val="21"/>
                <w:u w:val="none"/>
                <w:vertAlign w:val="subscript"/>
              </w:rPr>
              <w:t>x</w:t>
            </w:r>
            <w:r>
              <w:rPr>
                <w:rFonts w:hint="eastAsia" w:ascii="Times New Roman" w:hAnsi="Times New Roman" w:eastAsia="宋体"/>
                <w:kern w:val="0"/>
                <w:sz w:val="24"/>
                <w:szCs w:val="21"/>
                <w:u w:val="none"/>
              </w:rPr>
              <w:t>的总量。</w:t>
            </w:r>
          </w:p>
        </w:tc>
      </w:tr>
    </w:tbl>
    <w:p>
      <w:pPr>
        <w:pStyle w:val="20"/>
        <w:jc w:val="center"/>
        <w:outlineLvl w:val="0"/>
        <w:rPr>
          <w:rFonts w:ascii="Times New Roman" w:hAnsi="Times New Roman" w:eastAsia="宋体"/>
          <w:snapToGrid w:val="0"/>
          <w:sz w:val="30"/>
          <w:szCs w:val="30"/>
        </w:rPr>
      </w:pPr>
      <w:r>
        <w:rPr>
          <w:rFonts w:ascii="Times New Roman" w:hAnsi="Times New Roman" w:eastAsia="宋体"/>
          <w:snapToGrid w:val="0"/>
          <w:sz w:val="36"/>
          <w:szCs w:val="36"/>
        </w:rPr>
        <w:br w:type="page"/>
      </w:r>
      <w:r>
        <w:rPr>
          <w:rFonts w:ascii="Times New Roman" w:hAnsi="Times New Roman" w:eastAsia="宋体"/>
          <w:snapToGrid w:val="0"/>
          <w:sz w:val="30"/>
          <w:szCs w:val="30"/>
        </w:rPr>
        <w:t>四、主要环境影响和保护措施</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6" w:type="dxa"/>
            <w:tcMar>
              <w:left w:w="28" w:type="dxa"/>
              <w:right w:w="28" w:type="dxa"/>
            </w:tcMar>
            <w:vAlign w:val="center"/>
          </w:tcPr>
          <w:p>
            <w:pPr>
              <w:pStyle w:val="20"/>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施工</w:t>
            </w:r>
          </w:p>
          <w:p>
            <w:pPr>
              <w:pStyle w:val="20"/>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期环</w:t>
            </w:r>
          </w:p>
          <w:p>
            <w:pPr>
              <w:pStyle w:val="20"/>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境保</w:t>
            </w:r>
          </w:p>
          <w:p>
            <w:pPr>
              <w:pStyle w:val="20"/>
              <w:adjustRightInd w:val="0"/>
              <w:snapToGrid w:val="0"/>
              <w:spacing w:before="0" w:beforeAutospacing="0" w:after="0" w:afterAutospacing="0"/>
              <w:jc w:val="center"/>
              <w:rPr>
                <w:rFonts w:ascii="Times New Roman" w:hAnsi="Times New Roman" w:eastAsia="宋体"/>
                <w:kern w:val="2"/>
                <w:szCs w:val="21"/>
              </w:rPr>
            </w:pPr>
            <w:r>
              <w:rPr>
                <w:rFonts w:ascii="Times New Roman" w:hAnsi="Times New Roman" w:eastAsia="宋体"/>
                <w:kern w:val="2"/>
                <w:szCs w:val="21"/>
              </w:rPr>
              <w:t>护措</w:t>
            </w:r>
          </w:p>
          <w:p>
            <w:pPr>
              <w:pStyle w:val="20"/>
              <w:adjustRightInd w:val="0"/>
              <w:snapToGrid w:val="0"/>
              <w:spacing w:before="0" w:beforeAutospacing="0" w:after="0" w:afterAutospacing="0"/>
              <w:jc w:val="center"/>
              <w:rPr>
                <w:rFonts w:ascii="Times New Roman" w:hAnsi="Times New Roman" w:eastAsia="宋体"/>
                <w:bCs/>
                <w:kern w:val="2"/>
                <w:sz w:val="21"/>
                <w:szCs w:val="21"/>
              </w:rPr>
            </w:pPr>
            <w:r>
              <w:rPr>
                <w:rFonts w:ascii="Times New Roman" w:hAnsi="Times New Roman" w:eastAsia="宋体"/>
                <w:kern w:val="2"/>
                <w:szCs w:val="21"/>
              </w:rPr>
              <w:t>施</w:t>
            </w:r>
          </w:p>
        </w:tc>
        <w:tc>
          <w:tcPr>
            <w:tcW w:w="8162" w:type="dxa"/>
            <w:vAlign w:val="center"/>
          </w:tcPr>
          <w:p>
            <w:pPr>
              <w:snapToGrid w:val="0"/>
              <w:spacing w:line="360" w:lineRule="auto"/>
              <w:ind w:firstLine="480" w:firstLineChars="200"/>
              <w:rPr>
                <w:b/>
                <w:bCs/>
                <w:color w:val="auto"/>
                <w:sz w:val="24"/>
              </w:rPr>
            </w:pPr>
            <w:r>
              <w:rPr>
                <w:rFonts w:ascii="Times New Roman" w:hAnsi="Times New Roman" w:eastAsia="宋体"/>
                <w:sz w:val="24"/>
                <w:szCs w:val="32"/>
              </w:rPr>
              <w:t>本项目</w:t>
            </w:r>
            <w:r>
              <w:rPr>
                <w:bCs/>
                <w:color w:val="auto"/>
                <w:sz w:val="24"/>
              </w:rPr>
              <w:t>针对施工期废气、废水、噪声和固体废物环境影响采取治理措施如下：</w:t>
            </w:r>
          </w:p>
          <w:p>
            <w:pPr>
              <w:spacing w:line="360" w:lineRule="auto"/>
              <w:ind w:firstLine="482" w:firstLineChars="200"/>
              <w:rPr>
                <w:b/>
                <w:bCs/>
                <w:color w:val="auto"/>
                <w:sz w:val="24"/>
                <w:szCs w:val="32"/>
              </w:rPr>
            </w:pPr>
            <w:r>
              <w:rPr>
                <w:rFonts w:hint="eastAsia"/>
                <w:b/>
                <w:bCs/>
                <w:color w:val="auto"/>
                <w:sz w:val="24"/>
                <w:szCs w:val="32"/>
                <w:lang w:val="en-US" w:eastAsia="zh-CN"/>
              </w:rPr>
              <w:t>一、</w:t>
            </w:r>
            <w:r>
              <w:rPr>
                <w:b/>
                <w:bCs/>
                <w:color w:val="auto"/>
                <w:sz w:val="24"/>
                <w:szCs w:val="32"/>
              </w:rPr>
              <w:t>施工期废气污染防治措施</w:t>
            </w:r>
          </w:p>
          <w:p>
            <w:pPr>
              <w:spacing w:line="360" w:lineRule="auto"/>
              <w:ind w:firstLine="480" w:firstLineChars="200"/>
              <w:rPr>
                <w:color w:val="auto"/>
                <w:sz w:val="24"/>
                <w:szCs w:val="32"/>
              </w:rPr>
            </w:pPr>
            <w:r>
              <w:rPr>
                <w:color w:val="auto"/>
                <w:sz w:val="24"/>
                <w:szCs w:val="32"/>
              </w:rPr>
              <w:t>为使施工过程中产生的粉尘对周围环境空气的影响降低到最小程度，建议采取以下防护措施：对容易产生扬尘的建筑材料应放在室内，专人管理，避免散装水泥、砂石等物料露天堆放；运输车辆在运载散粒状建筑材料时，应按载重量装载并且设有苫布遮盖等防护措施。</w:t>
            </w:r>
          </w:p>
          <w:p>
            <w:pPr>
              <w:spacing w:line="360" w:lineRule="auto"/>
              <w:ind w:firstLine="482" w:firstLineChars="200"/>
              <w:rPr>
                <w:b/>
                <w:bCs/>
                <w:color w:val="auto"/>
                <w:sz w:val="24"/>
                <w:szCs w:val="32"/>
              </w:rPr>
            </w:pPr>
            <w:r>
              <w:rPr>
                <w:rFonts w:hint="eastAsia"/>
                <w:b/>
                <w:bCs/>
                <w:color w:val="auto"/>
                <w:sz w:val="24"/>
                <w:szCs w:val="32"/>
                <w:lang w:val="en-US" w:eastAsia="zh-CN"/>
              </w:rPr>
              <w:t>二、</w:t>
            </w:r>
            <w:r>
              <w:rPr>
                <w:b/>
                <w:bCs/>
                <w:color w:val="auto"/>
                <w:sz w:val="24"/>
                <w:szCs w:val="32"/>
              </w:rPr>
              <w:t>施工期废水污染防治措施</w:t>
            </w:r>
          </w:p>
          <w:p>
            <w:pPr>
              <w:spacing w:line="360" w:lineRule="auto"/>
              <w:ind w:firstLine="480" w:firstLineChars="200"/>
              <w:rPr>
                <w:color w:val="auto"/>
                <w:sz w:val="24"/>
              </w:rPr>
            </w:pPr>
            <w:r>
              <w:rPr>
                <w:color w:val="auto"/>
                <w:sz w:val="24"/>
                <w:szCs w:val="32"/>
              </w:rPr>
              <w:t>施工期废水主要为生产废水和生活污水，施工期废水主要是施工过程中产生的含有泥浆或砂石的工程废水，施工废水经沉淀池处理后，上清液用于洒水抑尘，回用于施工过程，不外排；生活污水依托现有</w:t>
            </w:r>
            <w:r>
              <w:rPr>
                <w:rFonts w:hint="eastAsia"/>
                <w:color w:val="auto"/>
                <w:sz w:val="24"/>
                <w:szCs w:val="32"/>
                <w:lang w:val="en-US" w:eastAsia="zh-CN"/>
              </w:rPr>
              <w:t>办公楼内设施</w:t>
            </w:r>
            <w:r>
              <w:rPr>
                <w:color w:val="auto"/>
                <w:sz w:val="24"/>
                <w:szCs w:val="32"/>
              </w:rPr>
              <w:t>，生活污水经市政管网排入</w:t>
            </w:r>
            <w:r>
              <w:rPr>
                <w:rFonts w:hint="eastAsia"/>
                <w:color w:val="auto"/>
                <w:sz w:val="24"/>
                <w:lang w:val="zh-CN"/>
              </w:rPr>
              <w:t>柏林水务长春高新污水处理有限公司</w:t>
            </w:r>
            <w:r>
              <w:rPr>
                <w:color w:val="auto"/>
                <w:sz w:val="24"/>
                <w:szCs w:val="32"/>
                <w:lang w:val="zh-CN"/>
              </w:rPr>
              <w:t>，处理达标后排放</w:t>
            </w:r>
            <w:r>
              <w:rPr>
                <w:color w:val="auto"/>
                <w:sz w:val="24"/>
                <w:szCs w:val="32"/>
              </w:rPr>
              <w:t>。对周围地表水环境影响较小。</w:t>
            </w:r>
          </w:p>
          <w:p>
            <w:pPr>
              <w:spacing w:line="360" w:lineRule="auto"/>
              <w:ind w:firstLine="482" w:firstLineChars="200"/>
              <w:rPr>
                <w:b/>
                <w:bCs/>
                <w:color w:val="auto"/>
                <w:sz w:val="24"/>
              </w:rPr>
            </w:pPr>
            <w:r>
              <w:rPr>
                <w:rFonts w:hint="eastAsia"/>
                <w:b/>
                <w:bCs/>
                <w:color w:val="auto"/>
                <w:sz w:val="24"/>
                <w:lang w:val="en-US" w:eastAsia="zh-CN"/>
              </w:rPr>
              <w:t>三、</w:t>
            </w:r>
            <w:r>
              <w:rPr>
                <w:b/>
                <w:bCs/>
                <w:color w:val="auto"/>
                <w:sz w:val="24"/>
              </w:rPr>
              <w:t>施工期噪声污染防治措施</w:t>
            </w:r>
          </w:p>
          <w:p>
            <w:pPr>
              <w:snapToGrid w:val="0"/>
              <w:spacing w:line="360" w:lineRule="auto"/>
              <w:ind w:firstLine="480" w:firstLineChars="200"/>
              <w:rPr>
                <w:bCs/>
                <w:color w:val="auto"/>
                <w:sz w:val="24"/>
              </w:rPr>
            </w:pPr>
            <w:r>
              <w:rPr>
                <w:bCs/>
                <w:color w:val="auto"/>
                <w:sz w:val="24"/>
              </w:rPr>
              <w:t>施工噪声不稳定，因此针对各主要噪声设备采取以下减噪措施：</w:t>
            </w:r>
          </w:p>
          <w:p>
            <w:pPr>
              <w:snapToGrid w:val="0"/>
              <w:spacing w:line="360" w:lineRule="auto"/>
              <w:ind w:firstLine="480" w:firstLineChars="200"/>
              <w:rPr>
                <w:bCs/>
                <w:color w:val="auto"/>
                <w:sz w:val="24"/>
              </w:rPr>
            </w:pPr>
            <w:r>
              <w:rPr>
                <w:bCs/>
                <w:color w:val="auto"/>
                <w:sz w:val="24"/>
              </w:rPr>
              <w:t>①施工部门应尽量选用低噪声的机械设备，以便有效缩小施工期的噪声影响范围。</w:t>
            </w:r>
          </w:p>
          <w:p>
            <w:pPr>
              <w:snapToGrid w:val="0"/>
              <w:spacing w:line="360" w:lineRule="auto"/>
              <w:ind w:firstLine="480" w:firstLineChars="200"/>
              <w:rPr>
                <w:bCs/>
                <w:color w:val="auto"/>
                <w:sz w:val="24"/>
              </w:rPr>
            </w:pPr>
            <w:r>
              <w:rPr>
                <w:bCs/>
                <w:color w:val="auto"/>
                <w:sz w:val="24"/>
              </w:rPr>
              <w:t>②施工机械设备应经常维修，减小噪声污染范围。</w:t>
            </w:r>
          </w:p>
          <w:p>
            <w:pPr>
              <w:snapToGrid w:val="0"/>
              <w:spacing w:line="360" w:lineRule="auto"/>
              <w:ind w:firstLine="480" w:firstLineChars="200"/>
              <w:rPr>
                <w:bCs/>
                <w:color w:val="auto"/>
                <w:sz w:val="24"/>
              </w:rPr>
            </w:pPr>
            <w:r>
              <w:rPr>
                <w:bCs/>
                <w:color w:val="auto"/>
                <w:sz w:val="24"/>
              </w:rPr>
              <w:t>③施工部门应合理安排好施工时间，在夜间10点至凌晨6点之间停止作业。</w:t>
            </w:r>
          </w:p>
          <w:p>
            <w:pPr>
              <w:snapToGrid w:val="0"/>
              <w:spacing w:line="360" w:lineRule="auto"/>
              <w:ind w:firstLine="480" w:firstLineChars="200"/>
              <w:rPr>
                <w:bCs/>
                <w:color w:val="auto"/>
                <w:sz w:val="24"/>
              </w:rPr>
            </w:pPr>
            <w:r>
              <w:rPr>
                <w:bCs/>
                <w:color w:val="auto"/>
                <w:sz w:val="24"/>
              </w:rPr>
              <w:fldChar w:fldCharType="begin"/>
            </w:r>
            <w:r>
              <w:rPr>
                <w:bCs/>
                <w:color w:val="auto"/>
                <w:sz w:val="24"/>
              </w:rPr>
              <w:instrText xml:space="preserve"> = 4 \* GB3 </w:instrText>
            </w:r>
            <w:r>
              <w:rPr>
                <w:bCs/>
                <w:color w:val="auto"/>
                <w:sz w:val="24"/>
              </w:rPr>
              <w:fldChar w:fldCharType="separate"/>
            </w:r>
            <w:r>
              <w:rPr>
                <w:bCs/>
                <w:color w:val="auto"/>
                <w:sz w:val="24"/>
              </w:rPr>
              <w:t>④</w:t>
            </w:r>
            <w:r>
              <w:rPr>
                <w:bCs/>
                <w:color w:val="auto"/>
                <w:sz w:val="24"/>
              </w:rPr>
              <w:fldChar w:fldCharType="end"/>
            </w:r>
            <w:r>
              <w:rPr>
                <w:bCs/>
                <w:color w:val="auto"/>
                <w:sz w:val="24"/>
              </w:rPr>
              <w:t>现场施工人员应加强卫生防护措施，包括缩短工作时间或采取个人防护，防止噪声对人体的损害。</w:t>
            </w:r>
          </w:p>
          <w:p>
            <w:pPr>
              <w:spacing w:line="360" w:lineRule="auto"/>
              <w:ind w:firstLine="482" w:firstLineChars="200"/>
              <w:jc w:val="left"/>
              <w:rPr>
                <w:b/>
                <w:bCs/>
                <w:color w:val="auto"/>
                <w:sz w:val="24"/>
                <w:szCs w:val="28"/>
              </w:rPr>
            </w:pPr>
            <w:r>
              <w:rPr>
                <w:rFonts w:hint="eastAsia"/>
                <w:b/>
                <w:bCs/>
                <w:color w:val="auto"/>
                <w:sz w:val="24"/>
                <w:lang w:val="en-US" w:eastAsia="zh-CN"/>
              </w:rPr>
              <w:t>四、</w:t>
            </w:r>
            <w:r>
              <w:rPr>
                <w:b/>
                <w:bCs/>
                <w:color w:val="auto"/>
                <w:sz w:val="24"/>
                <w:szCs w:val="28"/>
              </w:rPr>
              <w:t>施工期固体废物污染防治措施</w:t>
            </w:r>
          </w:p>
          <w:p>
            <w:pPr>
              <w:spacing w:line="360" w:lineRule="auto"/>
              <w:ind w:firstLine="480" w:firstLineChars="200"/>
              <w:rPr>
                <w:color w:val="auto"/>
                <w:sz w:val="24"/>
              </w:rPr>
            </w:pPr>
            <w:r>
              <w:rPr>
                <w:color w:val="auto"/>
                <w:sz w:val="24"/>
                <w:szCs w:val="32"/>
              </w:rPr>
              <w:t>施工期生活垃圾收集至现有垃圾箱，由当地环卫部门统一处理；施工建筑垃圾全部运至建筑垃圾填埋场填埋处置，在采取上述措施后，施工期固体废物不会产生二次污染。</w:t>
            </w:r>
          </w:p>
          <w:p>
            <w:pPr>
              <w:spacing w:line="360" w:lineRule="auto"/>
              <w:ind w:firstLine="482" w:firstLineChars="200"/>
              <w:jc w:val="left"/>
              <w:rPr>
                <w:b/>
                <w:bCs/>
                <w:color w:val="auto"/>
                <w:sz w:val="24"/>
              </w:rPr>
            </w:pPr>
            <w:r>
              <w:rPr>
                <w:rFonts w:hint="eastAsia"/>
                <w:b/>
                <w:bCs/>
                <w:color w:val="auto"/>
                <w:sz w:val="24"/>
                <w:lang w:val="en-US" w:eastAsia="zh-CN"/>
              </w:rPr>
              <w:t>五、</w:t>
            </w:r>
            <w:r>
              <w:rPr>
                <w:b/>
                <w:bCs/>
                <w:color w:val="auto"/>
                <w:sz w:val="24"/>
              </w:rPr>
              <w:t>施工期生态环境影响防治措施</w:t>
            </w:r>
          </w:p>
          <w:p>
            <w:pPr>
              <w:pStyle w:val="82"/>
              <w:ind w:firstLine="420"/>
              <w:rPr>
                <w:rFonts w:hint="eastAsia" w:ascii="Times New Roman" w:hAnsi="Times New Roman" w:eastAsia="宋体"/>
                <w:sz w:val="24"/>
                <w:szCs w:val="22"/>
                <w:lang w:eastAsia="zh-CN"/>
              </w:rPr>
            </w:pPr>
            <w:r>
              <w:rPr>
                <w:color w:val="auto"/>
                <w:sz w:val="24"/>
              </w:rPr>
              <w:t>本项目的建设不会对生态环境产生较大的影响</w:t>
            </w: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2" w:hRule="atLeast"/>
          <w:jc w:val="center"/>
        </w:trPr>
        <w:tc>
          <w:tcPr>
            <w:tcW w:w="746" w:type="dxa"/>
            <w:tcMar>
              <w:left w:w="28" w:type="dxa"/>
              <w:right w:w="28" w:type="dxa"/>
            </w:tcMar>
            <w:vAlign w:val="center"/>
          </w:tcPr>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运营</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期环</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境影</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响和</w:t>
            </w:r>
          </w:p>
          <w:p>
            <w:pPr>
              <w:adjustRightInd w:val="0"/>
              <w:snapToGrid w:val="0"/>
              <w:jc w:val="center"/>
              <w:rPr>
                <w:rFonts w:ascii="Times New Roman" w:hAnsi="Times New Roman" w:eastAsia="宋体"/>
                <w:bCs/>
                <w:sz w:val="24"/>
                <w:szCs w:val="21"/>
              </w:rPr>
            </w:pPr>
            <w:r>
              <w:rPr>
                <w:rFonts w:ascii="Times New Roman" w:hAnsi="Times New Roman" w:eastAsia="宋体"/>
                <w:bCs/>
                <w:sz w:val="24"/>
                <w:szCs w:val="21"/>
              </w:rPr>
              <w:t>保护</w:t>
            </w:r>
          </w:p>
          <w:p>
            <w:pPr>
              <w:adjustRightInd w:val="0"/>
              <w:snapToGrid w:val="0"/>
              <w:jc w:val="center"/>
              <w:rPr>
                <w:rFonts w:ascii="Times New Roman" w:hAnsi="Times New Roman" w:eastAsia="宋体"/>
                <w:bCs/>
                <w:szCs w:val="21"/>
              </w:rPr>
            </w:pPr>
            <w:r>
              <w:rPr>
                <w:rFonts w:ascii="Times New Roman" w:hAnsi="Times New Roman" w:eastAsia="宋体"/>
                <w:bCs/>
                <w:sz w:val="24"/>
                <w:szCs w:val="21"/>
              </w:rPr>
              <w:t>措施</w:t>
            </w:r>
          </w:p>
        </w:tc>
        <w:tc>
          <w:tcPr>
            <w:tcW w:w="8162" w:type="dxa"/>
          </w:tcPr>
          <w:p>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一、废水</w:t>
            </w:r>
          </w:p>
          <w:p>
            <w:pPr>
              <w:pStyle w:val="50"/>
              <w:ind w:firstLine="482"/>
              <w:rPr>
                <w:rFonts w:ascii="Times New Roman" w:hAnsi="Times New Roman" w:eastAsia="宋体"/>
                <w:b/>
                <w:color w:val="000000"/>
                <w:sz w:val="24"/>
                <w:szCs w:val="24"/>
              </w:rPr>
            </w:pPr>
            <w:r>
              <w:rPr>
                <w:rFonts w:hint="eastAsia" w:ascii="Times New Roman" w:hAnsi="Times New Roman" w:eastAsia="宋体"/>
                <w:b/>
                <w:color w:val="000000"/>
                <w:sz w:val="24"/>
                <w:szCs w:val="24"/>
              </w:rPr>
              <w:t>1、污染物</w:t>
            </w:r>
            <w:r>
              <w:rPr>
                <w:rFonts w:ascii="Times New Roman" w:hAnsi="Times New Roman" w:eastAsia="宋体"/>
                <w:b/>
                <w:color w:val="000000"/>
                <w:sz w:val="24"/>
                <w:szCs w:val="24"/>
              </w:rPr>
              <w:t>产生量核算</w:t>
            </w:r>
          </w:p>
          <w:p>
            <w:pPr>
              <w:spacing w:line="360" w:lineRule="auto"/>
              <w:ind w:firstLine="480" w:firstLineChars="200"/>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本项目运营期废水主要为锅炉排污水</w:t>
            </w:r>
            <w:r>
              <w:rPr>
                <w:rFonts w:hint="eastAsia" w:ascii="Times New Roman" w:hAnsi="Times New Roman" w:eastAsia="宋体"/>
                <w:color w:val="000000"/>
                <w:kern w:val="0"/>
                <w:sz w:val="24"/>
                <w:szCs w:val="24"/>
                <w:lang w:val="en-US" w:eastAsia="zh-CN"/>
              </w:rPr>
              <w:t>和生活排污水</w:t>
            </w:r>
            <w:r>
              <w:rPr>
                <w:rFonts w:hint="eastAsia" w:ascii="Times New Roman" w:hAnsi="Times New Roman" w:eastAsia="宋体"/>
                <w:color w:val="000000"/>
                <w:kern w:val="0"/>
                <w:sz w:val="24"/>
                <w:szCs w:val="24"/>
              </w:rPr>
              <w:t>，详情见下表。</w:t>
            </w:r>
          </w:p>
          <w:p>
            <w:pPr>
              <w:spacing w:line="240" w:lineRule="auto"/>
              <w:jc w:val="center"/>
              <w:rPr>
                <w:rFonts w:ascii="Times New Roman" w:hAnsi="Times New Roman" w:eastAsia="宋体"/>
                <w:b/>
                <w:color w:val="000000"/>
                <w:sz w:val="21"/>
                <w:szCs w:val="21"/>
              </w:rPr>
            </w:pPr>
            <w:r>
              <w:rPr>
                <w:rFonts w:hint="eastAsia" w:ascii="Times New Roman" w:hAnsi="Times New Roman" w:eastAsia="宋体"/>
                <w:b/>
                <w:color w:val="000000"/>
                <w:sz w:val="21"/>
                <w:szCs w:val="21"/>
              </w:rPr>
              <w:t>表</w:t>
            </w:r>
            <w:r>
              <w:rPr>
                <w:rFonts w:hint="eastAsia"/>
                <w:b/>
                <w:color w:val="000000"/>
                <w:sz w:val="21"/>
                <w:szCs w:val="21"/>
                <w:lang w:val="en-US" w:eastAsia="zh-CN"/>
              </w:rPr>
              <w:t>4-1</w:t>
            </w:r>
            <w:r>
              <w:rPr>
                <w:rFonts w:ascii="Times New Roman" w:hAnsi="Times New Roman" w:eastAsia="宋体"/>
                <w:b/>
                <w:color w:val="000000"/>
                <w:sz w:val="21"/>
                <w:szCs w:val="21"/>
              </w:rPr>
              <w:t xml:space="preserve">  </w:t>
            </w:r>
            <w:r>
              <w:rPr>
                <w:rFonts w:hint="eastAsia" w:ascii="Times New Roman" w:hAnsi="Times New Roman" w:eastAsia="宋体"/>
                <w:b/>
                <w:color w:val="000000"/>
                <w:sz w:val="21"/>
                <w:szCs w:val="21"/>
              </w:rPr>
              <w:t>废水污染物产生与排放情况一览表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397"/>
              <w:gridCol w:w="1094"/>
              <w:gridCol w:w="2230"/>
              <w:gridCol w:w="19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82"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排放源</w:t>
                  </w:r>
                </w:p>
              </w:tc>
              <w:tc>
                <w:tcPr>
                  <w:tcW w:w="879"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产生量（t/a）</w:t>
                  </w:r>
                </w:p>
              </w:tc>
              <w:tc>
                <w:tcPr>
                  <w:tcW w:w="688"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污染物</w:t>
                  </w:r>
                </w:p>
              </w:tc>
              <w:tc>
                <w:tcPr>
                  <w:tcW w:w="1403"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污染物产生浓</w:t>
                  </w:r>
                  <w:r>
                    <w:rPr>
                      <w:rStyle w:val="28"/>
                      <w:rFonts w:ascii="Times New Roman" w:hAnsi="Times New Roman" w:eastAsia="宋体"/>
                      <w:sz w:val="21"/>
                      <w:szCs w:val="21"/>
                    </w:rPr>
                    <w:t>度</w:t>
                  </w:r>
                  <w:r>
                    <w:rPr>
                      <w:rFonts w:ascii="Times New Roman" w:hAnsi="Times New Roman" w:eastAsia="宋体"/>
                      <w:sz w:val="21"/>
                      <w:szCs w:val="21"/>
                    </w:rPr>
                    <w:t>（mg/L）</w:t>
                  </w:r>
                </w:p>
              </w:tc>
              <w:tc>
                <w:tcPr>
                  <w:tcW w:w="1247" w:type="pct"/>
                  <w:vAlign w:val="center"/>
                </w:tcPr>
                <w:p>
                  <w:pPr>
                    <w:spacing w:line="240" w:lineRule="auto"/>
                    <w:jc w:val="center"/>
                    <w:rPr>
                      <w:rFonts w:ascii="Times New Roman" w:hAnsi="Times New Roman" w:eastAsia="宋体"/>
                      <w:sz w:val="21"/>
                      <w:szCs w:val="21"/>
                    </w:rPr>
                  </w:pPr>
                  <w:r>
                    <w:rPr>
                      <w:rFonts w:ascii="Times New Roman" w:hAnsi="Times New Roman" w:eastAsia="宋体"/>
                      <w:sz w:val="21"/>
                      <w:szCs w:val="21"/>
                    </w:rPr>
                    <w:t>污染物产生量（t/a）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2" w:type="pct"/>
                  <w:vAlign w:val="center"/>
                </w:tcPr>
                <w:p>
                  <w:pPr>
                    <w:spacing w:line="240" w:lineRule="auto"/>
                    <w:jc w:val="center"/>
                    <w:rPr>
                      <w:rFonts w:ascii="Times New Roman" w:hAnsi="Times New Roman" w:eastAsia="宋体"/>
                      <w:spacing w:val="-4"/>
                      <w:sz w:val="21"/>
                      <w:szCs w:val="21"/>
                    </w:rPr>
                  </w:pPr>
                  <w:r>
                    <w:rPr>
                      <w:rFonts w:hint="eastAsia" w:ascii="Times New Roman" w:hAnsi="Times New Roman" w:eastAsia="宋体"/>
                      <w:spacing w:val="-4"/>
                      <w:sz w:val="21"/>
                      <w:szCs w:val="21"/>
                    </w:rPr>
                    <w:t>锅炉排污水</w:t>
                  </w:r>
                </w:p>
              </w:tc>
              <w:tc>
                <w:tcPr>
                  <w:tcW w:w="879" w:type="pct"/>
                  <w:vAlign w:val="center"/>
                </w:tcPr>
                <w:p>
                  <w:pPr>
                    <w:spacing w:line="240" w:lineRule="auto"/>
                    <w:jc w:val="center"/>
                    <w:rPr>
                      <w:rFonts w:hint="default" w:ascii="Times New Roman" w:hAnsi="Times New Roman" w:eastAsia="宋体"/>
                      <w:sz w:val="21"/>
                      <w:szCs w:val="21"/>
                      <w:lang w:val="en-US" w:eastAsia="zh-CN"/>
                    </w:rPr>
                  </w:pPr>
                  <w:r>
                    <w:rPr>
                      <w:rFonts w:hint="eastAsia"/>
                      <w:sz w:val="21"/>
                      <w:szCs w:val="21"/>
                      <w:lang w:val="en-US" w:eastAsia="zh-CN"/>
                    </w:rPr>
                    <w:t>135.6</w:t>
                  </w:r>
                </w:p>
              </w:tc>
              <w:tc>
                <w:tcPr>
                  <w:tcW w:w="688" w:type="pct"/>
                  <w:vAlign w:val="center"/>
                </w:tcPr>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COD</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SS</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氨氮</w:t>
                  </w:r>
                </w:p>
              </w:tc>
              <w:tc>
                <w:tcPr>
                  <w:tcW w:w="1403" w:type="pct"/>
                  <w:vAlign w:val="center"/>
                </w:tcPr>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150</w:t>
                  </w:r>
                </w:p>
                <w:p>
                  <w:pPr>
                    <w:pStyle w:val="72"/>
                    <w:spacing w:line="240" w:lineRule="auto"/>
                    <w:jc w:val="center"/>
                    <w:rPr>
                      <w:rFonts w:ascii="Times New Roman" w:hAnsi="Times New Roman" w:eastAsia="宋体"/>
                      <w:sz w:val="21"/>
                      <w:szCs w:val="21"/>
                    </w:rPr>
                  </w:pPr>
                  <w:r>
                    <w:rPr>
                      <w:rFonts w:hint="eastAsia" w:ascii="Times New Roman" w:hAnsi="Times New Roman" w:eastAsia="宋体"/>
                      <w:sz w:val="21"/>
                      <w:szCs w:val="21"/>
                    </w:rPr>
                    <w:t>65</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50</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10</w:t>
                  </w:r>
                </w:p>
              </w:tc>
              <w:tc>
                <w:tcPr>
                  <w:tcW w:w="1247" w:type="pct"/>
                  <w:vAlign w:val="center"/>
                </w:tcPr>
                <w:p>
                  <w:pPr>
                    <w:spacing w:line="240" w:lineRule="auto"/>
                    <w:jc w:val="center"/>
                    <w:rPr>
                      <w:rFonts w:hint="eastAsia"/>
                      <w:sz w:val="21"/>
                      <w:szCs w:val="21"/>
                      <w:lang w:val="en-US" w:eastAsia="zh-CN"/>
                    </w:rPr>
                  </w:pPr>
                  <w:r>
                    <w:rPr>
                      <w:rFonts w:hint="eastAsia"/>
                      <w:sz w:val="21"/>
                      <w:szCs w:val="21"/>
                      <w:lang w:val="en-US" w:eastAsia="zh-CN"/>
                    </w:rPr>
                    <w:t>0.02034</w:t>
                  </w:r>
                </w:p>
                <w:p>
                  <w:pPr>
                    <w:spacing w:line="240" w:lineRule="auto"/>
                    <w:jc w:val="center"/>
                    <w:rPr>
                      <w:rFonts w:hint="eastAsia"/>
                      <w:sz w:val="21"/>
                      <w:szCs w:val="21"/>
                      <w:lang w:val="en-US" w:eastAsia="zh-CN"/>
                    </w:rPr>
                  </w:pPr>
                  <w:r>
                    <w:rPr>
                      <w:rFonts w:hint="eastAsia"/>
                      <w:sz w:val="21"/>
                      <w:szCs w:val="21"/>
                      <w:lang w:val="en-US" w:eastAsia="zh-CN"/>
                    </w:rPr>
                    <w:t>0.00881</w:t>
                  </w:r>
                </w:p>
                <w:p>
                  <w:pPr>
                    <w:spacing w:line="240" w:lineRule="auto"/>
                    <w:jc w:val="center"/>
                    <w:rPr>
                      <w:rFonts w:hint="eastAsia"/>
                      <w:sz w:val="21"/>
                      <w:szCs w:val="21"/>
                      <w:lang w:val="en-US" w:eastAsia="zh-CN"/>
                    </w:rPr>
                  </w:pPr>
                  <w:r>
                    <w:rPr>
                      <w:rFonts w:hint="eastAsia"/>
                      <w:sz w:val="21"/>
                      <w:szCs w:val="21"/>
                      <w:lang w:val="en-US" w:eastAsia="zh-CN"/>
                    </w:rPr>
                    <w:t>0.00678</w:t>
                  </w:r>
                </w:p>
                <w:p>
                  <w:pPr>
                    <w:spacing w:line="240" w:lineRule="auto"/>
                    <w:jc w:val="center"/>
                    <w:rPr>
                      <w:rFonts w:hint="default" w:ascii="Times New Roman" w:hAnsi="Times New Roman" w:eastAsia="宋体"/>
                      <w:sz w:val="21"/>
                      <w:szCs w:val="21"/>
                      <w:lang w:val="en-US" w:eastAsia="zh-CN"/>
                    </w:rPr>
                  </w:pPr>
                  <w:r>
                    <w:rPr>
                      <w:rFonts w:hint="eastAsia"/>
                      <w:sz w:val="21"/>
                      <w:szCs w:val="21"/>
                      <w:lang w:val="en-US" w:eastAsia="zh-CN"/>
                    </w:rPr>
                    <w:t>0.00136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2" w:type="pct"/>
                  <w:vAlign w:val="center"/>
                </w:tcPr>
                <w:p>
                  <w:pPr>
                    <w:spacing w:line="240" w:lineRule="auto"/>
                    <w:jc w:val="center"/>
                    <w:rPr>
                      <w:rFonts w:hint="eastAsia" w:ascii="Times New Roman" w:hAnsi="Times New Roman" w:eastAsia="宋体"/>
                      <w:spacing w:val="-4"/>
                      <w:sz w:val="21"/>
                      <w:szCs w:val="21"/>
                      <w:lang w:val="en-US" w:eastAsia="zh-CN"/>
                    </w:rPr>
                  </w:pPr>
                  <w:r>
                    <w:rPr>
                      <w:rFonts w:hint="eastAsia" w:ascii="Times New Roman" w:hAnsi="Times New Roman" w:eastAsia="宋体"/>
                      <w:spacing w:val="-4"/>
                      <w:sz w:val="21"/>
                      <w:szCs w:val="21"/>
                      <w:lang w:val="en-US" w:eastAsia="zh-CN"/>
                    </w:rPr>
                    <w:t>生活污水</w:t>
                  </w:r>
                </w:p>
              </w:tc>
              <w:tc>
                <w:tcPr>
                  <w:tcW w:w="879" w:type="pct"/>
                  <w:vAlign w:val="center"/>
                </w:tcPr>
                <w:p>
                  <w:pPr>
                    <w:spacing w:line="240" w:lineRule="auto"/>
                    <w:jc w:val="center"/>
                    <w:rPr>
                      <w:rFonts w:hint="default" w:ascii="Times New Roman" w:hAnsi="Times New Roman" w:eastAsia="宋体"/>
                      <w:sz w:val="21"/>
                      <w:szCs w:val="21"/>
                      <w:lang w:val="en-US" w:eastAsia="zh-CN"/>
                    </w:rPr>
                  </w:pPr>
                  <w:r>
                    <w:rPr>
                      <w:rFonts w:hint="eastAsia"/>
                      <w:sz w:val="21"/>
                      <w:szCs w:val="21"/>
                      <w:lang w:val="en-US" w:eastAsia="zh-CN"/>
                    </w:rPr>
                    <w:t>250</w:t>
                  </w:r>
                </w:p>
              </w:tc>
              <w:tc>
                <w:tcPr>
                  <w:tcW w:w="688" w:type="pct"/>
                  <w:vAlign w:val="center"/>
                </w:tcPr>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COD</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SS</w:t>
                  </w:r>
                </w:p>
                <w:p>
                  <w:pPr>
                    <w:pStyle w:val="72"/>
                    <w:spacing w:line="240" w:lineRule="auto"/>
                    <w:jc w:val="center"/>
                    <w:rPr>
                      <w:rFonts w:ascii="Times New Roman" w:hAnsi="Times New Roman" w:eastAsia="宋体"/>
                      <w:sz w:val="21"/>
                      <w:szCs w:val="21"/>
                    </w:rPr>
                  </w:pPr>
                  <w:r>
                    <w:rPr>
                      <w:rFonts w:ascii="Times New Roman" w:hAnsi="Times New Roman" w:eastAsia="宋体"/>
                      <w:sz w:val="21"/>
                      <w:szCs w:val="21"/>
                    </w:rPr>
                    <w:t>氨氮</w:t>
                  </w:r>
                </w:p>
              </w:tc>
              <w:tc>
                <w:tcPr>
                  <w:tcW w:w="1403" w:type="pct"/>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p>
                  <w:pPr>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150</w:t>
                  </w:r>
                </w:p>
                <w:p>
                  <w:pPr>
                    <w:spacing w:line="240" w:lineRule="auto"/>
                    <w:jc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180</w:t>
                  </w:r>
                </w:p>
                <w:p>
                  <w:pPr>
                    <w:pStyle w:val="72"/>
                    <w:spacing w:line="240" w:lineRule="auto"/>
                    <w:jc w:val="center"/>
                    <w:rPr>
                      <w:rFonts w:ascii="Times New Roman" w:hAnsi="Times New Roman" w:eastAsia="宋体"/>
                      <w:sz w:val="21"/>
                      <w:szCs w:val="21"/>
                    </w:rPr>
                  </w:pPr>
                  <w:r>
                    <w:rPr>
                      <w:rFonts w:hint="default" w:ascii="Times New Roman" w:hAnsi="Times New Roman" w:eastAsia="宋体" w:cs="Times New Roman"/>
                      <w:color w:val="auto"/>
                      <w:sz w:val="21"/>
                      <w:szCs w:val="21"/>
                    </w:rPr>
                    <w:t>30</w:t>
                  </w:r>
                </w:p>
              </w:tc>
              <w:tc>
                <w:tcPr>
                  <w:tcW w:w="1247" w:type="pct"/>
                  <w:vAlign w:val="center"/>
                </w:tcPr>
                <w:p>
                  <w:pPr>
                    <w:pStyle w:val="2"/>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0.075</w:t>
                  </w:r>
                </w:p>
                <w:p>
                  <w:pPr>
                    <w:pStyle w:val="2"/>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0.038</w:t>
                  </w:r>
                </w:p>
                <w:p>
                  <w:pPr>
                    <w:pStyle w:val="2"/>
                    <w:spacing w:line="240" w:lineRule="auto"/>
                    <w:ind w:left="0" w:leftChars="0" w:firstLine="0" w:firstLineChars="0"/>
                    <w:jc w:val="center"/>
                    <w:rPr>
                      <w:rFonts w:hint="eastAsia"/>
                      <w:sz w:val="21"/>
                      <w:szCs w:val="21"/>
                      <w:lang w:val="en-US" w:eastAsia="zh-CN"/>
                    </w:rPr>
                  </w:pPr>
                  <w:r>
                    <w:rPr>
                      <w:rFonts w:hint="eastAsia"/>
                      <w:sz w:val="21"/>
                      <w:szCs w:val="21"/>
                      <w:lang w:val="en-US" w:eastAsia="zh-CN"/>
                    </w:rPr>
                    <w:t>0.045</w:t>
                  </w:r>
                </w:p>
                <w:p>
                  <w:pPr>
                    <w:pStyle w:val="2"/>
                    <w:spacing w:line="240" w:lineRule="auto"/>
                    <w:ind w:left="0" w:leftChars="0" w:firstLine="0" w:firstLineChars="0"/>
                    <w:jc w:val="center"/>
                    <w:rPr>
                      <w:rFonts w:hint="default" w:ascii="Times New Roman" w:hAnsi="Times New Roman" w:eastAsia="宋体"/>
                      <w:sz w:val="21"/>
                      <w:szCs w:val="21"/>
                      <w:lang w:val="en-US" w:eastAsia="zh-CN"/>
                    </w:rPr>
                  </w:pPr>
                  <w:r>
                    <w:rPr>
                      <w:rFonts w:hint="eastAsia"/>
                      <w:sz w:val="21"/>
                      <w:szCs w:val="21"/>
                      <w:lang w:val="en-US" w:eastAsia="zh-CN"/>
                    </w:rPr>
                    <w:t>0.008</w:t>
                  </w:r>
                </w:p>
              </w:tc>
            </w:tr>
          </w:tbl>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本项目产生的</w:t>
            </w:r>
            <w:r>
              <w:rPr>
                <w:rFonts w:hint="eastAsia" w:ascii="Times New Roman" w:hAnsi="Times New Roman" w:eastAsia="宋体"/>
                <w:sz w:val="24"/>
                <w:szCs w:val="24"/>
              </w:rPr>
              <w:t>锅炉排污水</w:t>
            </w:r>
            <w:r>
              <w:rPr>
                <w:rFonts w:hint="eastAsia" w:ascii="Times New Roman" w:hAnsi="Times New Roman" w:eastAsia="宋体"/>
                <w:sz w:val="24"/>
                <w:szCs w:val="24"/>
                <w:lang w:val="en-US" w:eastAsia="zh-CN"/>
              </w:rPr>
              <w:t>和生活污水</w:t>
            </w:r>
            <w:r>
              <w:rPr>
                <w:rFonts w:hint="eastAsia" w:ascii="Times New Roman" w:hAnsi="Times New Roman" w:eastAsia="宋体"/>
                <w:sz w:val="24"/>
                <w:szCs w:val="24"/>
              </w:rPr>
              <w:t>经市政管网排入</w:t>
            </w:r>
            <w:r>
              <w:rPr>
                <w:rFonts w:hint="eastAsia" w:ascii="Times New Roman" w:hAnsi="Times New Roman" w:eastAsia="宋体"/>
                <w:sz w:val="24"/>
                <w:szCs w:val="24"/>
                <w:lang w:val="en-US" w:eastAsia="zh-CN"/>
              </w:rPr>
              <w:t>柏林水务长春高新污水处理有限公司</w:t>
            </w:r>
            <w:r>
              <w:rPr>
                <w:rFonts w:hint="eastAsia" w:ascii="Times New Roman" w:hAnsi="Times New Roman" w:eastAsia="宋体"/>
                <w:sz w:val="24"/>
                <w:szCs w:val="24"/>
              </w:rPr>
              <w:t>，由柏林水务长春高新污水处理有限公司集中处理达标后排入</w:t>
            </w:r>
            <w:r>
              <w:rPr>
                <w:rFonts w:hint="eastAsia"/>
                <w:sz w:val="24"/>
                <w:szCs w:val="24"/>
                <w:lang w:val="en-US" w:eastAsia="zh-CN"/>
              </w:rPr>
              <w:t>伊通河</w:t>
            </w:r>
            <w:r>
              <w:rPr>
                <w:rFonts w:hint="eastAsia" w:ascii="Times New Roman" w:hAnsi="Times New Roman" w:eastAsia="宋体"/>
                <w:sz w:val="24"/>
                <w:szCs w:val="24"/>
              </w:rPr>
              <w:t>；</w:t>
            </w:r>
          </w:p>
          <w:p>
            <w:pPr>
              <w:spacing w:line="360" w:lineRule="auto"/>
              <w:ind w:firstLine="480" w:firstLineChars="200"/>
              <w:rPr>
                <w:rFonts w:hint="eastAsia" w:ascii="Times New Roman" w:hAnsi="Times New Roman" w:eastAsia="宋体" w:cs="宋体"/>
                <w:bCs w:val="0"/>
                <w:color w:val="auto"/>
                <w:kern w:val="2"/>
                <w:sz w:val="24"/>
                <w:szCs w:val="24"/>
                <w:u w:val="none"/>
                <w:lang w:val="en-US" w:eastAsia="zh-CN" w:bidi="ar-SA"/>
              </w:rPr>
            </w:pPr>
            <w:r>
              <w:rPr>
                <w:rFonts w:hint="eastAsia"/>
                <w:sz w:val="24"/>
                <w:szCs w:val="24"/>
                <w:lang w:val="en-US" w:eastAsia="zh-CN"/>
              </w:rPr>
              <w:t>本项目</w:t>
            </w:r>
            <w:r>
              <w:rPr>
                <w:rFonts w:hint="eastAsia" w:ascii="Times New Roman" w:hAnsi="Times New Roman" w:eastAsia="宋体" w:cs="宋体"/>
                <w:snapToGrid w:val="0"/>
                <w:kern w:val="0"/>
                <w:sz w:val="24"/>
                <w:szCs w:val="24"/>
              </w:rPr>
              <w:t>废水</w:t>
            </w:r>
            <w:r>
              <w:rPr>
                <w:rFonts w:hint="eastAsia" w:cs="宋体"/>
                <w:snapToGrid w:val="0"/>
                <w:kern w:val="0"/>
                <w:sz w:val="24"/>
                <w:szCs w:val="24"/>
                <w:lang w:val="en-US" w:eastAsia="zh-CN"/>
              </w:rPr>
              <w:t>排入</w:t>
            </w:r>
            <w:r>
              <w:rPr>
                <w:rFonts w:hint="eastAsia" w:ascii="Times New Roman" w:hAnsi="Times New Roman" w:eastAsia="宋体" w:cs="宋体"/>
                <w:bCs w:val="0"/>
                <w:color w:val="auto"/>
                <w:kern w:val="2"/>
                <w:sz w:val="24"/>
                <w:szCs w:val="24"/>
                <w:u w:val="none"/>
                <w:lang w:val="en-US" w:eastAsia="zh-CN" w:bidi="ar-SA"/>
              </w:rPr>
              <w:t>柏林水务长春高新污水处理有限公司</w:t>
            </w:r>
            <w:r>
              <w:rPr>
                <w:rFonts w:hint="eastAsia" w:ascii="Times New Roman" w:hAnsi="Times New Roman" w:eastAsia="宋体" w:cs="宋体"/>
                <w:snapToGrid w:val="0"/>
                <w:kern w:val="0"/>
                <w:sz w:val="24"/>
                <w:szCs w:val="24"/>
              </w:rPr>
              <w:t>可行性分析：</w:t>
            </w:r>
          </w:p>
          <w:p>
            <w:pPr>
              <w:spacing w:line="360" w:lineRule="auto"/>
              <w:ind w:firstLine="480" w:firstLineChars="200"/>
              <w:rPr>
                <w:rFonts w:hint="eastAsia" w:ascii="Times New Roman" w:hAnsi="Times New Roman" w:eastAsia="宋体" w:cs="宋体"/>
                <w:bCs w:val="0"/>
                <w:color w:val="auto"/>
                <w:kern w:val="2"/>
                <w:sz w:val="24"/>
                <w:szCs w:val="24"/>
                <w:u w:val="none"/>
                <w:lang w:val="en-US" w:eastAsia="zh-CN" w:bidi="ar-SA"/>
              </w:rPr>
            </w:pPr>
            <w:r>
              <w:rPr>
                <w:rFonts w:hint="eastAsia" w:ascii="Times New Roman" w:hAnsi="Times New Roman" w:eastAsia="宋体" w:cs="宋体"/>
                <w:bCs w:val="0"/>
                <w:color w:val="auto"/>
                <w:kern w:val="2"/>
                <w:sz w:val="24"/>
                <w:szCs w:val="24"/>
                <w:u w:val="none"/>
                <w:lang w:val="en-US" w:eastAsia="zh-CN" w:bidi="ar-SA"/>
              </w:rPr>
              <w:t>柏林水务长春高新污水处理有限公司于2011年建设，采用较为先进的污水处理工艺，其设计规模为10万立方米/日，先期日处理规模达到10万立方米/日，由北京市政工程研究院负责设计，柏林水务长春高新污水处理有限公司建设规模：一期设计规模为10万吨/日（第一阶段5万吨/日），中水规模5万吨/日，主要包括组细格栅、沉砂池、初沉池、改良A2/O生物池、二沉池、深度处理、综合楼等工程。柏林水务长春高新污水处理有限公司位于长春高新技术产业开发区长东北核心区，建筑面积约6560.9平方米（不包括污水处理构筑物设施），公司污水出口执行《城镇污水处理厂污染物排放标准》（GB18918-2002）中一级A标准。</w:t>
            </w:r>
          </w:p>
          <w:p>
            <w:pPr>
              <w:spacing w:line="360" w:lineRule="auto"/>
              <w:ind w:firstLine="480" w:firstLineChars="200"/>
              <w:rPr>
                <w:rFonts w:hint="eastAsia" w:ascii="Times New Roman" w:hAnsi="Times New Roman" w:eastAsia="宋体" w:cs="宋体"/>
                <w:b w:val="0"/>
                <w:bCs/>
                <w:color w:val="000000"/>
                <w:sz w:val="24"/>
                <w:szCs w:val="24"/>
                <w:u w:val="none"/>
              </w:rPr>
            </w:pPr>
            <w:r>
              <w:rPr>
                <w:rFonts w:hint="eastAsia" w:ascii="Times New Roman" w:hAnsi="Times New Roman" w:eastAsia="宋体" w:cs="宋体"/>
                <w:b w:val="0"/>
                <w:bCs/>
                <w:color w:val="000000"/>
                <w:sz w:val="24"/>
                <w:szCs w:val="24"/>
                <w:u w:val="none"/>
              </w:rPr>
              <w:t>根据柏林水务长春高新污水处理有限公司基本情况可知，公司现状主要接纳长春市高新北区内的企业和居民的污水，公司的污水处理余量较大，可以满足本项目废水排放需要，且其进水指标可以满足项目排水需要，因此，本项目废水排放全部依托柏林水务长春高新污水处理有限公司是可行的。</w:t>
            </w:r>
          </w:p>
          <w:p>
            <w:pPr>
              <w:spacing w:line="360" w:lineRule="auto"/>
              <w:ind w:firstLine="482" w:firstLineChars="200"/>
              <w:rPr>
                <w:rFonts w:hint="eastAsia" w:ascii="Times New Roman" w:hAnsi="Times New Roman" w:eastAsia="宋体" w:cs="宋体"/>
                <w:b/>
                <w:color w:val="000000"/>
                <w:sz w:val="24"/>
                <w:szCs w:val="24"/>
                <w:u w:val="none"/>
              </w:rPr>
            </w:pPr>
            <w:r>
              <w:rPr>
                <w:rFonts w:hint="eastAsia" w:ascii="Times New Roman" w:hAnsi="Times New Roman" w:eastAsia="宋体" w:cs="宋体"/>
                <w:b/>
                <w:color w:val="000000"/>
                <w:sz w:val="24"/>
                <w:szCs w:val="24"/>
                <w:u w:val="none"/>
              </w:rPr>
              <w:t>2、监测要求</w:t>
            </w:r>
          </w:p>
          <w:p>
            <w:pPr>
              <w:spacing w:line="360" w:lineRule="auto"/>
              <w:ind w:firstLine="480" w:firstLineChars="200"/>
              <w:rPr>
                <w:rFonts w:hint="eastAsia" w:ascii="Times New Roman" w:hAnsi="Times New Roman" w:eastAsia="宋体" w:cs="宋体"/>
                <w:b/>
                <w:color w:val="000000"/>
                <w:sz w:val="24"/>
                <w:szCs w:val="24"/>
                <w:u w:val="none"/>
              </w:rPr>
            </w:pPr>
            <w:r>
              <w:rPr>
                <w:rFonts w:hint="eastAsia" w:ascii="Times New Roman" w:hAnsi="Times New Roman" w:eastAsia="宋体" w:cs="宋体"/>
                <w:color w:val="000000"/>
                <w:sz w:val="24"/>
                <w:szCs w:val="24"/>
                <w:u w:val="none"/>
              </w:rPr>
              <w:t>根据《排污许可证申请与核发技术规范 锅炉》（HJ953-2018）及《排污单位自行监测技术指南 火力发电及锅炉》（HJ820-2017），废水监测指标最低监测频次详见下表。</w:t>
            </w:r>
          </w:p>
          <w:p>
            <w:pPr>
              <w:spacing w:line="240" w:lineRule="auto"/>
              <w:jc w:val="center"/>
              <w:rPr>
                <w:rFonts w:hint="eastAsia" w:ascii="Times New Roman" w:hAnsi="Times New Roman" w:eastAsia="宋体" w:cs="宋体"/>
                <w:b/>
                <w:color w:val="000000"/>
                <w:sz w:val="21"/>
                <w:szCs w:val="21"/>
                <w:u w:val="none"/>
              </w:rPr>
            </w:pPr>
            <w:r>
              <w:rPr>
                <w:rFonts w:hint="eastAsia" w:ascii="Times New Roman" w:hAnsi="Times New Roman" w:eastAsia="宋体" w:cs="宋体"/>
                <w:b/>
                <w:color w:val="000000"/>
                <w:sz w:val="21"/>
                <w:szCs w:val="21"/>
                <w:u w:val="none"/>
              </w:rPr>
              <w:t>表</w:t>
            </w:r>
            <w:r>
              <w:rPr>
                <w:rFonts w:hint="eastAsia" w:cs="宋体"/>
                <w:b/>
                <w:color w:val="000000"/>
                <w:sz w:val="21"/>
                <w:szCs w:val="21"/>
                <w:u w:val="none"/>
                <w:lang w:val="en-US" w:eastAsia="zh-CN"/>
              </w:rPr>
              <w:t>4-2</w:t>
            </w:r>
            <w:r>
              <w:rPr>
                <w:rFonts w:hint="eastAsia" w:ascii="Times New Roman" w:hAnsi="Times New Roman" w:eastAsia="宋体" w:cs="宋体"/>
                <w:b/>
                <w:color w:val="000000"/>
                <w:sz w:val="21"/>
                <w:szCs w:val="21"/>
                <w:u w:val="none"/>
              </w:rPr>
              <w:t xml:space="preserve">  本项目污水监测点位、监测指标和最低监测频次</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3"/>
              <w:gridCol w:w="965"/>
              <w:gridCol w:w="1214"/>
              <w:gridCol w:w="2007"/>
              <w:gridCol w:w="892"/>
              <w:gridCol w:w="19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监染源类别</w:t>
                  </w:r>
                </w:p>
              </w:tc>
              <w:tc>
                <w:tcPr>
                  <w:tcW w:w="607"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排放口编号</w:t>
                  </w:r>
                </w:p>
              </w:tc>
              <w:tc>
                <w:tcPr>
                  <w:tcW w:w="764"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监测点位名称</w:t>
                  </w:r>
                </w:p>
              </w:tc>
              <w:tc>
                <w:tcPr>
                  <w:tcW w:w="1263"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监测因子</w:t>
                  </w:r>
                </w:p>
              </w:tc>
              <w:tc>
                <w:tcPr>
                  <w:tcW w:w="561"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监测频次</w:t>
                  </w:r>
                </w:p>
              </w:tc>
              <w:tc>
                <w:tcPr>
                  <w:tcW w:w="1205"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0"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废水</w:t>
                  </w:r>
                </w:p>
              </w:tc>
              <w:tc>
                <w:tcPr>
                  <w:tcW w:w="607"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DW001</w:t>
                  </w:r>
                </w:p>
              </w:tc>
              <w:tc>
                <w:tcPr>
                  <w:tcW w:w="764" w:type="pct"/>
                  <w:vAlign w:val="center"/>
                </w:tcPr>
                <w:p>
                  <w:pPr>
                    <w:pStyle w:val="84"/>
                    <w:adjustRightInd w:val="0"/>
                    <w:snapToGrid w:val="0"/>
                    <w:spacing w:line="240" w:lineRule="auto"/>
                    <w:rPr>
                      <w:rFonts w:hint="default"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lang w:eastAsia="zh-CN"/>
                    </w:rPr>
                    <w:t>总排口</w:t>
                  </w:r>
                </w:p>
              </w:tc>
              <w:tc>
                <w:tcPr>
                  <w:tcW w:w="1263" w:type="pct"/>
                  <w:vAlign w:val="center"/>
                </w:tcPr>
                <w:p>
                  <w:pPr>
                    <w:pStyle w:val="85"/>
                    <w:adjustRightInd w:val="0"/>
                    <w:snapToGrid w:val="0"/>
                    <w:spacing w:line="240" w:lineRule="auto"/>
                    <w:jc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pH值、化学需氧量、氨氮、悬浮物、溶解性总固体（全盐量）、流量</w:t>
                  </w:r>
                </w:p>
              </w:tc>
              <w:tc>
                <w:tcPr>
                  <w:tcW w:w="561" w:type="pct"/>
                  <w:vAlign w:val="center"/>
                </w:tcPr>
                <w:p>
                  <w:pPr>
                    <w:pStyle w:val="85"/>
                    <w:adjustRightInd w:val="0"/>
                    <w:snapToGrid w:val="0"/>
                    <w:spacing w:line="240" w:lineRule="auto"/>
                    <w:jc w:val="center"/>
                    <w:rPr>
                      <w:rFonts w:hint="eastAsia" w:ascii="Times New Roman" w:hAnsi="Times New Roman" w:eastAsia="宋体" w:cs="Times New Roman"/>
                      <w:sz w:val="21"/>
                      <w:szCs w:val="21"/>
                      <w:u w:val="none"/>
                      <w:lang w:eastAsia="zh-CN"/>
                    </w:rPr>
                  </w:pPr>
                  <w:r>
                    <w:rPr>
                      <w:rFonts w:hint="default" w:ascii="Times New Roman" w:hAnsi="Times New Roman" w:eastAsia="宋体" w:cs="Times New Roman"/>
                      <w:sz w:val="21"/>
                      <w:szCs w:val="21"/>
                      <w:u w:val="none"/>
                    </w:rPr>
                    <w:t>1次/</w:t>
                  </w:r>
                  <w:r>
                    <w:rPr>
                      <w:rFonts w:hint="eastAsia" w:ascii="Times New Roman" w:hAnsi="Times New Roman" w:eastAsia="宋体" w:cs="Times New Roman"/>
                      <w:sz w:val="21"/>
                      <w:szCs w:val="21"/>
                      <w:u w:val="none"/>
                      <w:lang w:val="en-US" w:eastAsia="zh-CN"/>
                    </w:rPr>
                    <w:t>年</w:t>
                  </w:r>
                </w:p>
              </w:tc>
              <w:tc>
                <w:tcPr>
                  <w:tcW w:w="1205" w:type="pct"/>
                  <w:vAlign w:val="center"/>
                </w:tcPr>
                <w:p>
                  <w:pPr>
                    <w:widowControl/>
                    <w:adjustRightInd w:val="0"/>
                    <w:snapToGrid w:val="0"/>
                    <w:spacing w:line="240" w:lineRule="auto"/>
                    <w:jc w:val="center"/>
                    <w:rPr>
                      <w:rFonts w:hint="default" w:ascii="Times New Roman" w:hAnsi="Times New Roman" w:eastAsia="宋体" w:cs="Times New Roman"/>
                      <w:kern w:val="0"/>
                      <w:sz w:val="21"/>
                      <w:szCs w:val="21"/>
                      <w:u w:val="none"/>
                    </w:rPr>
                  </w:pPr>
                  <w:r>
                    <w:rPr>
                      <w:rFonts w:hint="default" w:ascii="Times New Roman" w:hAnsi="Times New Roman" w:eastAsia="宋体" w:cs="Times New Roman"/>
                      <w:sz w:val="21"/>
                      <w:szCs w:val="21"/>
                      <w:u w:val="none"/>
                    </w:rPr>
                    <w:t>《污水综合排放标准》（GB8978-1996）中三级排放标准</w:t>
                  </w:r>
                </w:p>
              </w:tc>
            </w:tr>
          </w:tbl>
          <w:p>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二</w:t>
            </w:r>
            <w:r>
              <w:rPr>
                <w:rFonts w:ascii="Times New Roman" w:hAnsi="Times New Roman" w:eastAsia="宋体"/>
                <w:b/>
                <w:color w:val="000000"/>
                <w:sz w:val="24"/>
                <w:szCs w:val="24"/>
              </w:rPr>
              <w:t>、</w:t>
            </w:r>
            <w:r>
              <w:rPr>
                <w:rFonts w:hint="eastAsia" w:ascii="Times New Roman" w:hAnsi="Times New Roman" w:eastAsia="宋体"/>
                <w:b/>
                <w:color w:val="000000"/>
                <w:sz w:val="24"/>
                <w:szCs w:val="24"/>
              </w:rPr>
              <w:t>废气</w:t>
            </w:r>
          </w:p>
          <w:p>
            <w:pPr>
              <w:autoSpaceDE w:val="0"/>
              <w:autoSpaceDN w:val="0"/>
              <w:adjustRightInd w:val="0"/>
              <w:snapToGrid w:val="0"/>
              <w:spacing w:line="360" w:lineRule="auto"/>
              <w:ind w:firstLine="482" w:firstLineChars="200"/>
              <w:rPr>
                <w:rFonts w:ascii="Times New Roman" w:hAnsi="Times New Roman" w:eastAsia="宋体" w:cs="宋体"/>
                <w:b/>
                <w:bCs/>
                <w:color w:val="000000"/>
                <w:sz w:val="24"/>
                <w:szCs w:val="24"/>
              </w:rPr>
            </w:pPr>
            <w:r>
              <w:rPr>
                <w:rFonts w:ascii="Times New Roman" w:hAnsi="Times New Roman" w:eastAsia="宋体" w:cs="宋体"/>
                <w:b/>
                <w:bCs/>
                <w:color w:val="000000"/>
                <w:sz w:val="24"/>
                <w:szCs w:val="24"/>
              </w:rPr>
              <w:t>1</w:t>
            </w:r>
            <w:r>
              <w:rPr>
                <w:rFonts w:hint="eastAsia" w:ascii="Times New Roman" w:hAnsi="Times New Roman" w:eastAsia="宋体" w:cs="宋体"/>
                <w:b/>
                <w:bCs/>
                <w:color w:val="000000"/>
                <w:sz w:val="24"/>
                <w:szCs w:val="24"/>
              </w:rPr>
              <w:t>、污染物</w:t>
            </w:r>
            <w:r>
              <w:rPr>
                <w:rFonts w:ascii="Times New Roman" w:hAnsi="Times New Roman" w:eastAsia="宋体" w:cs="宋体"/>
                <w:b/>
                <w:bCs/>
                <w:color w:val="000000"/>
                <w:sz w:val="24"/>
                <w:szCs w:val="24"/>
              </w:rPr>
              <w:t>产排核算</w:t>
            </w:r>
          </w:p>
          <w:p>
            <w:pPr>
              <w:tabs>
                <w:tab w:val="left" w:pos="8249"/>
              </w:tabs>
              <w:adjustRightInd w:val="0"/>
              <w:snapToGrid w:val="0"/>
              <w:spacing w:line="360" w:lineRule="auto"/>
              <w:ind w:firstLine="482" w:firstLineChars="200"/>
              <w:rPr>
                <w:rFonts w:ascii="Times New Roman" w:hAnsi="Times New Roman" w:eastAsia="宋体"/>
                <w:b/>
                <w:bCs/>
                <w:color w:val="000000"/>
                <w:sz w:val="24"/>
                <w:szCs w:val="24"/>
              </w:rPr>
            </w:pPr>
            <w:r>
              <w:rPr>
                <w:rFonts w:hint="eastAsia" w:ascii="Times New Roman" w:hAnsi="Times New Roman" w:eastAsia="宋体" w:cs="宋体"/>
                <w:b/>
                <w:bCs/>
                <w:color w:val="000000"/>
                <w:sz w:val="24"/>
                <w:szCs w:val="24"/>
              </w:rPr>
              <w:t>（1）</w:t>
            </w:r>
            <w:r>
              <w:rPr>
                <w:rFonts w:hint="eastAsia" w:ascii="Times New Roman" w:hAnsi="Times New Roman" w:eastAsia="宋体"/>
                <w:b/>
                <w:bCs/>
                <w:color w:val="000000"/>
                <w:sz w:val="24"/>
                <w:szCs w:val="24"/>
              </w:rPr>
              <w:t>锅炉烟气</w:t>
            </w:r>
          </w:p>
          <w:p>
            <w:pPr>
              <w:pStyle w:val="7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u w:val="none"/>
                <w:lang w:eastAsia="zh-CN"/>
              </w:rPr>
            </w:pPr>
            <w:r>
              <w:rPr>
                <w:rFonts w:hint="default" w:ascii="Times New Roman" w:hAnsi="Times New Roman" w:eastAsia="宋体" w:cs="Times New Roman"/>
                <w:sz w:val="24"/>
                <w:szCs w:val="24"/>
                <w:u w:val="none"/>
              </w:rPr>
              <w:t>本项目燃料年使用量约</w:t>
            </w:r>
            <w:r>
              <w:rPr>
                <w:rFonts w:hint="eastAsia" w:ascii="Times New Roman" w:hAnsi="Times New Roman" w:cs="Times New Roman"/>
                <w:sz w:val="24"/>
                <w:szCs w:val="24"/>
                <w:u w:val="none"/>
                <w:lang w:val="en-US" w:eastAsia="zh-CN"/>
              </w:rPr>
              <w:t>10</w:t>
            </w:r>
            <w:r>
              <w:rPr>
                <w:rFonts w:hint="default" w:ascii="Times New Roman" w:hAnsi="Times New Roman" w:eastAsia="宋体" w:cs="Times New Roman"/>
                <w:sz w:val="24"/>
                <w:szCs w:val="24"/>
                <w:u w:val="none"/>
              </w:rPr>
              <w:t>万m</w:t>
            </w:r>
            <w:r>
              <w:rPr>
                <w:rFonts w:hint="default" w:ascii="Times New Roman" w:hAnsi="Times New Roman" w:eastAsia="宋体" w:cs="Times New Roman"/>
                <w:sz w:val="24"/>
                <w:szCs w:val="24"/>
                <w:u w:val="none"/>
                <w:vertAlign w:val="superscript"/>
              </w:rPr>
              <w:t>3</w:t>
            </w:r>
            <w:r>
              <w:rPr>
                <w:rFonts w:hint="eastAsia" w:cs="Times New Roman"/>
                <w:sz w:val="24"/>
                <w:szCs w:val="24"/>
                <w:u w:val="none"/>
                <w:vertAlign w:val="baseline"/>
                <w:lang w:eastAsia="zh-CN"/>
              </w:rPr>
              <w:t>，</w:t>
            </w:r>
            <w:r>
              <w:rPr>
                <w:rFonts w:hint="default" w:ascii="Times New Roman" w:hAnsi="Times New Roman" w:eastAsia="宋体" w:cs="Times New Roman"/>
                <w:color w:val="auto"/>
                <w:sz w:val="24"/>
                <w:szCs w:val="24"/>
                <w:u w:val="none"/>
              </w:rPr>
              <w:t>本项目以天然气为燃料，烟气中主要污染物为烟尘、SO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和NO</w:t>
            </w:r>
            <w:r>
              <w:rPr>
                <w:rFonts w:hint="default" w:ascii="Times New Roman" w:hAnsi="Times New Roman" w:eastAsia="宋体" w:cs="Times New Roman"/>
                <w:color w:val="auto"/>
                <w:sz w:val="24"/>
                <w:szCs w:val="24"/>
                <w:u w:val="none"/>
                <w:vertAlign w:val="subscript"/>
              </w:rPr>
              <w:t>x</w:t>
            </w:r>
            <w:r>
              <w:rPr>
                <w:rFonts w:hint="eastAsia" w:ascii="Times New Roman" w:hAnsi="Times New Roman" w:cs="Times New Roman"/>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表</w:t>
            </w:r>
            <w:r>
              <w:rPr>
                <w:rFonts w:hint="eastAsia" w:cs="Times New Roman"/>
                <w:b/>
                <w:color w:val="auto"/>
                <w:sz w:val="21"/>
                <w:szCs w:val="21"/>
                <w:u w:val="none"/>
                <w:lang w:val="en-US" w:eastAsia="zh-CN"/>
              </w:rPr>
              <w:t>4-3</w:t>
            </w:r>
            <w:r>
              <w:rPr>
                <w:rFonts w:hint="default" w:ascii="Times New Roman" w:hAnsi="Times New Roman" w:eastAsia="宋体" w:cs="Times New Roman"/>
                <w:b/>
                <w:color w:val="auto"/>
                <w:sz w:val="21"/>
                <w:szCs w:val="21"/>
                <w:u w:val="none"/>
              </w:rPr>
              <w:t xml:space="preserve">   天然气工业锅炉的废气产排污系数表（节选）</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987"/>
              <w:gridCol w:w="1985"/>
              <w:gridCol w:w="19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原料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污染物指标</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单位</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restar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天然气</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烟气量</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标立方米/m³燃料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二氧化硫</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千克/万m³燃料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0.02S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烟尘</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千克/万m³燃料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2.86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Merge w:val="continue"/>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氮氧化物</w:t>
                  </w:r>
                </w:p>
              </w:tc>
              <w:tc>
                <w:tcPr>
                  <w:tcW w:w="1249"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千克/万m³燃料</w:t>
                  </w:r>
                </w:p>
              </w:tc>
              <w:tc>
                <w:tcPr>
                  <w:tcW w:w="1250" w:type="pct"/>
                  <w:vAlign w:val="center"/>
                </w:tcPr>
                <w:p>
                  <w:pPr>
                    <w:snapToGrid w:val="0"/>
                    <w:spacing w:line="240" w:lineRule="auto"/>
                    <w:ind w:firstLine="2" w:firstLineChars="1"/>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18.71</w:t>
                  </w:r>
                </w:p>
              </w:tc>
            </w:tr>
          </w:tbl>
          <w:p>
            <w:pPr>
              <w:pStyle w:val="79"/>
              <w:spacing w:line="360" w:lineRule="auto"/>
              <w:ind w:left="0" w:leftChars="0" w:firstLine="0" w:firstLineChars="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②烟气量计算</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产生烟气量计算公式：Vy=15.6×</w:t>
            </w:r>
            <w:r>
              <w:rPr>
                <w:rFonts w:hint="eastAsia" w:ascii="Times New Roman" w:hAnsi="Times New Roman" w:cs="Times New Roman"/>
                <w:color w:val="auto"/>
                <w:sz w:val="24"/>
                <w:szCs w:val="24"/>
                <w:u w:val="none"/>
                <w:lang w:val="en-US" w:eastAsia="zh-CN"/>
              </w:rPr>
              <w:t>100000</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1.56</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Nm</w:t>
            </w:r>
            <w:r>
              <w:rPr>
                <w:rFonts w:hint="default" w:ascii="Times New Roman" w:hAnsi="Times New Roman" w:eastAsia="宋体" w:cs="Times New Roman"/>
                <w:color w:val="auto"/>
                <w:sz w:val="24"/>
                <w:szCs w:val="24"/>
                <w:u w:val="none"/>
                <w:vertAlign w:val="superscript"/>
              </w:rPr>
              <w:t>3</w:t>
            </w:r>
            <w:r>
              <w:rPr>
                <w:rFonts w:hint="eastAsia" w:ascii="Times New Roman" w:hAnsi="Times New Roman" w:cs="Times New Roman"/>
                <w:color w:val="auto"/>
                <w:sz w:val="24"/>
                <w:szCs w:val="24"/>
                <w:u w:val="none"/>
                <w:vertAlign w:val="baseline"/>
                <w:lang w:val="en-US" w:eastAsia="zh-CN"/>
              </w:rPr>
              <w:t>/a</w:t>
            </w:r>
            <w:r>
              <w:rPr>
                <w:rFonts w:hint="default" w:ascii="Times New Roman" w:hAnsi="Times New Roman" w:eastAsia="宋体" w:cs="Times New Roman"/>
                <w:color w:val="auto"/>
                <w:sz w:val="24"/>
                <w:szCs w:val="24"/>
                <w:u w:val="none"/>
              </w:rPr>
              <w:t>。</w:t>
            </w:r>
          </w:p>
          <w:p>
            <w:pPr>
              <w:pStyle w:val="79"/>
              <w:spacing w:line="360" w:lineRule="auto"/>
              <w:ind w:left="0" w:leftChars="0" w:firstLine="0" w:firstLineChars="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③二氧化硫计算</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二氧化硫产生量=消耗天然气的量×含硫率×0.02</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产生量=</w:t>
            </w:r>
            <w:r>
              <w:rPr>
                <w:rFonts w:hint="eastAsia" w:ascii="Times New Roman" w:hAnsi="Times New Roman" w:cs="Times New Roman"/>
                <w:color w:val="auto"/>
                <w:sz w:val="24"/>
                <w:szCs w:val="24"/>
                <w:u w:val="none"/>
                <w:lang w:val="en-US" w:eastAsia="zh-CN"/>
              </w:rPr>
              <w:t>10</w:t>
            </w:r>
            <w:r>
              <w:rPr>
                <w:rFonts w:hint="default" w:ascii="Times New Roman" w:hAnsi="Times New Roman" w:eastAsia="宋体" w:cs="Times New Roman"/>
                <w:color w:val="auto"/>
                <w:sz w:val="24"/>
                <w:szCs w:val="24"/>
                <w:u w:val="none"/>
              </w:rPr>
              <w:t>×200×0.02×10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0.04</w:t>
            </w:r>
            <w:r>
              <w:rPr>
                <w:rFonts w:hint="default" w:ascii="Times New Roman" w:hAnsi="Times New Roman" w:eastAsia="宋体" w:cs="Times New Roman"/>
                <w:color w:val="auto"/>
                <w:sz w:val="24"/>
                <w:szCs w:val="24"/>
                <w:u w:val="none"/>
              </w:rPr>
              <w:t>t/a。</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ascii="Times New Roman" w:hAnsi="Times New Roman" w:cs="Times New Roman"/>
                <w:color w:val="auto"/>
                <w:sz w:val="24"/>
                <w:szCs w:val="24"/>
                <w:u w:val="none"/>
                <w:lang w:val="en-US" w:eastAsia="zh-CN"/>
              </w:rPr>
              <w:t>0.04</w:t>
            </w:r>
            <w:r>
              <w:rPr>
                <w:rFonts w:hint="default" w:ascii="Times New Roman" w:hAnsi="Times New Roman" w:eastAsia="宋体" w:cs="Times New Roman"/>
                <w:color w:val="auto"/>
                <w:sz w:val="24"/>
                <w:szCs w:val="24"/>
                <w:u w:val="none"/>
              </w:rPr>
              <w:t>t/a÷(</w:t>
            </w:r>
            <w:r>
              <w:rPr>
                <w:rFonts w:hint="eastAsia" w:ascii="Times New Roman" w:hAnsi="Times New Roman" w:cs="Times New Roman"/>
                <w:color w:val="auto"/>
                <w:sz w:val="24"/>
                <w:szCs w:val="24"/>
                <w:u w:val="none"/>
                <w:lang w:val="en-US" w:eastAsia="zh-CN"/>
              </w:rPr>
              <w:t>1.56</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 =</w:t>
            </w:r>
            <w:r>
              <w:rPr>
                <w:rFonts w:hint="eastAsia" w:ascii="Times New Roman" w:hAnsi="Times New Roman" w:cs="Times New Roman"/>
                <w:color w:val="auto"/>
                <w:sz w:val="24"/>
                <w:szCs w:val="24"/>
                <w:u w:val="none"/>
                <w:lang w:val="en-US" w:eastAsia="zh-CN"/>
              </w:rPr>
              <w:t>25.64</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79"/>
              <w:spacing w:line="360" w:lineRule="auto"/>
              <w:ind w:left="0" w:leftChars="0" w:firstLine="0" w:firstLineChars="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④氮氧化物计算</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氮氧化物产生量=消耗天然气的量×18.71</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NO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产生量=</w:t>
            </w:r>
            <w:r>
              <w:rPr>
                <w:rFonts w:hint="eastAsia" w:ascii="Times New Roman" w:hAnsi="Times New Roman" w:cs="Times New Roman"/>
                <w:color w:val="auto"/>
                <w:sz w:val="24"/>
                <w:szCs w:val="24"/>
                <w:u w:val="none"/>
                <w:lang w:val="en-US" w:eastAsia="zh-CN"/>
              </w:rPr>
              <w:t>10</w:t>
            </w:r>
            <w:r>
              <w:rPr>
                <w:rFonts w:hint="default" w:ascii="Times New Roman" w:hAnsi="Times New Roman" w:eastAsia="宋体" w:cs="Times New Roman"/>
                <w:color w:val="auto"/>
                <w:sz w:val="24"/>
                <w:szCs w:val="24"/>
                <w:u w:val="none"/>
              </w:rPr>
              <w:t>×18.71×10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0.1871</w:t>
            </w:r>
            <w:r>
              <w:rPr>
                <w:rFonts w:hint="default" w:ascii="Times New Roman" w:hAnsi="Times New Roman" w:eastAsia="宋体" w:cs="Times New Roman"/>
                <w:color w:val="auto"/>
                <w:sz w:val="24"/>
                <w:szCs w:val="24"/>
                <w:u w:val="none"/>
              </w:rPr>
              <w:t>t/a。</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ascii="Times New Roman" w:hAnsi="Times New Roman" w:cs="Times New Roman"/>
                <w:color w:val="auto"/>
                <w:sz w:val="24"/>
                <w:szCs w:val="24"/>
                <w:u w:val="none"/>
                <w:lang w:val="en-US" w:eastAsia="zh-CN"/>
              </w:rPr>
              <w:t>0.1871</w:t>
            </w:r>
            <w:r>
              <w:rPr>
                <w:rFonts w:hint="default" w:ascii="Times New Roman" w:hAnsi="Times New Roman" w:eastAsia="宋体" w:cs="Times New Roman"/>
                <w:color w:val="auto"/>
                <w:sz w:val="24"/>
                <w:szCs w:val="24"/>
                <w:u w:val="none"/>
              </w:rPr>
              <w:t>t/a÷(</w:t>
            </w:r>
            <w:r>
              <w:rPr>
                <w:rFonts w:hint="eastAsia" w:ascii="Times New Roman" w:hAnsi="Times New Roman" w:cs="Times New Roman"/>
                <w:color w:val="auto"/>
                <w:sz w:val="24"/>
                <w:szCs w:val="24"/>
                <w:u w:val="none"/>
                <w:lang w:val="en-US" w:eastAsia="zh-CN"/>
              </w:rPr>
              <w:t>1.56</w:t>
            </w:r>
            <w:r>
              <w:rPr>
                <w:rFonts w:hint="default" w:ascii="Times New Roman" w:hAnsi="Times New Roman" w:eastAsia="宋体" w:cs="Times New Roman"/>
                <w:color w:val="auto"/>
                <w:sz w:val="24"/>
                <w:szCs w:val="24"/>
                <w:u w:val="none"/>
              </w:rPr>
              <w:t>×10</w:t>
            </w:r>
            <w:r>
              <w:rPr>
                <w:rFonts w:hint="eastAsia" w:ascii="Times New Roman" w:hAnsi="Times New Roman"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w:t>
            </w:r>
            <w:r>
              <w:rPr>
                <w:rFonts w:hint="eastAsia" w:ascii="Times New Roman" w:hAnsi="Times New Roman" w:cs="Times New Roman"/>
                <w:color w:val="auto"/>
                <w:sz w:val="24"/>
                <w:szCs w:val="24"/>
                <w:u w:val="none"/>
                <w:lang w:val="en-US" w:eastAsia="zh-CN"/>
              </w:rPr>
              <w:t>119.94</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79"/>
              <w:spacing w:line="360" w:lineRule="auto"/>
              <w:ind w:left="0" w:leftChars="0" w:firstLine="0" w:firstLineChars="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fldChar w:fldCharType="begin"/>
            </w:r>
            <w:r>
              <w:rPr>
                <w:rFonts w:hint="default" w:ascii="Times New Roman" w:hAnsi="Times New Roman" w:eastAsia="宋体" w:cs="Times New Roman"/>
                <w:color w:val="auto"/>
                <w:sz w:val="24"/>
                <w:szCs w:val="24"/>
                <w:u w:val="none"/>
              </w:rPr>
              <w:instrText xml:space="preserve"> = 5 \* GB3 \* MERGEFORMAT </w:instrText>
            </w:r>
            <w:r>
              <w:rPr>
                <w:rFonts w:hint="default" w:ascii="Times New Roman" w:hAnsi="Times New Roman" w:eastAsia="宋体" w:cs="Times New Roman"/>
                <w:color w:val="auto"/>
                <w:sz w:val="24"/>
                <w:szCs w:val="24"/>
                <w:u w:val="none"/>
              </w:rPr>
              <w:fldChar w:fldCharType="separate"/>
            </w:r>
            <w:r>
              <w:rPr>
                <w:rFonts w:hint="default" w:ascii="Times New Roman" w:hAnsi="Times New Roman" w:eastAsia="宋体" w:cs="Times New Roman"/>
                <w:color w:val="auto"/>
                <w:sz w:val="24"/>
                <w:szCs w:val="24"/>
                <w:u w:val="none"/>
              </w:rPr>
              <w:t>⑤</w:t>
            </w:r>
            <w:r>
              <w:rPr>
                <w:rFonts w:hint="default" w:ascii="Times New Roman" w:hAnsi="Times New Roman" w:eastAsia="宋体" w:cs="Times New Roman"/>
                <w:color w:val="auto"/>
                <w:sz w:val="24"/>
                <w:szCs w:val="24"/>
                <w:u w:val="none"/>
              </w:rPr>
              <w:fldChar w:fldCharType="end"/>
            </w:r>
            <w:r>
              <w:rPr>
                <w:rFonts w:hint="default" w:ascii="Times New Roman" w:hAnsi="Times New Roman" w:eastAsia="宋体" w:cs="Times New Roman"/>
                <w:color w:val="auto"/>
                <w:sz w:val="24"/>
                <w:szCs w:val="24"/>
                <w:u w:val="none"/>
              </w:rPr>
              <w:t>烟尘计算</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烟尘产生量=消耗天然气的量×2.86</w:t>
            </w:r>
          </w:p>
          <w:p>
            <w:pPr>
              <w:pStyle w:val="79"/>
              <w:spacing w:line="360" w:lineRule="auto"/>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烟尘产生量=</w:t>
            </w:r>
            <w:r>
              <w:rPr>
                <w:rFonts w:hint="eastAsia" w:ascii="Times New Roman" w:hAnsi="Times New Roman" w:cs="Times New Roman"/>
                <w:color w:val="auto"/>
                <w:sz w:val="24"/>
                <w:szCs w:val="24"/>
                <w:u w:val="none"/>
                <w:lang w:val="en-US" w:eastAsia="zh-CN"/>
              </w:rPr>
              <w:t>10</w:t>
            </w:r>
            <w:r>
              <w:rPr>
                <w:rFonts w:hint="default" w:ascii="Times New Roman" w:hAnsi="Times New Roman" w:eastAsia="宋体" w:cs="Times New Roman"/>
                <w:color w:val="auto"/>
                <w:sz w:val="24"/>
                <w:szCs w:val="24"/>
                <w:u w:val="none"/>
              </w:rPr>
              <w:t>×2.86×10</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0.0286</w:t>
            </w:r>
            <w:r>
              <w:rPr>
                <w:rFonts w:hint="default" w:ascii="Times New Roman" w:hAnsi="Times New Roman" w:eastAsia="宋体" w:cs="Times New Roman"/>
                <w:color w:val="auto"/>
                <w:sz w:val="24"/>
                <w:szCs w:val="24"/>
                <w:u w:val="none"/>
              </w:rPr>
              <w:t>t/a。</w:t>
            </w:r>
          </w:p>
          <w:p>
            <w:pPr>
              <w:pStyle w:val="63"/>
              <w:spacing w:line="360" w:lineRule="auto"/>
              <w:ind w:firstLine="48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产生浓度为</w:t>
            </w:r>
            <w:r>
              <w:rPr>
                <w:rFonts w:hint="eastAsia" w:cs="Times New Roman"/>
                <w:color w:val="auto"/>
                <w:sz w:val="24"/>
                <w:szCs w:val="24"/>
                <w:u w:val="none"/>
                <w:lang w:val="en-US" w:eastAsia="zh-CN"/>
              </w:rPr>
              <w:t>0.0286</w:t>
            </w:r>
            <w:r>
              <w:rPr>
                <w:rFonts w:hint="default" w:ascii="Times New Roman" w:hAnsi="Times New Roman" w:eastAsia="宋体" w:cs="Times New Roman"/>
                <w:color w:val="auto"/>
                <w:sz w:val="24"/>
                <w:szCs w:val="24"/>
                <w:u w:val="none"/>
              </w:rPr>
              <w:t>t/a÷(</w:t>
            </w:r>
            <w:r>
              <w:rPr>
                <w:rFonts w:hint="eastAsia" w:cs="Times New Roman"/>
                <w:color w:val="auto"/>
                <w:sz w:val="24"/>
                <w:szCs w:val="24"/>
                <w:u w:val="none"/>
                <w:lang w:val="en-US" w:eastAsia="zh-CN"/>
              </w:rPr>
              <w:t>1.56</w:t>
            </w:r>
            <w:r>
              <w:rPr>
                <w:rFonts w:hint="default" w:ascii="Times New Roman" w:hAnsi="Times New Roman" w:eastAsia="宋体" w:cs="Times New Roman"/>
                <w:color w:val="auto"/>
                <w:sz w:val="24"/>
                <w:szCs w:val="24"/>
                <w:u w:val="none"/>
              </w:rPr>
              <w:t>×10</w:t>
            </w:r>
            <w:r>
              <w:rPr>
                <w:rFonts w:hint="eastAsia" w:cs="Times New Roman"/>
                <w:color w:val="auto"/>
                <w:sz w:val="24"/>
                <w:szCs w:val="24"/>
                <w:u w:val="none"/>
                <w:vertAlign w:val="superscript"/>
                <w:lang w:val="en-US" w:eastAsia="zh-CN"/>
              </w:rPr>
              <w:t>6</w:t>
            </w:r>
            <w:r>
              <w:rPr>
                <w:rFonts w:hint="default" w:ascii="Times New Roman" w:hAnsi="Times New Roman" w:eastAsia="宋体" w:cs="Times New Roman"/>
                <w:color w:val="auto"/>
                <w:sz w:val="24"/>
                <w:szCs w:val="24"/>
                <w:u w:val="none"/>
              </w:rPr>
              <w:t>)×</w:t>
            </w:r>
            <w:r>
              <w:rPr>
                <w:rFonts w:hint="eastAsia" w:ascii="Times New Roman" w:hAnsi="Times New Roman" w:cs="Times New Roman"/>
                <w:color w:val="auto"/>
                <w:sz w:val="24"/>
                <w:szCs w:val="24"/>
                <w:u w:val="none"/>
                <w:lang w:val="en-US" w:eastAsia="zh-CN"/>
              </w:rPr>
              <w:t>10</w:t>
            </w:r>
            <w:r>
              <w:rPr>
                <w:rFonts w:hint="eastAsia" w:ascii="Times New Roman" w:hAnsi="Times New Roman" w:cs="Times New Roman"/>
                <w:color w:val="auto"/>
                <w:sz w:val="24"/>
                <w:szCs w:val="24"/>
                <w:u w:val="none"/>
                <w:vertAlign w:val="superscript"/>
                <w:lang w:val="en-US" w:eastAsia="zh-CN"/>
              </w:rPr>
              <w:t>9</w:t>
            </w:r>
            <w:r>
              <w:rPr>
                <w:rFonts w:hint="default" w:ascii="Times New Roman" w:hAnsi="Times New Roman" w:eastAsia="宋体" w:cs="Times New Roman"/>
                <w:color w:val="auto"/>
                <w:sz w:val="24"/>
                <w:szCs w:val="24"/>
                <w:u w:val="none"/>
              </w:rPr>
              <w:t>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/a =</w:t>
            </w:r>
            <w:r>
              <w:rPr>
                <w:rFonts w:hint="eastAsia" w:cs="Times New Roman"/>
                <w:color w:val="auto"/>
                <w:sz w:val="24"/>
                <w:szCs w:val="24"/>
                <w:u w:val="none"/>
                <w:lang w:val="en-US" w:eastAsia="zh-CN"/>
              </w:rPr>
              <w:t>18.33</w:t>
            </w:r>
            <w:r>
              <w:rPr>
                <w:rFonts w:hint="default" w:ascii="Times New Roman" w:hAnsi="Times New Roman" w:eastAsia="宋体" w:cs="Times New Roman"/>
                <w:color w:val="auto"/>
                <w:sz w:val="24"/>
                <w:szCs w:val="24"/>
                <w:u w:val="none"/>
              </w:rPr>
              <w:t>mg/m</w:t>
            </w:r>
            <w:r>
              <w:rPr>
                <w:rFonts w:hint="default" w:ascii="Times New Roman" w:hAnsi="Times New Roman" w:eastAsia="宋体" w:cs="Times New Roman"/>
                <w:color w:val="auto"/>
                <w:sz w:val="24"/>
                <w:szCs w:val="24"/>
                <w:u w:val="none"/>
                <w:vertAlign w:val="superscript"/>
              </w:rPr>
              <w:t>3</w:t>
            </w:r>
            <w:r>
              <w:rPr>
                <w:rFonts w:hint="default" w:ascii="Times New Roman" w:hAnsi="Times New Roman" w:eastAsia="宋体" w:cs="Times New Roman"/>
                <w:color w:val="auto"/>
                <w:sz w:val="24"/>
                <w:szCs w:val="24"/>
                <w:u w:val="none"/>
              </w:rPr>
              <w:t>。</w:t>
            </w:r>
          </w:p>
          <w:p>
            <w:pPr>
              <w:pStyle w:val="63"/>
              <w:spacing w:line="360" w:lineRule="auto"/>
              <w:ind w:firstLine="480"/>
              <w:rPr>
                <w:rFonts w:ascii="Times New Roman" w:hAnsi="Times New Roman" w:eastAsia="宋体"/>
                <w:bCs/>
                <w:sz w:val="24"/>
                <w:szCs w:val="24"/>
                <w:u w:val="none"/>
              </w:rPr>
            </w:pPr>
            <w:r>
              <w:rPr>
                <w:rFonts w:hint="default" w:ascii="Times New Roman" w:hAnsi="Times New Roman" w:eastAsia="宋体" w:cs="Times New Roman"/>
                <w:sz w:val="24"/>
                <w:szCs w:val="24"/>
                <w:u w:val="none"/>
              </w:rPr>
              <w:t>经计算，本项目锅炉</w:t>
            </w:r>
            <w:r>
              <w:rPr>
                <w:rFonts w:hint="eastAsia" w:ascii="Times New Roman" w:hAnsi="Times New Roman" w:eastAsia="宋体"/>
                <w:bCs/>
                <w:sz w:val="24"/>
                <w:szCs w:val="24"/>
                <w:u w:val="none"/>
              </w:rPr>
              <w:t xml:space="preserve">具体污染物产生及排放情况详见下表。 </w:t>
            </w:r>
          </w:p>
          <w:p>
            <w:pPr>
              <w:ind w:firstLine="422" w:firstLineChars="200"/>
              <w:jc w:val="center"/>
              <w:rPr>
                <w:rFonts w:ascii="Times New Roman" w:hAnsi="Times New Roman" w:eastAsia="宋体"/>
                <w:b/>
                <w:bCs/>
                <w:sz w:val="21"/>
                <w:szCs w:val="21"/>
                <w:u w:val="none"/>
              </w:rPr>
            </w:pPr>
            <w:r>
              <w:rPr>
                <w:rFonts w:hint="eastAsia" w:ascii="Times New Roman" w:hAnsi="Times New Roman" w:eastAsia="宋体"/>
                <w:b/>
                <w:bCs/>
                <w:sz w:val="21"/>
                <w:szCs w:val="21"/>
                <w:u w:val="none"/>
              </w:rPr>
              <w:t>表</w:t>
            </w:r>
            <w:r>
              <w:rPr>
                <w:rFonts w:hint="eastAsia"/>
                <w:b/>
                <w:bCs/>
                <w:sz w:val="21"/>
                <w:szCs w:val="21"/>
                <w:u w:val="none"/>
                <w:lang w:val="en-US" w:eastAsia="zh-CN"/>
              </w:rPr>
              <w:t>4-4</w:t>
            </w:r>
            <w:r>
              <w:rPr>
                <w:rFonts w:ascii="Times New Roman" w:hAnsi="Times New Roman" w:eastAsia="宋体"/>
                <w:b/>
                <w:bCs/>
                <w:sz w:val="21"/>
                <w:szCs w:val="21"/>
                <w:u w:val="none"/>
              </w:rPr>
              <w:t xml:space="preserve">  </w:t>
            </w:r>
            <w:r>
              <w:rPr>
                <w:rFonts w:hint="eastAsia" w:ascii="Times New Roman" w:hAnsi="Times New Roman" w:eastAsia="宋体"/>
                <w:b/>
                <w:bCs/>
                <w:sz w:val="21"/>
                <w:szCs w:val="21"/>
                <w:u w:val="none"/>
              </w:rPr>
              <w:t>锅炉污染物产生排放情况表</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2"/>
              <w:gridCol w:w="652"/>
              <w:gridCol w:w="951"/>
              <w:gridCol w:w="1157"/>
              <w:gridCol w:w="820"/>
              <w:gridCol w:w="1157"/>
              <w:gridCol w:w="820"/>
              <w:gridCol w:w="1157"/>
              <w:gridCol w:w="8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9" w:type="pct"/>
                  <w:gridSpan w:val="2"/>
                  <w:vMerge w:val="restar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锅炉</w:t>
                  </w:r>
                </w:p>
              </w:tc>
              <w:tc>
                <w:tcPr>
                  <w:tcW w:w="598"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烟气量</w:t>
                  </w:r>
                </w:p>
              </w:tc>
              <w:tc>
                <w:tcPr>
                  <w:tcW w:w="1244" w:type="pct"/>
                  <w:gridSpan w:val="2"/>
                  <w:vAlign w:val="center"/>
                </w:tcPr>
                <w:p>
                  <w:pPr>
                    <w:pStyle w:val="17"/>
                    <w:rPr>
                      <w:rFonts w:hint="eastAsia" w:ascii="Times New Roman" w:hAnsi="Times New Roman" w:eastAsia="宋体"/>
                      <w:sz w:val="21"/>
                      <w:szCs w:val="21"/>
                      <w:u w:val="none"/>
                      <w:lang w:eastAsia="zh-CN"/>
                    </w:rPr>
                  </w:pPr>
                  <w:r>
                    <w:rPr>
                      <w:rFonts w:hint="eastAsia"/>
                      <w:sz w:val="21"/>
                      <w:szCs w:val="21"/>
                      <w:u w:val="none"/>
                      <w:lang w:val="en-US" w:eastAsia="zh-CN"/>
                    </w:rPr>
                    <w:t>烟尘</w:t>
                  </w:r>
                </w:p>
              </w:tc>
              <w:tc>
                <w:tcPr>
                  <w:tcW w:w="1244" w:type="pct"/>
                  <w:gridSpan w:val="2"/>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氮氧化物</w:t>
                  </w:r>
                </w:p>
              </w:tc>
              <w:tc>
                <w:tcPr>
                  <w:tcW w:w="1244" w:type="pct"/>
                  <w:gridSpan w:val="2"/>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SO</w:t>
                  </w:r>
                  <w:r>
                    <w:rPr>
                      <w:rFonts w:hint="eastAsia" w:ascii="Times New Roman" w:hAnsi="Times New Roman" w:eastAsia="宋体"/>
                      <w:sz w:val="21"/>
                      <w:szCs w:val="21"/>
                      <w:u w:val="none"/>
                      <w:vertAlign w:val="sub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9" w:type="pct"/>
                  <w:gridSpan w:val="2"/>
                  <w:vMerge w:val="continue"/>
                  <w:vAlign w:val="center"/>
                </w:tcPr>
                <w:p>
                  <w:pPr>
                    <w:pStyle w:val="17"/>
                    <w:rPr>
                      <w:rFonts w:ascii="Times New Roman" w:hAnsi="Times New Roman" w:eastAsia="宋体"/>
                      <w:sz w:val="21"/>
                      <w:szCs w:val="21"/>
                      <w:u w:val="none"/>
                    </w:rPr>
                  </w:pPr>
                </w:p>
              </w:tc>
              <w:tc>
                <w:tcPr>
                  <w:tcW w:w="598"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总量（m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/a）</w:t>
                  </w:r>
                </w:p>
              </w:tc>
              <w:tc>
                <w:tcPr>
                  <w:tcW w:w="728"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15"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总量（t/a）</w:t>
                  </w:r>
                </w:p>
              </w:tc>
              <w:tc>
                <w:tcPr>
                  <w:tcW w:w="728"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15"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总量（t/a）</w:t>
                  </w:r>
                </w:p>
              </w:tc>
              <w:tc>
                <w:tcPr>
                  <w:tcW w:w="728"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浓度（mg/m</w:t>
                  </w:r>
                  <w:r>
                    <w:rPr>
                      <w:rFonts w:hint="eastAsia" w:ascii="Times New Roman" w:hAnsi="Times New Roman" w:eastAsia="宋体"/>
                      <w:sz w:val="21"/>
                      <w:szCs w:val="21"/>
                      <w:u w:val="none"/>
                      <w:vertAlign w:val="superscript"/>
                    </w:rPr>
                    <w:t>3</w:t>
                  </w:r>
                  <w:r>
                    <w:rPr>
                      <w:rFonts w:hint="eastAsia" w:ascii="Times New Roman" w:hAnsi="Times New Roman" w:eastAsia="宋体"/>
                      <w:sz w:val="21"/>
                      <w:szCs w:val="21"/>
                      <w:u w:val="none"/>
                    </w:rPr>
                    <w:t>）</w:t>
                  </w:r>
                </w:p>
              </w:tc>
              <w:tc>
                <w:tcPr>
                  <w:tcW w:w="515"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总量（t/a）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9" w:type="pct"/>
                  <w:vMerge w:val="restar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污染物</w:t>
                  </w:r>
                </w:p>
              </w:tc>
              <w:tc>
                <w:tcPr>
                  <w:tcW w:w="409"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产生量</w:t>
                  </w:r>
                </w:p>
              </w:tc>
              <w:tc>
                <w:tcPr>
                  <w:tcW w:w="598" w:type="pct"/>
                  <w:vMerge w:val="restart"/>
                  <w:vAlign w:val="center"/>
                </w:tcPr>
                <w:p>
                  <w:pPr>
                    <w:pStyle w:val="17"/>
                    <w:rPr>
                      <w:rFonts w:hint="eastAsia" w:ascii="Times New Roman" w:hAnsi="Times New Roman" w:eastAsia="宋体"/>
                      <w:sz w:val="21"/>
                      <w:szCs w:val="21"/>
                      <w:u w:val="none"/>
                      <w:lang w:val="en-US" w:eastAsia="zh-CN"/>
                    </w:rPr>
                  </w:pPr>
                  <w:r>
                    <w:rPr>
                      <w:rFonts w:hint="eastAsia"/>
                      <w:sz w:val="21"/>
                      <w:szCs w:val="21"/>
                      <w:u w:val="none"/>
                      <w:lang w:val="en-US" w:eastAsia="zh-CN"/>
                    </w:rPr>
                    <w:t>1.56</w:t>
                  </w:r>
                  <w:r>
                    <w:rPr>
                      <w:rFonts w:ascii="Times New Roman" w:hAnsi="Times New Roman" w:eastAsia="宋体"/>
                      <w:sz w:val="21"/>
                      <w:szCs w:val="21"/>
                      <w:u w:val="none"/>
                    </w:rPr>
                    <w:t>×10</w:t>
                  </w:r>
                  <w:r>
                    <w:rPr>
                      <w:rFonts w:hint="eastAsia"/>
                      <w:sz w:val="21"/>
                      <w:szCs w:val="21"/>
                      <w:u w:val="none"/>
                      <w:vertAlign w:val="superscript"/>
                      <w:lang w:val="en-US" w:eastAsia="zh-CN"/>
                    </w:rPr>
                    <w:t>6</w:t>
                  </w:r>
                </w:p>
              </w:tc>
              <w:tc>
                <w:tcPr>
                  <w:tcW w:w="728" w:type="pct"/>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18.33</w:t>
                  </w:r>
                </w:p>
              </w:tc>
              <w:tc>
                <w:tcPr>
                  <w:tcW w:w="515" w:type="pct"/>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0.0286</w:t>
                  </w:r>
                </w:p>
              </w:tc>
              <w:tc>
                <w:tcPr>
                  <w:tcW w:w="728" w:type="pct"/>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119.94</w:t>
                  </w:r>
                </w:p>
              </w:tc>
              <w:tc>
                <w:tcPr>
                  <w:tcW w:w="515" w:type="pct"/>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0.1871</w:t>
                  </w:r>
                </w:p>
              </w:tc>
              <w:tc>
                <w:tcPr>
                  <w:tcW w:w="728" w:type="pct"/>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25.64</w:t>
                  </w:r>
                </w:p>
              </w:tc>
              <w:tc>
                <w:tcPr>
                  <w:tcW w:w="515" w:type="pct"/>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9" w:type="pct"/>
                  <w:vMerge w:val="continue"/>
                  <w:vAlign w:val="center"/>
                </w:tcPr>
                <w:p>
                  <w:pPr>
                    <w:pStyle w:val="17"/>
                    <w:rPr>
                      <w:rFonts w:ascii="Times New Roman" w:hAnsi="Times New Roman" w:eastAsia="宋体"/>
                      <w:sz w:val="21"/>
                      <w:szCs w:val="21"/>
                      <w:u w:val="none"/>
                    </w:rPr>
                  </w:pPr>
                </w:p>
              </w:tc>
              <w:tc>
                <w:tcPr>
                  <w:tcW w:w="409" w:type="pct"/>
                  <w:vAlign w:val="center"/>
                </w:tcPr>
                <w:p>
                  <w:pPr>
                    <w:pStyle w:val="17"/>
                    <w:rPr>
                      <w:rFonts w:ascii="Times New Roman" w:hAnsi="Times New Roman" w:eastAsia="宋体"/>
                      <w:sz w:val="21"/>
                      <w:szCs w:val="21"/>
                      <w:u w:val="none"/>
                    </w:rPr>
                  </w:pPr>
                  <w:r>
                    <w:rPr>
                      <w:rFonts w:hint="eastAsia" w:ascii="Times New Roman" w:hAnsi="Times New Roman" w:eastAsia="宋体"/>
                      <w:sz w:val="21"/>
                      <w:szCs w:val="21"/>
                      <w:u w:val="none"/>
                    </w:rPr>
                    <w:t>排放量</w:t>
                  </w:r>
                </w:p>
              </w:tc>
              <w:tc>
                <w:tcPr>
                  <w:tcW w:w="598" w:type="pct"/>
                  <w:vMerge w:val="continue"/>
                  <w:vAlign w:val="center"/>
                </w:tcPr>
                <w:p>
                  <w:pPr>
                    <w:pStyle w:val="17"/>
                    <w:rPr>
                      <w:rFonts w:ascii="Times New Roman" w:hAnsi="Times New Roman" w:eastAsia="宋体"/>
                      <w:sz w:val="21"/>
                      <w:szCs w:val="21"/>
                      <w:u w:val="none"/>
                    </w:rPr>
                  </w:pPr>
                </w:p>
              </w:tc>
              <w:tc>
                <w:tcPr>
                  <w:tcW w:w="1157" w:type="dxa"/>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18.33</w:t>
                  </w:r>
                </w:p>
              </w:tc>
              <w:tc>
                <w:tcPr>
                  <w:tcW w:w="820" w:type="dxa"/>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0.0286</w:t>
                  </w:r>
                </w:p>
              </w:tc>
              <w:tc>
                <w:tcPr>
                  <w:tcW w:w="1157" w:type="dxa"/>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119.94</w:t>
                  </w:r>
                </w:p>
              </w:tc>
              <w:tc>
                <w:tcPr>
                  <w:tcW w:w="820" w:type="dxa"/>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0.1871</w:t>
                  </w:r>
                </w:p>
              </w:tc>
              <w:tc>
                <w:tcPr>
                  <w:tcW w:w="1157" w:type="dxa"/>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25.64</w:t>
                  </w:r>
                </w:p>
              </w:tc>
              <w:tc>
                <w:tcPr>
                  <w:tcW w:w="820" w:type="dxa"/>
                  <w:vAlign w:val="center"/>
                </w:tcPr>
                <w:p>
                  <w:pPr>
                    <w:pStyle w:val="17"/>
                    <w:rPr>
                      <w:rFonts w:hint="default" w:ascii="Times New Roman" w:hAnsi="Times New Roman" w:eastAsia="宋体"/>
                      <w:sz w:val="21"/>
                      <w:szCs w:val="21"/>
                      <w:u w:val="none"/>
                      <w:lang w:val="en-US" w:eastAsia="zh-CN"/>
                    </w:rPr>
                  </w:pPr>
                  <w:r>
                    <w:rPr>
                      <w:rFonts w:hint="eastAsia"/>
                      <w:sz w:val="21"/>
                      <w:szCs w:val="21"/>
                      <w:u w:val="none"/>
                      <w:lang w:val="en-US" w:eastAsia="zh-CN"/>
                    </w:rPr>
                    <w:t>0.04</w:t>
                  </w:r>
                </w:p>
              </w:tc>
            </w:tr>
          </w:tbl>
          <w:p>
            <w:pPr>
              <w:spacing w:line="480" w:lineRule="exact"/>
              <w:ind w:firstLine="482" w:firstLineChars="200"/>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2、达标性</w:t>
            </w:r>
            <w:r>
              <w:rPr>
                <w:rFonts w:ascii="Times New Roman" w:hAnsi="Times New Roman" w:eastAsia="宋体"/>
                <w:b/>
                <w:color w:val="000000"/>
                <w:sz w:val="24"/>
                <w:szCs w:val="24"/>
                <w:u w:val="none"/>
              </w:rPr>
              <w:t>分析</w:t>
            </w:r>
          </w:p>
          <w:p>
            <w:pPr>
              <w:spacing w:line="480" w:lineRule="exact"/>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通过计算，本项目天然气锅炉锅炉烟气各污染物排放浓度为SO</w:t>
            </w:r>
            <w:r>
              <w:rPr>
                <w:rFonts w:hint="eastAsia" w:ascii="Times New Roman" w:hAnsi="Times New Roman" w:eastAsia="宋体"/>
                <w:color w:val="000000"/>
                <w:sz w:val="24"/>
                <w:szCs w:val="24"/>
                <w:u w:val="none"/>
                <w:vertAlign w:val="subscript"/>
              </w:rPr>
              <w:t>2</w:t>
            </w:r>
            <w:r>
              <w:rPr>
                <w:rFonts w:hint="eastAsia" w:ascii="Times New Roman" w:hAnsi="Times New Roman" w:eastAsia="宋体"/>
                <w:color w:val="000000"/>
                <w:sz w:val="24"/>
                <w:szCs w:val="24"/>
                <w:u w:val="none"/>
              </w:rPr>
              <w:t>：</w:t>
            </w:r>
            <w:r>
              <w:rPr>
                <w:rFonts w:hint="eastAsia"/>
                <w:color w:val="000000"/>
                <w:sz w:val="24"/>
                <w:szCs w:val="24"/>
                <w:u w:val="none"/>
                <w:lang w:val="en-US" w:eastAsia="zh-CN"/>
              </w:rPr>
              <w:t>25.64</w:t>
            </w:r>
            <w:r>
              <w:rPr>
                <w:rFonts w:hint="eastAsia" w:ascii="Times New Roman" w:hAnsi="Times New Roman" w:eastAsia="宋体"/>
                <w:color w:val="000000"/>
                <w:sz w:val="24"/>
                <w:szCs w:val="24"/>
                <w:u w:val="none"/>
              </w:rPr>
              <w:t>mg/m</w:t>
            </w:r>
            <w:r>
              <w:rPr>
                <w:rFonts w:hint="eastAsia" w:ascii="Times New Roman" w:hAnsi="Times New Roman" w:eastAsia="宋体"/>
                <w:color w:val="000000"/>
                <w:sz w:val="24"/>
                <w:szCs w:val="24"/>
                <w:u w:val="none"/>
                <w:vertAlign w:val="superscript"/>
              </w:rPr>
              <w:t>3</w:t>
            </w:r>
            <w:r>
              <w:rPr>
                <w:rFonts w:hint="eastAsia" w:ascii="Times New Roman" w:hAnsi="Times New Roman" w:eastAsia="宋体"/>
                <w:color w:val="000000"/>
                <w:sz w:val="24"/>
                <w:szCs w:val="24"/>
                <w:u w:val="none"/>
              </w:rPr>
              <w:t>、NOx：</w:t>
            </w:r>
            <w:r>
              <w:rPr>
                <w:rFonts w:hint="eastAsia"/>
                <w:color w:val="000000"/>
                <w:sz w:val="24"/>
                <w:szCs w:val="24"/>
                <w:u w:val="none"/>
                <w:lang w:val="en-US" w:eastAsia="zh-CN"/>
              </w:rPr>
              <w:t>119.94</w:t>
            </w:r>
            <w:r>
              <w:rPr>
                <w:rFonts w:hint="eastAsia" w:ascii="Times New Roman" w:hAnsi="Times New Roman" w:eastAsia="宋体"/>
                <w:color w:val="000000"/>
                <w:sz w:val="24"/>
                <w:szCs w:val="24"/>
                <w:u w:val="none"/>
              </w:rPr>
              <w:t>mg/m</w:t>
            </w:r>
            <w:r>
              <w:rPr>
                <w:rFonts w:hint="eastAsia" w:ascii="Times New Roman" w:hAnsi="Times New Roman" w:eastAsia="宋体"/>
                <w:color w:val="000000"/>
                <w:sz w:val="24"/>
                <w:szCs w:val="24"/>
                <w:u w:val="none"/>
                <w:vertAlign w:val="superscript"/>
              </w:rPr>
              <w:t>3</w:t>
            </w:r>
            <w:r>
              <w:rPr>
                <w:rFonts w:hint="eastAsia" w:ascii="Times New Roman" w:hAnsi="Times New Roman" w:eastAsia="宋体"/>
                <w:color w:val="000000"/>
                <w:sz w:val="24"/>
                <w:szCs w:val="24"/>
                <w:u w:val="none"/>
              </w:rPr>
              <w:t>、</w:t>
            </w:r>
            <w:r>
              <w:rPr>
                <w:rFonts w:hint="eastAsia"/>
                <w:color w:val="000000"/>
                <w:sz w:val="24"/>
                <w:szCs w:val="24"/>
                <w:u w:val="none"/>
                <w:lang w:val="en-US" w:eastAsia="zh-CN"/>
              </w:rPr>
              <w:t>烟尘</w:t>
            </w:r>
            <w:r>
              <w:rPr>
                <w:rFonts w:hint="eastAsia" w:ascii="Times New Roman" w:hAnsi="Times New Roman" w:eastAsia="宋体"/>
                <w:color w:val="000000"/>
                <w:sz w:val="24"/>
                <w:szCs w:val="24"/>
                <w:u w:val="none"/>
              </w:rPr>
              <w:t>：</w:t>
            </w:r>
            <w:r>
              <w:rPr>
                <w:rFonts w:hint="eastAsia"/>
                <w:color w:val="000000"/>
                <w:sz w:val="24"/>
                <w:szCs w:val="24"/>
                <w:u w:val="none"/>
                <w:lang w:val="en-US" w:eastAsia="zh-CN"/>
              </w:rPr>
              <w:t>18.33</w:t>
            </w:r>
            <w:r>
              <w:rPr>
                <w:rFonts w:hint="eastAsia" w:ascii="Times New Roman" w:hAnsi="Times New Roman" w:eastAsia="宋体"/>
                <w:color w:val="000000"/>
                <w:sz w:val="24"/>
                <w:szCs w:val="24"/>
                <w:u w:val="none"/>
              </w:rPr>
              <w:t>mg/m</w:t>
            </w:r>
            <w:r>
              <w:rPr>
                <w:rFonts w:hint="eastAsia" w:ascii="Times New Roman" w:hAnsi="Times New Roman" w:eastAsia="宋体"/>
                <w:color w:val="000000"/>
                <w:sz w:val="24"/>
                <w:szCs w:val="24"/>
                <w:u w:val="none"/>
                <w:vertAlign w:val="superscript"/>
              </w:rPr>
              <w:t>3</w:t>
            </w:r>
            <w:r>
              <w:rPr>
                <w:rFonts w:hint="eastAsia" w:ascii="Times New Roman" w:hAnsi="Times New Roman" w:eastAsia="宋体"/>
                <w:color w:val="000000"/>
                <w:sz w:val="24"/>
                <w:szCs w:val="24"/>
                <w:u w:val="none"/>
              </w:rPr>
              <w:t>，</w:t>
            </w:r>
            <w:r>
              <w:rPr>
                <w:rFonts w:hint="eastAsia" w:ascii="Times New Roman" w:hAnsi="Times New Roman" w:eastAsia="宋体"/>
                <w:color w:val="000000"/>
                <w:sz w:val="24"/>
                <w:szCs w:val="24"/>
                <w:u w:val="none"/>
                <w:lang w:val="en-US" w:eastAsia="zh-CN"/>
              </w:rPr>
              <w:t>经</w:t>
            </w:r>
            <w:r>
              <w:rPr>
                <w:rFonts w:hint="eastAsia"/>
                <w:color w:val="000000"/>
                <w:sz w:val="24"/>
                <w:szCs w:val="24"/>
                <w:u w:val="none"/>
                <w:lang w:val="en-US" w:eastAsia="zh-CN"/>
              </w:rPr>
              <w:t>1</w:t>
            </w:r>
            <w:r>
              <w:rPr>
                <w:rFonts w:hint="eastAsia" w:ascii="Times New Roman" w:hAnsi="Times New Roman" w:eastAsia="宋体"/>
                <w:color w:val="000000"/>
                <w:sz w:val="24"/>
                <w:szCs w:val="24"/>
                <w:u w:val="none"/>
                <w:lang w:val="en-US" w:eastAsia="zh-CN"/>
              </w:rPr>
              <w:t>根15</w:t>
            </w:r>
            <w:r>
              <w:rPr>
                <w:rFonts w:hint="eastAsia" w:ascii="Times New Roman" w:hAnsi="Times New Roman" w:eastAsia="宋体"/>
                <w:color w:val="000000"/>
                <w:sz w:val="24"/>
                <w:szCs w:val="24"/>
                <w:u w:val="none"/>
              </w:rPr>
              <w:t>m高烟囱排放，能够满足《锅炉大气污染物排放标准》（GB13271-2014）中表3大气污染物特别排放限制标准要求。</w:t>
            </w:r>
          </w:p>
          <w:p>
            <w:pPr>
              <w:spacing w:line="480" w:lineRule="exact"/>
              <w:ind w:firstLine="422" w:firstLineChars="200"/>
              <w:rPr>
                <w:rFonts w:hint="eastAsia"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3、排放口基本情况</w:t>
            </w:r>
          </w:p>
          <w:p>
            <w:pPr>
              <w:spacing w:line="240" w:lineRule="auto"/>
              <w:ind w:firstLine="422" w:firstLineChars="200"/>
              <w:jc w:val="center"/>
              <w:rPr>
                <w:rFonts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表</w:t>
            </w:r>
            <w:r>
              <w:rPr>
                <w:rFonts w:hint="eastAsia"/>
                <w:b/>
                <w:color w:val="000000"/>
                <w:sz w:val="21"/>
                <w:szCs w:val="21"/>
                <w:u w:val="none"/>
                <w:lang w:val="en-US" w:eastAsia="zh-CN"/>
              </w:rPr>
              <w:t>4-5</w:t>
            </w:r>
            <w:r>
              <w:rPr>
                <w:rFonts w:hint="eastAsia" w:ascii="Times New Roman" w:hAnsi="Times New Roman" w:eastAsia="宋体"/>
                <w:b/>
                <w:color w:val="000000"/>
                <w:sz w:val="21"/>
                <w:szCs w:val="21"/>
                <w:u w:val="none"/>
                <w:lang w:val="en-US" w:eastAsia="zh-CN"/>
              </w:rPr>
              <w:t xml:space="preserve"> </w:t>
            </w:r>
            <w:r>
              <w:rPr>
                <w:rFonts w:hint="eastAsia" w:ascii="Times New Roman" w:hAnsi="Times New Roman" w:eastAsia="宋体"/>
                <w:b/>
                <w:color w:val="000000"/>
                <w:sz w:val="21"/>
                <w:szCs w:val="21"/>
                <w:u w:val="none"/>
              </w:rPr>
              <w:t xml:space="preserve"> 大气排放口基本情况表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30"/>
              <w:gridCol w:w="824"/>
              <w:gridCol w:w="1121"/>
              <w:gridCol w:w="1413"/>
              <w:gridCol w:w="1309"/>
              <w:gridCol w:w="624"/>
              <w:gridCol w:w="653"/>
              <w:gridCol w:w="7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0" w:type="dxa"/>
                  <w:vMerge w:val="restart"/>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序号</w:t>
                  </w:r>
                </w:p>
              </w:tc>
              <w:tc>
                <w:tcPr>
                  <w:tcW w:w="830" w:type="dxa"/>
                  <w:vMerge w:val="restart"/>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排放口编号</w:t>
                  </w:r>
                </w:p>
              </w:tc>
              <w:tc>
                <w:tcPr>
                  <w:tcW w:w="824" w:type="dxa"/>
                  <w:vMerge w:val="restart"/>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排放口名称</w:t>
                  </w:r>
                </w:p>
              </w:tc>
              <w:tc>
                <w:tcPr>
                  <w:tcW w:w="1121" w:type="dxa"/>
                  <w:vMerge w:val="restart"/>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污染物种类</w:t>
                  </w:r>
                </w:p>
              </w:tc>
              <w:tc>
                <w:tcPr>
                  <w:tcW w:w="2722" w:type="dxa"/>
                  <w:gridSpan w:val="2"/>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排放口地理坐标</w:t>
                  </w:r>
                </w:p>
              </w:tc>
              <w:tc>
                <w:tcPr>
                  <w:tcW w:w="624" w:type="dxa"/>
                  <w:vMerge w:val="restart"/>
                  <w:vAlign w:val="center"/>
                </w:tcPr>
                <w:p>
                  <w:pPr>
                    <w:pStyle w:val="47"/>
                    <w:spacing w:line="240" w:lineRule="auto"/>
                    <w:jc w:val="center"/>
                    <w:rPr>
                      <w:rFonts w:ascii="Times New Roman" w:hAnsi="Times New Roman" w:eastAsia="宋体"/>
                      <w:sz w:val="21"/>
                      <w:szCs w:val="21"/>
                      <w:u w:val="none"/>
                    </w:rPr>
                  </w:pPr>
                  <w:r>
                    <w:rPr>
                      <w:rFonts w:hint="eastAsia" w:ascii="Times New Roman" w:hAnsi="Times New Roman" w:eastAsia="宋体"/>
                      <w:sz w:val="21"/>
                      <w:szCs w:val="21"/>
                      <w:u w:val="none"/>
                    </w:rPr>
                    <w:t>排气筒</w:t>
                  </w:r>
                  <w:r>
                    <w:rPr>
                      <w:rFonts w:ascii="Times New Roman" w:hAnsi="Times New Roman" w:eastAsia="宋体"/>
                      <w:sz w:val="21"/>
                      <w:szCs w:val="21"/>
                      <w:u w:val="none"/>
                    </w:rPr>
                    <w:t>高度</w:t>
                  </w:r>
                </w:p>
              </w:tc>
              <w:tc>
                <w:tcPr>
                  <w:tcW w:w="653" w:type="dxa"/>
                  <w:vMerge w:val="restart"/>
                  <w:vAlign w:val="center"/>
                </w:tcPr>
                <w:p>
                  <w:pPr>
                    <w:pStyle w:val="47"/>
                    <w:spacing w:line="240" w:lineRule="auto"/>
                    <w:jc w:val="center"/>
                    <w:rPr>
                      <w:rFonts w:ascii="Times New Roman" w:hAnsi="Times New Roman" w:eastAsia="宋体"/>
                      <w:sz w:val="21"/>
                      <w:szCs w:val="21"/>
                      <w:u w:val="none"/>
                    </w:rPr>
                  </w:pPr>
                  <w:r>
                    <w:rPr>
                      <w:rFonts w:hint="eastAsia" w:ascii="Times New Roman" w:hAnsi="Times New Roman" w:eastAsia="宋体"/>
                      <w:sz w:val="21"/>
                      <w:szCs w:val="21"/>
                      <w:u w:val="none"/>
                    </w:rPr>
                    <w:t>排气筒</w:t>
                  </w:r>
                  <w:r>
                    <w:rPr>
                      <w:rFonts w:ascii="Times New Roman" w:hAnsi="Times New Roman" w:eastAsia="宋体"/>
                      <w:sz w:val="21"/>
                      <w:szCs w:val="21"/>
                      <w:u w:val="none"/>
                    </w:rPr>
                    <w:t>出口内径</w:t>
                  </w:r>
                </w:p>
              </w:tc>
              <w:tc>
                <w:tcPr>
                  <w:tcW w:w="702" w:type="dxa"/>
                  <w:vMerge w:val="restart"/>
                  <w:vAlign w:val="center"/>
                </w:tcPr>
                <w:p>
                  <w:pPr>
                    <w:pStyle w:val="47"/>
                    <w:spacing w:line="240" w:lineRule="auto"/>
                    <w:jc w:val="center"/>
                    <w:rPr>
                      <w:rFonts w:ascii="Times New Roman" w:hAnsi="Times New Roman" w:eastAsia="宋体"/>
                      <w:sz w:val="21"/>
                      <w:szCs w:val="21"/>
                      <w:u w:val="none"/>
                    </w:rPr>
                  </w:pPr>
                  <w:r>
                    <w:rPr>
                      <w:rFonts w:hint="eastAsia" w:ascii="Times New Roman" w:hAnsi="Times New Roman" w:eastAsia="宋体"/>
                      <w:sz w:val="21"/>
                      <w:szCs w:val="21"/>
                      <w:u w:val="none"/>
                    </w:rPr>
                    <w:t>排气温度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dxa"/>
                  <w:vMerge w:val="continue"/>
                  <w:vAlign w:val="center"/>
                </w:tcPr>
                <w:p>
                  <w:pPr>
                    <w:pStyle w:val="47"/>
                    <w:spacing w:line="240" w:lineRule="auto"/>
                    <w:jc w:val="center"/>
                    <w:rPr>
                      <w:rFonts w:ascii="Times New Roman" w:hAnsi="Times New Roman" w:eastAsia="宋体"/>
                      <w:sz w:val="21"/>
                      <w:szCs w:val="21"/>
                      <w:u w:val="none"/>
                    </w:rPr>
                  </w:pPr>
                </w:p>
              </w:tc>
              <w:tc>
                <w:tcPr>
                  <w:tcW w:w="830" w:type="dxa"/>
                  <w:vMerge w:val="continue"/>
                  <w:vAlign w:val="center"/>
                </w:tcPr>
                <w:p>
                  <w:pPr>
                    <w:pStyle w:val="47"/>
                    <w:spacing w:line="240" w:lineRule="auto"/>
                    <w:jc w:val="center"/>
                    <w:rPr>
                      <w:rFonts w:ascii="Times New Roman" w:hAnsi="Times New Roman" w:eastAsia="宋体"/>
                      <w:sz w:val="21"/>
                      <w:szCs w:val="21"/>
                      <w:u w:val="none"/>
                    </w:rPr>
                  </w:pPr>
                </w:p>
              </w:tc>
              <w:tc>
                <w:tcPr>
                  <w:tcW w:w="824" w:type="dxa"/>
                  <w:vMerge w:val="continue"/>
                  <w:vAlign w:val="center"/>
                </w:tcPr>
                <w:p>
                  <w:pPr>
                    <w:pStyle w:val="47"/>
                    <w:spacing w:line="240" w:lineRule="auto"/>
                    <w:jc w:val="center"/>
                    <w:rPr>
                      <w:rFonts w:ascii="Times New Roman" w:hAnsi="Times New Roman" w:eastAsia="宋体"/>
                      <w:sz w:val="21"/>
                      <w:szCs w:val="21"/>
                      <w:u w:val="none"/>
                    </w:rPr>
                  </w:pPr>
                </w:p>
              </w:tc>
              <w:tc>
                <w:tcPr>
                  <w:tcW w:w="1121" w:type="dxa"/>
                  <w:vMerge w:val="continue"/>
                  <w:vAlign w:val="center"/>
                </w:tcPr>
                <w:p>
                  <w:pPr>
                    <w:pStyle w:val="47"/>
                    <w:spacing w:line="240" w:lineRule="auto"/>
                    <w:jc w:val="center"/>
                    <w:rPr>
                      <w:rFonts w:ascii="Times New Roman" w:hAnsi="Times New Roman" w:eastAsia="宋体"/>
                      <w:sz w:val="21"/>
                      <w:szCs w:val="21"/>
                      <w:u w:val="none"/>
                    </w:rPr>
                  </w:pPr>
                </w:p>
              </w:tc>
              <w:tc>
                <w:tcPr>
                  <w:tcW w:w="1413" w:type="dxa"/>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经度</w:t>
                  </w:r>
                </w:p>
              </w:tc>
              <w:tc>
                <w:tcPr>
                  <w:tcW w:w="1309" w:type="dxa"/>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纬度</w:t>
                  </w:r>
                </w:p>
              </w:tc>
              <w:tc>
                <w:tcPr>
                  <w:tcW w:w="624" w:type="dxa"/>
                  <w:vMerge w:val="continue"/>
                  <w:vAlign w:val="center"/>
                </w:tcPr>
                <w:p>
                  <w:pPr>
                    <w:pStyle w:val="47"/>
                    <w:spacing w:line="240" w:lineRule="auto"/>
                    <w:jc w:val="center"/>
                    <w:rPr>
                      <w:rFonts w:ascii="Times New Roman" w:hAnsi="Times New Roman" w:eastAsia="宋体"/>
                      <w:sz w:val="21"/>
                      <w:szCs w:val="21"/>
                      <w:u w:val="none"/>
                    </w:rPr>
                  </w:pPr>
                </w:p>
              </w:tc>
              <w:tc>
                <w:tcPr>
                  <w:tcW w:w="653" w:type="dxa"/>
                  <w:vMerge w:val="continue"/>
                  <w:vAlign w:val="center"/>
                </w:tcPr>
                <w:p>
                  <w:pPr>
                    <w:pStyle w:val="47"/>
                    <w:spacing w:line="240" w:lineRule="auto"/>
                    <w:jc w:val="center"/>
                    <w:rPr>
                      <w:rFonts w:ascii="Times New Roman" w:hAnsi="Times New Roman" w:eastAsia="宋体"/>
                      <w:sz w:val="21"/>
                      <w:szCs w:val="21"/>
                      <w:u w:val="none"/>
                    </w:rPr>
                  </w:pPr>
                </w:p>
              </w:tc>
              <w:tc>
                <w:tcPr>
                  <w:tcW w:w="702" w:type="dxa"/>
                  <w:vMerge w:val="continue"/>
                  <w:vAlign w:val="center"/>
                </w:tcPr>
                <w:p>
                  <w:pPr>
                    <w:pStyle w:val="47"/>
                    <w:spacing w:line="240" w:lineRule="auto"/>
                    <w:jc w:val="center"/>
                    <w:rPr>
                      <w:rFonts w:ascii="Times New Roman" w:hAnsi="Times New Roman" w:eastAsia="宋体"/>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70" w:type="dxa"/>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1</w:t>
                  </w:r>
                </w:p>
              </w:tc>
              <w:tc>
                <w:tcPr>
                  <w:tcW w:w="830" w:type="dxa"/>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DA001</w:t>
                  </w:r>
                </w:p>
              </w:tc>
              <w:tc>
                <w:tcPr>
                  <w:tcW w:w="824" w:type="dxa"/>
                  <w:vAlign w:val="center"/>
                </w:tcPr>
                <w:p>
                  <w:pPr>
                    <w:pStyle w:val="47"/>
                    <w:spacing w:line="240" w:lineRule="auto"/>
                    <w:jc w:val="center"/>
                    <w:rPr>
                      <w:rFonts w:hint="eastAsia" w:ascii="Times New Roman" w:hAnsi="Times New Roman" w:eastAsia="宋体"/>
                      <w:sz w:val="21"/>
                      <w:szCs w:val="21"/>
                      <w:u w:val="none"/>
                      <w:lang w:eastAsia="zh-CN"/>
                    </w:rPr>
                  </w:pPr>
                  <w:r>
                    <w:rPr>
                      <w:rFonts w:hint="eastAsia"/>
                      <w:sz w:val="21"/>
                      <w:szCs w:val="21"/>
                      <w:u w:val="none"/>
                      <w:lang w:val="en-US" w:eastAsia="zh-CN"/>
                    </w:rPr>
                    <w:t>烟气排放口</w:t>
                  </w:r>
                </w:p>
              </w:tc>
              <w:tc>
                <w:tcPr>
                  <w:tcW w:w="1121" w:type="dxa"/>
                  <w:vAlign w:val="center"/>
                </w:tcPr>
                <w:p>
                  <w:pPr>
                    <w:pStyle w:val="47"/>
                    <w:spacing w:line="240" w:lineRule="auto"/>
                    <w:jc w:val="center"/>
                    <w:rPr>
                      <w:rFonts w:ascii="Times New Roman" w:hAnsi="Times New Roman" w:eastAsia="宋体"/>
                      <w:sz w:val="21"/>
                      <w:szCs w:val="21"/>
                      <w:u w:val="none"/>
                    </w:rPr>
                  </w:pPr>
                  <w:r>
                    <w:rPr>
                      <w:rFonts w:hint="eastAsia" w:ascii="Times New Roman" w:hAnsi="Times New Roman" w:eastAsia="宋体"/>
                      <w:sz w:val="21"/>
                      <w:szCs w:val="21"/>
                      <w:u w:val="none"/>
                    </w:rPr>
                    <w:t>颗粒物、S</w:t>
                  </w:r>
                  <w:r>
                    <w:rPr>
                      <w:rFonts w:ascii="Times New Roman" w:hAnsi="Times New Roman" w:eastAsia="宋体"/>
                      <w:sz w:val="21"/>
                      <w:szCs w:val="21"/>
                      <w:u w:val="none"/>
                    </w:rPr>
                    <w:t>O</w:t>
                  </w:r>
                  <w:r>
                    <w:rPr>
                      <w:rFonts w:ascii="Times New Roman" w:hAnsi="Times New Roman" w:eastAsia="宋体"/>
                      <w:sz w:val="21"/>
                      <w:szCs w:val="21"/>
                      <w:u w:val="none"/>
                      <w:vertAlign w:val="subscript"/>
                    </w:rPr>
                    <w:t>2</w:t>
                  </w:r>
                  <w:r>
                    <w:rPr>
                      <w:rFonts w:ascii="Times New Roman" w:hAnsi="Times New Roman" w:eastAsia="宋体"/>
                      <w:sz w:val="21"/>
                      <w:szCs w:val="21"/>
                      <w:u w:val="none"/>
                    </w:rPr>
                    <w:t>、</w:t>
                  </w:r>
                  <w:r>
                    <w:rPr>
                      <w:rFonts w:hint="eastAsia" w:ascii="Times New Roman" w:hAnsi="Times New Roman" w:eastAsia="宋体"/>
                      <w:sz w:val="21"/>
                      <w:szCs w:val="21"/>
                      <w:u w:val="none"/>
                    </w:rPr>
                    <w:t>NO</w:t>
                  </w:r>
                  <w:r>
                    <w:rPr>
                      <w:rFonts w:ascii="Times New Roman" w:hAnsi="Times New Roman" w:eastAsia="宋体"/>
                      <w:sz w:val="21"/>
                      <w:szCs w:val="21"/>
                      <w:u w:val="none"/>
                    </w:rPr>
                    <w:t>x、烟气黑度</w:t>
                  </w:r>
                </w:p>
              </w:tc>
              <w:tc>
                <w:tcPr>
                  <w:tcW w:w="1413" w:type="dxa"/>
                  <w:vAlign w:val="center"/>
                </w:tcPr>
                <w:p>
                  <w:pPr>
                    <w:pStyle w:val="47"/>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125.</w:t>
                  </w:r>
                  <w:r>
                    <w:rPr>
                      <w:rFonts w:hint="eastAsia"/>
                      <w:sz w:val="21"/>
                      <w:szCs w:val="21"/>
                      <w:u w:val="none"/>
                      <w:lang w:val="en-US" w:eastAsia="zh-CN"/>
                    </w:rPr>
                    <w:t>39101</w:t>
                  </w:r>
                </w:p>
              </w:tc>
              <w:tc>
                <w:tcPr>
                  <w:tcW w:w="1309" w:type="dxa"/>
                  <w:vAlign w:val="center"/>
                </w:tcPr>
                <w:p>
                  <w:pPr>
                    <w:pStyle w:val="47"/>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44.0</w:t>
                  </w:r>
                  <w:r>
                    <w:rPr>
                      <w:rFonts w:hint="eastAsia"/>
                      <w:sz w:val="21"/>
                      <w:szCs w:val="21"/>
                      <w:u w:val="none"/>
                      <w:lang w:val="en-US" w:eastAsia="zh-CN"/>
                    </w:rPr>
                    <w:t>1581</w:t>
                  </w:r>
                </w:p>
              </w:tc>
              <w:tc>
                <w:tcPr>
                  <w:tcW w:w="624" w:type="dxa"/>
                  <w:vAlign w:val="center"/>
                </w:tcPr>
                <w:p>
                  <w:pPr>
                    <w:pStyle w:val="47"/>
                    <w:spacing w:line="240" w:lineRule="auto"/>
                    <w:jc w:val="center"/>
                    <w:rPr>
                      <w:rFonts w:hint="default" w:ascii="Times New Roman" w:hAnsi="Times New Roman" w:eastAsia="宋体"/>
                      <w:sz w:val="21"/>
                      <w:szCs w:val="21"/>
                      <w:u w:val="none"/>
                      <w:lang w:val="en-US" w:eastAsia="zh-CN"/>
                    </w:rPr>
                  </w:pPr>
                  <w:r>
                    <w:rPr>
                      <w:rFonts w:hint="eastAsia" w:ascii="Times New Roman" w:hAnsi="Times New Roman" w:eastAsia="宋体"/>
                      <w:sz w:val="21"/>
                      <w:szCs w:val="21"/>
                      <w:u w:val="none"/>
                      <w:lang w:val="en-US" w:eastAsia="zh-CN"/>
                    </w:rPr>
                    <w:t>15m</w:t>
                  </w:r>
                </w:p>
              </w:tc>
              <w:tc>
                <w:tcPr>
                  <w:tcW w:w="653" w:type="dxa"/>
                  <w:vAlign w:val="center"/>
                </w:tcPr>
                <w:p>
                  <w:pPr>
                    <w:pStyle w:val="47"/>
                    <w:spacing w:line="240" w:lineRule="auto"/>
                    <w:jc w:val="center"/>
                    <w:rPr>
                      <w:rFonts w:ascii="Times New Roman" w:hAnsi="Times New Roman" w:eastAsia="宋体"/>
                      <w:sz w:val="21"/>
                      <w:szCs w:val="21"/>
                      <w:u w:val="none"/>
                    </w:rPr>
                  </w:pPr>
                  <w:r>
                    <w:rPr>
                      <w:rFonts w:ascii="Times New Roman" w:hAnsi="Times New Roman" w:eastAsia="宋体"/>
                      <w:sz w:val="21"/>
                      <w:szCs w:val="21"/>
                      <w:u w:val="none"/>
                    </w:rPr>
                    <w:t>0.5</w:t>
                  </w:r>
                </w:p>
              </w:tc>
              <w:tc>
                <w:tcPr>
                  <w:tcW w:w="702" w:type="dxa"/>
                  <w:vAlign w:val="center"/>
                </w:tcPr>
                <w:p>
                  <w:pPr>
                    <w:pStyle w:val="47"/>
                    <w:spacing w:line="240" w:lineRule="auto"/>
                    <w:jc w:val="center"/>
                    <w:rPr>
                      <w:rFonts w:ascii="Times New Roman" w:hAnsi="Times New Roman" w:eastAsia="宋体" w:cs="宋体"/>
                      <w:sz w:val="21"/>
                      <w:szCs w:val="21"/>
                      <w:u w:val="none"/>
                      <w:lang w:eastAsia="ja-JP"/>
                    </w:rPr>
                  </w:pPr>
                  <w:r>
                    <w:rPr>
                      <w:rFonts w:hint="eastAsia" w:ascii="Times New Roman" w:hAnsi="Times New Roman" w:eastAsia="宋体"/>
                      <w:sz w:val="21"/>
                      <w:szCs w:val="21"/>
                      <w:u w:val="none"/>
                    </w:rPr>
                    <w:t>5</w:t>
                  </w:r>
                  <w:r>
                    <w:rPr>
                      <w:rFonts w:ascii="Times New Roman" w:hAnsi="Times New Roman" w:eastAsia="宋体"/>
                      <w:sz w:val="21"/>
                      <w:szCs w:val="21"/>
                      <w:u w:val="none"/>
                    </w:rPr>
                    <w:t>0</w:t>
                  </w:r>
                  <w:r>
                    <w:rPr>
                      <w:rFonts w:hint="eastAsia" w:ascii="Times New Roman" w:hAnsi="Times New Roman" w:eastAsia="宋体" w:cs="宋体"/>
                      <w:sz w:val="21"/>
                      <w:szCs w:val="21"/>
                      <w:u w:val="none"/>
                      <w:lang w:eastAsia="ja-JP"/>
                    </w:rPr>
                    <w:t>℃</w:t>
                  </w:r>
                </w:p>
              </w:tc>
            </w:tr>
          </w:tbl>
          <w:p>
            <w:pPr>
              <w:spacing w:line="480" w:lineRule="exact"/>
              <w:ind w:firstLine="482" w:firstLineChars="200"/>
              <w:rPr>
                <w:rFonts w:ascii="Times New Roman" w:hAnsi="Times New Roman" w:eastAsia="宋体"/>
                <w:b/>
                <w:color w:val="000000"/>
                <w:sz w:val="24"/>
                <w:szCs w:val="24"/>
                <w:u w:val="none"/>
              </w:rPr>
            </w:pPr>
            <w:r>
              <w:rPr>
                <w:rFonts w:ascii="Times New Roman" w:hAnsi="Times New Roman" w:eastAsia="宋体"/>
                <w:b/>
                <w:color w:val="000000"/>
                <w:sz w:val="24"/>
                <w:szCs w:val="24"/>
                <w:u w:val="none"/>
              </w:rPr>
              <w:t>4</w:t>
            </w:r>
            <w:r>
              <w:rPr>
                <w:rFonts w:hint="eastAsia" w:ascii="Times New Roman" w:hAnsi="Times New Roman" w:eastAsia="宋体"/>
                <w:b/>
                <w:color w:val="000000"/>
                <w:sz w:val="24"/>
                <w:szCs w:val="24"/>
                <w:u w:val="none"/>
              </w:rPr>
              <w:t>、监测要求</w:t>
            </w:r>
          </w:p>
          <w:p>
            <w:pPr>
              <w:spacing w:line="360" w:lineRule="auto"/>
              <w:ind w:firstLine="480" w:firstLineChars="200"/>
              <w:rPr>
                <w:rFonts w:hint="eastAsia" w:ascii="Times New Roman" w:hAnsi="Times New Roman" w:eastAsia="宋体"/>
                <w:sz w:val="24"/>
                <w:szCs w:val="24"/>
                <w:u w:val="none"/>
              </w:rPr>
            </w:pPr>
            <w:r>
              <w:rPr>
                <w:rFonts w:hint="eastAsia" w:ascii="Times New Roman" w:hAnsi="Times New Roman" w:eastAsia="宋体"/>
                <w:color w:val="000000"/>
                <w:sz w:val="24"/>
                <w:szCs w:val="24"/>
                <w:u w:val="none"/>
              </w:rPr>
              <w:t>根据《排污许可证申请与核发技术规范 锅炉》（HJ</w:t>
            </w:r>
            <w:r>
              <w:rPr>
                <w:rFonts w:ascii="Times New Roman" w:hAnsi="Times New Roman" w:eastAsia="宋体"/>
                <w:color w:val="000000"/>
                <w:sz w:val="24"/>
                <w:szCs w:val="24"/>
                <w:u w:val="none"/>
              </w:rPr>
              <w:t>953-2018</w:t>
            </w:r>
            <w:r>
              <w:rPr>
                <w:rFonts w:hint="eastAsia" w:ascii="Times New Roman" w:hAnsi="Times New Roman" w:eastAsia="宋体"/>
                <w:color w:val="000000"/>
                <w:sz w:val="24"/>
                <w:szCs w:val="24"/>
                <w:u w:val="none"/>
              </w:rPr>
              <w:t>）及</w:t>
            </w:r>
            <w:r>
              <w:rPr>
                <w:rFonts w:ascii="Times New Roman" w:hAnsi="Times New Roman" w:eastAsia="宋体"/>
                <w:color w:val="000000"/>
                <w:sz w:val="24"/>
                <w:szCs w:val="24"/>
                <w:u w:val="none"/>
              </w:rPr>
              <w:t>《</w:t>
            </w:r>
            <w:r>
              <w:rPr>
                <w:rFonts w:hint="eastAsia" w:ascii="Times New Roman" w:hAnsi="Times New Roman" w:eastAsia="宋体"/>
                <w:color w:val="000000"/>
                <w:sz w:val="24"/>
                <w:szCs w:val="24"/>
                <w:u w:val="none"/>
              </w:rPr>
              <w:t>排污单位</w:t>
            </w:r>
            <w:r>
              <w:rPr>
                <w:rFonts w:ascii="Times New Roman" w:hAnsi="Times New Roman" w:eastAsia="宋体"/>
                <w:color w:val="000000"/>
                <w:sz w:val="24"/>
                <w:szCs w:val="24"/>
                <w:u w:val="none"/>
              </w:rPr>
              <w:t>自行监测技术指南</w:t>
            </w:r>
            <w:r>
              <w:rPr>
                <w:rFonts w:hint="eastAsia" w:ascii="Times New Roman" w:hAnsi="Times New Roman" w:eastAsia="宋体"/>
                <w:color w:val="000000"/>
                <w:sz w:val="24"/>
                <w:szCs w:val="24"/>
                <w:u w:val="none"/>
              </w:rPr>
              <w:t xml:space="preserve"> 火力</w:t>
            </w:r>
            <w:r>
              <w:rPr>
                <w:rFonts w:ascii="Times New Roman" w:hAnsi="Times New Roman" w:eastAsia="宋体"/>
                <w:color w:val="000000"/>
                <w:sz w:val="24"/>
                <w:szCs w:val="24"/>
                <w:u w:val="none"/>
              </w:rPr>
              <w:t>发电</w:t>
            </w:r>
            <w:r>
              <w:rPr>
                <w:rFonts w:hint="eastAsia" w:ascii="Times New Roman" w:hAnsi="Times New Roman" w:eastAsia="宋体"/>
                <w:color w:val="000000"/>
                <w:sz w:val="24"/>
                <w:szCs w:val="24"/>
                <w:u w:val="none"/>
              </w:rPr>
              <w:t>及</w:t>
            </w:r>
            <w:r>
              <w:rPr>
                <w:rFonts w:ascii="Times New Roman" w:hAnsi="Times New Roman" w:eastAsia="宋体"/>
                <w:color w:val="000000"/>
                <w:sz w:val="24"/>
                <w:szCs w:val="24"/>
                <w:u w:val="none"/>
              </w:rPr>
              <w:t>锅炉》</w:t>
            </w:r>
            <w:r>
              <w:rPr>
                <w:rFonts w:hint="eastAsia" w:ascii="Times New Roman" w:hAnsi="Times New Roman" w:eastAsia="宋体"/>
                <w:color w:val="000000"/>
                <w:sz w:val="24"/>
                <w:szCs w:val="24"/>
                <w:u w:val="none"/>
              </w:rPr>
              <w:t>（HJ820-2017），</w:t>
            </w:r>
            <w:r>
              <w:rPr>
                <w:rFonts w:ascii="Times New Roman" w:hAnsi="Times New Roman" w:eastAsia="宋体"/>
                <w:color w:val="000000"/>
                <w:sz w:val="24"/>
                <w:szCs w:val="24"/>
                <w:u w:val="none"/>
              </w:rPr>
              <w:t>对</w:t>
            </w:r>
            <w:r>
              <w:rPr>
                <w:rFonts w:hint="eastAsia" w:ascii="Times New Roman" w:hAnsi="Times New Roman" w:eastAsia="宋体"/>
                <w:color w:val="000000"/>
                <w:sz w:val="24"/>
                <w:szCs w:val="24"/>
                <w:u w:val="none"/>
              </w:rPr>
              <w:t>锅炉</w:t>
            </w:r>
            <w:r>
              <w:rPr>
                <w:rFonts w:ascii="Times New Roman" w:hAnsi="Times New Roman" w:eastAsia="宋体"/>
                <w:color w:val="000000"/>
                <w:sz w:val="24"/>
                <w:szCs w:val="24"/>
                <w:u w:val="none"/>
              </w:rPr>
              <w:t>排污单位废气污染物</w:t>
            </w:r>
            <w:r>
              <w:rPr>
                <w:rFonts w:hint="eastAsia" w:ascii="Times New Roman" w:hAnsi="Times New Roman" w:eastAsia="宋体"/>
                <w:color w:val="000000"/>
                <w:sz w:val="24"/>
                <w:szCs w:val="24"/>
                <w:u w:val="none"/>
              </w:rPr>
              <w:t>监测点位、监测指标和最低监测频次要求</w:t>
            </w:r>
            <w:r>
              <w:rPr>
                <w:rFonts w:ascii="Times New Roman" w:hAnsi="Times New Roman" w:eastAsia="宋体"/>
                <w:color w:val="000000"/>
                <w:sz w:val="24"/>
                <w:szCs w:val="24"/>
                <w:u w:val="none"/>
              </w:rPr>
              <w:t>详见下表。</w:t>
            </w:r>
          </w:p>
          <w:p>
            <w:pPr>
              <w:spacing w:line="240" w:lineRule="auto"/>
              <w:ind w:firstLine="422" w:firstLineChars="200"/>
              <w:jc w:val="center"/>
              <w:rPr>
                <w:rFonts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表</w:t>
            </w:r>
            <w:r>
              <w:rPr>
                <w:rFonts w:hint="eastAsia"/>
                <w:b/>
                <w:color w:val="000000"/>
                <w:sz w:val="21"/>
                <w:szCs w:val="21"/>
                <w:u w:val="none"/>
                <w:lang w:val="en-US" w:eastAsia="zh-CN"/>
              </w:rPr>
              <w:t>4-6</w:t>
            </w:r>
            <w:r>
              <w:rPr>
                <w:rFonts w:ascii="Times New Roman" w:hAnsi="Times New Roman" w:eastAsia="宋体"/>
                <w:b/>
                <w:color w:val="000000"/>
                <w:sz w:val="21"/>
                <w:szCs w:val="21"/>
                <w:u w:val="none"/>
              </w:rPr>
              <w:t xml:space="preserve">  </w:t>
            </w:r>
            <w:r>
              <w:rPr>
                <w:rFonts w:hint="eastAsia" w:ascii="Times New Roman" w:hAnsi="Times New Roman" w:eastAsia="宋体"/>
                <w:b/>
                <w:color w:val="000000"/>
                <w:sz w:val="21"/>
                <w:szCs w:val="21"/>
                <w:u w:val="none"/>
              </w:rPr>
              <w:t>废气监测点位、监测指标和最低监测频次</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90"/>
              <w:gridCol w:w="2797"/>
              <w:gridCol w:w="29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项目</w:t>
                  </w:r>
                </w:p>
              </w:tc>
              <w:tc>
                <w:tcPr>
                  <w:tcW w:w="937"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w:t>
                  </w:r>
                  <w:r>
                    <w:rPr>
                      <w:rFonts w:ascii="Times New Roman" w:hAnsi="Times New Roman" w:eastAsia="宋体"/>
                      <w:bCs/>
                      <w:sz w:val="21"/>
                      <w:szCs w:val="21"/>
                      <w:u w:val="none"/>
                    </w:rPr>
                    <w:t>点位</w:t>
                  </w:r>
                </w:p>
              </w:tc>
              <w:tc>
                <w:tcPr>
                  <w:tcW w:w="1759" w:type="pct"/>
                  <w:vAlign w:val="center"/>
                </w:tcPr>
                <w:p>
                  <w:pPr>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w:t>
                  </w:r>
                  <w:r>
                    <w:rPr>
                      <w:rFonts w:ascii="Times New Roman" w:hAnsi="Times New Roman" w:eastAsia="宋体"/>
                      <w:bCs/>
                      <w:sz w:val="21"/>
                      <w:szCs w:val="21"/>
                      <w:u w:val="none"/>
                    </w:rPr>
                    <w:t>指标</w:t>
                  </w:r>
                </w:p>
              </w:tc>
              <w:tc>
                <w:tcPr>
                  <w:tcW w:w="1826"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最低</w:t>
                  </w:r>
                  <w:r>
                    <w:rPr>
                      <w:rFonts w:ascii="Times New Roman" w:hAnsi="Times New Roman" w:eastAsia="宋体"/>
                      <w:bCs/>
                      <w:sz w:val="21"/>
                      <w:szCs w:val="21"/>
                      <w:u w:val="none"/>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75" w:type="pct"/>
                  <w:vMerge w:val="restar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大气环境</w:t>
                  </w:r>
                </w:p>
              </w:tc>
              <w:tc>
                <w:tcPr>
                  <w:tcW w:w="937" w:type="pct"/>
                  <w:vMerge w:val="restart"/>
                  <w:vAlign w:val="center"/>
                </w:tcPr>
                <w:p>
                  <w:pPr>
                    <w:adjustRightInd w:val="0"/>
                    <w:snapToGrid w:val="0"/>
                    <w:spacing w:line="240" w:lineRule="auto"/>
                    <w:jc w:val="center"/>
                    <w:rPr>
                      <w:rFonts w:ascii="Times New Roman" w:hAnsi="Times New Roman" w:eastAsia="宋体"/>
                      <w:bCs/>
                      <w:sz w:val="21"/>
                      <w:szCs w:val="21"/>
                      <w:u w:val="none"/>
                    </w:rPr>
                  </w:pPr>
                  <w:r>
                    <w:rPr>
                      <w:rFonts w:hint="eastAsia"/>
                      <w:sz w:val="21"/>
                      <w:szCs w:val="21"/>
                      <w:u w:val="none"/>
                      <w:lang w:val="en-US" w:eastAsia="zh-CN"/>
                    </w:rPr>
                    <w:t>烟气排放口</w:t>
                  </w:r>
                </w:p>
              </w:tc>
              <w:tc>
                <w:tcPr>
                  <w:tcW w:w="1759" w:type="pct"/>
                  <w:vAlign w:val="center"/>
                </w:tcPr>
                <w:p>
                  <w:pPr>
                    <w:spacing w:line="240" w:lineRule="auto"/>
                    <w:jc w:val="center"/>
                    <w:rPr>
                      <w:rFonts w:ascii="Times New Roman" w:hAnsi="Times New Roman" w:eastAsia="宋体"/>
                      <w:bCs/>
                      <w:sz w:val="21"/>
                      <w:szCs w:val="21"/>
                      <w:u w:val="none"/>
                    </w:rPr>
                  </w:pPr>
                  <w:r>
                    <w:rPr>
                      <w:rFonts w:ascii="Times New Roman" w:hAnsi="Times New Roman" w:eastAsia="宋体"/>
                      <w:bCs/>
                      <w:sz w:val="21"/>
                      <w:szCs w:val="21"/>
                      <w:u w:val="none"/>
                    </w:rPr>
                    <w:t>氮氧化物</w:t>
                  </w:r>
                </w:p>
              </w:tc>
              <w:tc>
                <w:tcPr>
                  <w:tcW w:w="1826"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一次/月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80" w:type="dxa"/>
                  <w:vMerge w:val="continue"/>
                  <w:vAlign w:val="center"/>
                </w:tcPr>
                <w:p>
                  <w:pPr>
                    <w:widowControl/>
                    <w:spacing w:line="240" w:lineRule="auto"/>
                    <w:jc w:val="left"/>
                    <w:rPr>
                      <w:rFonts w:ascii="Times New Roman" w:hAnsi="Times New Roman" w:eastAsia="宋体"/>
                      <w:bCs/>
                      <w:sz w:val="21"/>
                      <w:szCs w:val="21"/>
                      <w:u w:val="none"/>
                    </w:rPr>
                  </w:pPr>
                </w:p>
              </w:tc>
              <w:tc>
                <w:tcPr>
                  <w:tcW w:w="937" w:type="pct"/>
                  <w:vMerge w:val="continue"/>
                  <w:vAlign w:val="center"/>
                </w:tcPr>
                <w:p>
                  <w:pPr>
                    <w:adjustRightInd w:val="0"/>
                    <w:snapToGrid w:val="0"/>
                    <w:spacing w:line="240" w:lineRule="auto"/>
                    <w:jc w:val="center"/>
                    <w:rPr>
                      <w:rFonts w:ascii="Times New Roman" w:hAnsi="Times New Roman" w:eastAsia="宋体"/>
                      <w:bCs/>
                      <w:sz w:val="21"/>
                      <w:szCs w:val="21"/>
                      <w:u w:val="none"/>
                    </w:rPr>
                  </w:pPr>
                </w:p>
              </w:tc>
              <w:tc>
                <w:tcPr>
                  <w:tcW w:w="1759" w:type="pct"/>
                  <w:vAlign w:val="center"/>
                </w:tcPr>
                <w:p>
                  <w:pPr>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颗粒物、</w:t>
                  </w:r>
                  <w:r>
                    <w:rPr>
                      <w:rFonts w:ascii="Times New Roman" w:hAnsi="Times New Roman" w:eastAsia="宋体"/>
                      <w:bCs/>
                      <w:sz w:val="21"/>
                      <w:szCs w:val="21"/>
                      <w:u w:val="none"/>
                    </w:rPr>
                    <w:t>二氧化硫、烟气黑度</w:t>
                  </w:r>
                </w:p>
              </w:tc>
              <w:tc>
                <w:tcPr>
                  <w:tcW w:w="1826" w:type="pct"/>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一次/年</w:t>
                  </w:r>
                </w:p>
              </w:tc>
            </w:tr>
          </w:tbl>
          <w:p>
            <w:pPr>
              <w:spacing w:line="480" w:lineRule="exact"/>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三、</w:t>
            </w:r>
            <w:r>
              <w:rPr>
                <w:rFonts w:ascii="Times New Roman" w:hAnsi="Times New Roman" w:eastAsia="宋体"/>
                <w:b/>
                <w:color w:val="000000"/>
                <w:sz w:val="24"/>
                <w:szCs w:val="24"/>
                <w:u w:val="none"/>
              </w:rPr>
              <w:t>噪声</w:t>
            </w:r>
          </w:p>
          <w:p>
            <w:pPr>
              <w:pStyle w:val="50"/>
              <w:ind w:firstLine="482"/>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1、</w:t>
            </w:r>
            <w:r>
              <w:rPr>
                <w:rFonts w:ascii="Times New Roman" w:hAnsi="Times New Roman" w:eastAsia="宋体"/>
                <w:b/>
                <w:color w:val="000000"/>
                <w:sz w:val="24"/>
                <w:szCs w:val="24"/>
                <w:u w:val="none"/>
              </w:rPr>
              <w:t>声源源强</w:t>
            </w:r>
          </w:p>
          <w:p>
            <w:pPr>
              <w:pStyle w:val="50"/>
              <w:ind w:firstLine="48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本项目产生噪声设备主要来自于风机、水泵等</w:t>
            </w:r>
            <w:r>
              <w:rPr>
                <w:rFonts w:ascii="Times New Roman" w:hAnsi="Times New Roman" w:eastAsia="宋体"/>
                <w:color w:val="000000"/>
                <w:sz w:val="24"/>
                <w:szCs w:val="24"/>
                <w:u w:val="none"/>
              </w:rPr>
              <w:t>锅炉</w:t>
            </w:r>
            <w:r>
              <w:rPr>
                <w:rFonts w:hint="eastAsia" w:ascii="Times New Roman" w:hAnsi="Times New Roman" w:eastAsia="宋体"/>
                <w:color w:val="000000"/>
                <w:sz w:val="24"/>
                <w:szCs w:val="24"/>
                <w:u w:val="none"/>
              </w:rPr>
              <w:t>设备，噪声值在60—90dB（A）之间。本项目主要设备噪声源强统计见下表。</w:t>
            </w:r>
          </w:p>
          <w:p>
            <w:pPr>
              <w:jc w:val="center"/>
              <w:rPr>
                <w:rFonts w:ascii="Times New Roman" w:hAnsi="Times New Roman" w:eastAsia="宋体"/>
                <w:b/>
                <w:color w:val="000000"/>
                <w:sz w:val="21"/>
                <w:szCs w:val="21"/>
                <w:u w:val="none"/>
              </w:rPr>
            </w:pPr>
            <w:r>
              <w:rPr>
                <w:rFonts w:hint="eastAsia" w:ascii="Times New Roman" w:hAnsi="Times New Roman" w:eastAsia="宋体"/>
                <w:b/>
                <w:color w:val="000000"/>
                <w:sz w:val="21"/>
                <w:szCs w:val="21"/>
                <w:u w:val="none"/>
              </w:rPr>
              <w:t>表</w:t>
            </w:r>
            <w:r>
              <w:rPr>
                <w:rFonts w:hint="eastAsia"/>
                <w:b/>
                <w:color w:val="000000"/>
                <w:sz w:val="21"/>
                <w:szCs w:val="21"/>
                <w:u w:val="none"/>
                <w:lang w:val="en-US" w:eastAsia="zh-CN"/>
              </w:rPr>
              <w:t>4-7</w:t>
            </w:r>
            <w:r>
              <w:rPr>
                <w:rFonts w:ascii="Times New Roman" w:hAnsi="Times New Roman" w:eastAsia="宋体"/>
                <w:b/>
                <w:color w:val="000000"/>
                <w:sz w:val="21"/>
                <w:szCs w:val="21"/>
                <w:u w:val="none"/>
              </w:rPr>
              <w:t xml:space="preserve"> </w:t>
            </w:r>
            <w:r>
              <w:rPr>
                <w:rFonts w:hint="eastAsia" w:ascii="Times New Roman" w:hAnsi="Times New Roman" w:eastAsia="宋体"/>
                <w:b/>
                <w:color w:val="000000"/>
                <w:sz w:val="21"/>
                <w:szCs w:val="21"/>
                <w:u w:val="none"/>
              </w:rPr>
              <w:t>主要设备噪声源强</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82"/>
              <w:gridCol w:w="2410"/>
              <w:gridCol w:w="2410"/>
              <w:gridCol w:w="18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07" w:type="pct"/>
                  <w:tcBorders>
                    <w:top w:val="single" w:color="auto" w:sz="12" w:space="0"/>
                    <w:left w:val="nil"/>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序号</w:t>
                  </w:r>
                </w:p>
              </w:tc>
              <w:tc>
                <w:tcPr>
                  <w:tcW w:w="1516" w:type="pct"/>
                  <w:tcBorders>
                    <w:top w:val="single" w:color="auto" w:sz="12" w:space="0"/>
                    <w:left w:val="single" w:color="auto" w:sz="4" w:space="0"/>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设备名称</w:t>
                  </w:r>
                </w:p>
              </w:tc>
              <w:tc>
                <w:tcPr>
                  <w:tcW w:w="1516" w:type="pct"/>
                  <w:tcBorders>
                    <w:top w:val="single" w:color="auto" w:sz="12" w:space="0"/>
                    <w:left w:val="single" w:color="auto" w:sz="4" w:space="0"/>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数量（台）</w:t>
                  </w:r>
                </w:p>
              </w:tc>
              <w:tc>
                <w:tcPr>
                  <w:tcW w:w="1160" w:type="pct"/>
                  <w:tcBorders>
                    <w:top w:val="single" w:color="auto" w:sz="12" w:space="0"/>
                    <w:left w:val="single" w:color="auto" w:sz="4" w:space="0"/>
                    <w:bottom w:val="single" w:color="auto" w:sz="4" w:space="0"/>
                    <w:right w:val="nil"/>
                  </w:tcBorders>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噪声值（d</w:t>
                  </w:r>
                  <w:r>
                    <w:rPr>
                      <w:rFonts w:ascii="Times New Roman" w:hAnsi="Times New Roman" w:eastAsia="宋体"/>
                      <w:color w:val="000000"/>
                      <w:sz w:val="21"/>
                      <w:szCs w:val="21"/>
                      <w:u w:val="none"/>
                    </w:rPr>
                    <w:t>B</w:t>
                  </w:r>
                  <w:r>
                    <w:rPr>
                      <w:rFonts w:hint="eastAsia" w:ascii="Times New Roman" w:hAnsi="Times New Roman" w:eastAsia="宋体"/>
                      <w:color w:val="000000"/>
                      <w:sz w:val="21"/>
                      <w:szCs w:val="21"/>
                      <w:u w:val="none"/>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07" w:type="pct"/>
                  <w:tcBorders>
                    <w:top w:val="single" w:color="auto" w:sz="4" w:space="0"/>
                    <w:left w:val="nil"/>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1</w:t>
                  </w:r>
                </w:p>
              </w:tc>
              <w:tc>
                <w:tcPr>
                  <w:tcW w:w="1516" w:type="pct"/>
                  <w:tcBorders>
                    <w:top w:val="single" w:color="auto" w:sz="4" w:space="0"/>
                    <w:left w:val="single" w:color="auto" w:sz="4" w:space="0"/>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鼓风机</w:t>
                  </w:r>
                </w:p>
              </w:tc>
              <w:tc>
                <w:tcPr>
                  <w:tcW w:w="15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1"/>
                      <w:szCs w:val="21"/>
                      <w:u w:val="none"/>
                      <w:lang w:val="en-US" w:eastAsia="zh-CN"/>
                    </w:rPr>
                  </w:pPr>
                  <w:r>
                    <w:rPr>
                      <w:rFonts w:hint="eastAsia"/>
                      <w:color w:val="000000"/>
                      <w:sz w:val="21"/>
                      <w:szCs w:val="21"/>
                      <w:u w:val="none"/>
                      <w:lang w:val="en-US" w:eastAsia="zh-CN"/>
                    </w:rPr>
                    <w:t>1</w:t>
                  </w:r>
                </w:p>
              </w:tc>
              <w:tc>
                <w:tcPr>
                  <w:tcW w:w="1160" w:type="pct"/>
                  <w:tcBorders>
                    <w:top w:val="single" w:color="auto" w:sz="4" w:space="0"/>
                    <w:left w:val="single" w:color="auto" w:sz="4" w:space="0"/>
                    <w:bottom w:val="single" w:color="auto" w:sz="4" w:space="0"/>
                    <w:right w:val="nil"/>
                  </w:tcBorders>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65</w:t>
                  </w:r>
                  <w:r>
                    <w:rPr>
                      <w:rFonts w:hint="eastAsia" w:ascii="Times New Roman" w:hAnsi="Times New Roman" w:eastAsia="宋体"/>
                      <w:color w:val="000000"/>
                      <w:sz w:val="21"/>
                      <w:szCs w:val="21"/>
                      <w:u w:val="none"/>
                    </w:rPr>
                    <w:t>～</w:t>
                  </w:r>
                  <w:r>
                    <w:rPr>
                      <w:rFonts w:ascii="Times New Roman" w:hAnsi="Times New Roman" w:eastAsia="宋体"/>
                      <w:color w:val="000000"/>
                      <w:sz w:val="21"/>
                      <w:szCs w:val="21"/>
                      <w:u w:val="none"/>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42" w:hRule="atLeast"/>
                <w:jc w:val="center"/>
              </w:trPr>
              <w:tc>
                <w:tcPr>
                  <w:tcW w:w="807" w:type="pct"/>
                  <w:tcBorders>
                    <w:top w:val="single" w:color="auto" w:sz="4" w:space="0"/>
                    <w:left w:val="nil"/>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2</w:t>
                  </w:r>
                </w:p>
              </w:tc>
              <w:tc>
                <w:tcPr>
                  <w:tcW w:w="1516" w:type="pct"/>
                  <w:tcBorders>
                    <w:top w:val="single" w:color="auto" w:sz="4" w:space="0"/>
                    <w:left w:val="single" w:color="auto" w:sz="4" w:space="0"/>
                    <w:bottom w:val="single" w:color="auto" w:sz="4"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引风机</w:t>
                  </w:r>
                </w:p>
              </w:tc>
              <w:tc>
                <w:tcPr>
                  <w:tcW w:w="15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1"/>
                      <w:szCs w:val="21"/>
                      <w:u w:val="none"/>
                      <w:lang w:val="en-US" w:eastAsia="zh-CN"/>
                    </w:rPr>
                  </w:pPr>
                  <w:r>
                    <w:rPr>
                      <w:rFonts w:hint="eastAsia"/>
                      <w:color w:val="000000"/>
                      <w:sz w:val="21"/>
                      <w:szCs w:val="21"/>
                      <w:u w:val="none"/>
                      <w:lang w:val="en-US" w:eastAsia="zh-CN"/>
                    </w:rPr>
                    <w:t>1</w:t>
                  </w:r>
                </w:p>
              </w:tc>
              <w:tc>
                <w:tcPr>
                  <w:tcW w:w="1160" w:type="pct"/>
                  <w:tcBorders>
                    <w:top w:val="single" w:color="auto" w:sz="4" w:space="0"/>
                    <w:left w:val="single" w:color="auto" w:sz="4" w:space="0"/>
                    <w:bottom w:val="single" w:color="auto" w:sz="4" w:space="0"/>
                    <w:right w:val="nil"/>
                  </w:tcBorders>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85</w:t>
                  </w:r>
                  <w:r>
                    <w:rPr>
                      <w:rFonts w:hint="eastAsia" w:ascii="Times New Roman" w:hAnsi="Times New Roman" w:eastAsia="宋体"/>
                      <w:color w:val="000000"/>
                      <w:sz w:val="21"/>
                      <w:szCs w:val="21"/>
                      <w:u w:val="none"/>
                    </w:rPr>
                    <w:t>～</w:t>
                  </w:r>
                  <w:r>
                    <w:rPr>
                      <w:rFonts w:ascii="Times New Roman" w:hAnsi="Times New Roman" w:eastAsia="宋体"/>
                      <w:color w:val="000000"/>
                      <w:sz w:val="21"/>
                      <w:szCs w:val="21"/>
                      <w:u w:val="none"/>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07" w:type="pct"/>
                  <w:tcBorders>
                    <w:top w:val="single" w:color="auto" w:sz="4" w:space="0"/>
                    <w:left w:val="nil"/>
                    <w:bottom w:val="single" w:color="auto" w:sz="12" w:space="0"/>
                    <w:right w:val="single" w:color="auto" w:sz="4" w:space="0"/>
                  </w:tcBorders>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3</w:t>
                  </w:r>
                </w:p>
              </w:tc>
              <w:tc>
                <w:tcPr>
                  <w:tcW w:w="1516" w:type="pct"/>
                  <w:tcBorders>
                    <w:top w:val="single" w:color="auto" w:sz="4" w:space="0"/>
                    <w:left w:val="single" w:color="auto" w:sz="4" w:space="0"/>
                    <w:bottom w:val="single" w:color="auto" w:sz="12" w:space="0"/>
                    <w:right w:val="single" w:color="auto" w:sz="4" w:space="0"/>
                  </w:tcBorders>
                  <w:vAlign w:val="center"/>
                </w:tcPr>
                <w:p>
                  <w:pPr>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水泵</w:t>
                  </w:r>
                </w:p>
              </w:tc>
              <w:tc>
                <w:tcPr>
                  <w:tcW w:w="1516" w:type="pct"/>
                  <w:tcBorders>
                    <w:top w:val="single" w:color="auto" w:sz="4" w:space="0"/>
                    <w:left w:val="single" w:color="auto" w:sz="4" w:space="0"/>
                    <w:bottom w:val="single" w:color="auto" w:sz="12" w:space="0"/>
                    <w:right w:val="single" w:color="auto" w:sz="4" w:space="0"/>
                  </w:tcBorders>
                  <w:vAlign w:val="center"/>
                </w:tcPr>
                <w:p>
                  <w:pPr>
                    <w:jc w:val="center"/>
                    <w:rPr>
                      <w:rFonts w:hint="default" w:ascii="Times New Roman" w:hAnsi="Times New Roman" w:eastAsia="宋体"/>
                      <w:color w:val="000000"/>
                      <w:sz w:val="21"/>
                      <w:szCs w:val="21"/>
                      <w:u w:val="none"/>
                      <w:lang w:val="en-US" w:eastAsia="zh-CN"/>
                    </w:rPr>
                  </w:pPr>
                  <w:r>
                    <w:rPr>
                      <w:rFonts w:hint="eastAsia"/>
                      <w:color w:val="000000"/>
                      <w:sz w:val="21"/>
                      <w:szCs w:val="21"/>
                      <w:u w:val="none"/>
                      <w:lang w:val="en-US" w:eastAsia="zh-CN"/>
                    </w:rPr>
                    <w:t>1</w:t>
                  </w:r>
                </w:p>
              </w:tc>
              <w:tc>
                <w:tcPr>
                  <w:tcW w:w="1160" w:type="pct"/>
                  <w:tcBorders>
                    <w:top w:val="single" w:color="auto" w:sz="4" w:space="0"/>
                    <w:left w:val="single" w:color="auto" w:sz="4" w:space="0"/>
                    <w:bottom w:val="single" w:color="auto" w:sz="12" w:space="0"/>
                    <w:right w:val="nil"/>
                  </w:tcBorders>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65~85</w:t>
                  </w:r>
                </w:p>
              </w:tc>
            </w:tr>
          </w:tbl>
          <w:p>
            <w:pPr>
              <w:spacing w:line="360" w:lineRule="auto"/>
              <w:ind w:firstLine="482" w:firstLineChars="200"/>
              <w:rPr>
                <w:rFonts w:ascii="Times New Roman" w:hAnsi="Times New Roman" w:eastAsia="宋体"/>
                <w:b/>
                <w:color w:val="000000"/>
                <w:sz w:val="24"/>
                <w:szCs w:val="24"/>
                <w:u w:val="none"/>
              </w:rPr>
            </w:pPr>
            <w:r>
              <w:rPr>
                <w:rFonts w:hint="eastAsia" w:ascii="Times New Roman" w:hAnsi="Times New Roman" w:eastAsia="宋体"/>
                <w:b/>
                <w:color w:val="000000"/>
                <w:sz w:val="24"/>
                <w:szCs w:val="24"/>
                <w:u w:val="none"/>
              </w:rPr>
              <w:t>2、噪声</w:t>
            </w:r>
            <w:r>
              <w:rPr>
                <w:rFonts w:ascii="Times New Roman" w:hAnsi="Times New Roman" w:eastAsia="宋体"/>
                <w:b/>
                <w:color w:val="000000"/>
                <w:sz w:val="24"/>
                <w:szCs w:val="24"/>
                <w:u w:val="none"/>
              </w:rPr>
              <w:t>预测与评价</w:t>
            </w:r>
          </w:p>
          <w:p>
            <w:pPr>
              <w:spacing w:line="360" w:lineRule="auto"/>
              <w:ind w:firstLine="480" w:firstLineChars="200"/>
              <w:jc w:val="left"/>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预测模式采用《环境影响评价技术导则声环境》(HJ2.4-20</w:t>
            </w:r>
            <w:r>
              <w:rPr>
                <w:rFonts w:hint="eastAsia" w:ascii="Times New Roman" w:hAnsi="Times New Roman" w:eastAsia="宋体"/>
                <w:color w:val="000000"/>
                <w:sz w:val="24"/>
                <w:szCs w:val="24"/>
                <w:u w:val="none"/>
                <w:lang w:val="en-US" w:eastAsia="zh-CN"/>
              </w:rPr>
              <w:t>21</w:t>
            </w:r>
            <w:r>
              <w:rPr>
                <w:rFonts w:hint="eastAsia" w:ascii="Times New Roman" w:hAnsi="Times New Roman" w:eastAsia="宋体"/>
                <w:color w:val="000000"/>
                <w:sz w:val="24"/>
                <w:szCs w:val="24"/>
                <w:u w:val="none"/>
              </w:rPr>
              <w:t>)中推荐的模型。预测计算中考虑主要噪声源采取的污染防治措施、所在厂房围护效应和声源至受声点的距离衰减等主要衰减因子。根据经验估算，在采用选用低噪声设备、安装减震装置、隔声罩、厂房隔声等减震措施后，降噪效果一般在25～35dB(A)间，本项目取30dB(A)做为实际降噪量。</w:t>
            </w:r>
          </w:p>
          <w:p>
            <w:pPr>
              <w:spacing w:line="360" w:lineRule="auto"/>
              <w:ind w:firstLine="480" w:firstLineChars="200"/>
              <w:jc w:val="left"/>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项目场界噪声达标情况以贡献值进行评价噪声预测结果详见下表：</w:t>
            </w:r>
          </w:p>
          <w:p>
            <w:pPr>
              <w:jc w:val="center"/>
              <w:rPr>
                <w:rFonts w:ascii="Times New Roman" w:hAnsi="Times New Roman" w:eastAsia="宋体"/>
                <w:b/>
                <w:color w:val="000000"/>
                <w:sz w:val="21"/>
                <w:szCs w:val="21"/>
                <w:u w:val="none"/>
              </w:rPr>
            </w:pPr>
            <w:r>
              <w:rPr>
                <w:rFonts w:ascii="Times New Roman" w:hAnsi="Times New Roman" w:eastAsia="宋体"/>
                <w:b/>
                <w:color w:val="000000"/>
                <w:sz w:val="21"/>
                <w:szCs w:val="21"/>
                <w:u w:val="none"/>
              </w:rPr>
              <w:t>表</w:t>
            </w:r>
            <w:r>
              <w:rPr>
                <w:rFonts w:hint="eastAsia"/>
                <w:b/>
                <w:color w:val="000000"/>
                <w:sz w:val="21"/>
                <w:szCs w:val="21"/>
                <w:u w:val="none"/>
                <w:lang w:val="en-US" w:eastAsia="zh-CN"/>
              </w:rPr>
              <w:t>4-8</w:t>
            </w:r>
            <w:r>
              <w:rPr>
                <w:rFonts w:ascii="Times New Roman" w:hAnsi="Times New Roman" w:eastAsia="宋体"/>
                <w:b/>
                <w:color w:val="000000"/>
                <w:sz w:val="21"/>
                <w:szCs w:val="21"/>
                <w:u w:val="none"/>
              </w:rPr>
              <w:t xml:space="preserve">  项目噪声源强估算参数表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05"/>
              <w:gridCol w:w="1103"/>
              <w:gridCol w:w="920"/>
              <w:gridCol w:w="2025"/>
              <w:gridCol w:w="21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序号</w:t>
                  </w:r>
                </w:p>
              </w:tc>
              <w:tc>
                <w:tcPr>
                  <w:tcW w:w="695" w:type="pct"/>
                  <w:shd w:val="clear" w:color="auto" w:fill="auto"/>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设备名称</w:t>
                  </w:r>
                </w:p>
              </w:tc>
              <w:tc>
                <w:tcPr>
                  <w:tcW w:w="694"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单台声级</w:t>
                  </w:r>
                </w:p>
              </w:tc>
              <w:tc>
                <w:tcPr>
                  <w:tcW w:w="579"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数量/台</w:t>
                  </w:r>
                </w:p>
              </w:tc>
              <w:tc>
                <w:tcPr>
                  <w:tcW w:w="1274"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治理措施</w:t>
                  </w:r>
                </w:p>
              </w:tc>
              <w:tc>
                <w:tcPr>
                  <w:tcW w:w="1336"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治理后噪声源强dB（A）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1</w:t>
                  </w:r>
                </w:p>
              </w:tc>
              <w:tc>
                <w:tcPr>
                  <w:tcW w:w="695" w:type="pct"/>
                  <w:shd w:val="clear" w:color="auto" w:fill="auto"/>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鼓风机</w:t>
                  </w:r>
                </w:p>
              </w:tc>
              <w:tc>
                <w:tcPr>
                  <w:tcW w:w="694" w:type="pct"/>
                  <w:shd w:val="clear" w:color="auto" w:fill="auto"/>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65</w:t>
                  </w:r>
                  <w:r>
                    <w:rPr>
                      <w:rFonts w:hint="eastAsia" w:ascii="Times New Roman" w:hAnsi="Times New Roman" w:eastAsia="宋体"/>
                      <w:color w:val="000000"/>
                      <w:sz w:val="21"/>
                      <w:szCs w:val="21"/>
                      <w:u w:val="none"/>
                    </w:rPr>
                    <w:t>～</w:t>
                  </w:r>
                  <w:r>
                    <w:rPr>
                      <w:rFonts w:ascii="Times New Roman" w:hAnsi="Times New Roman" w:eastAsia="宋体"/>
                      <w:color w:val="000000"/>
                      <w:sz w:val="21"/>
                      <w:szCs w:val="21"/>
                      <w:u w:val="none"/>
                    </w:rPr>
                    <w:t>75</w:t>
                  </w:r>
                </w:p>
              </w:tc>
              <w:tc>
                <w:tcPr>
                  <w:tcW w:w="579" w:type="pct"/>
                  <w:shd w:val="clear" w:color="auto" w:fill="auto"/>
                  <w:vAlign w:val="center"/>
                </w:tcPr>
                <w:p>
                  <w:pPr>
                    <w:jc w:val="center"/>
                    <w:rPr>
                      <w:rFonts w:hint="default" w:ascii="Times New Roman" w:hAnsi="Times New Roman" w:eastAsia="宋体"/>
                      <w:color w:val="000000"/>
                      <w:sz w:val="21"/>
                      <w:szCs w:val="21"/>
                      <w:u w:val="none"/>
                      <w:lang w:val="en-US" w:eastAsia="zh-CN"/>
                    </w:rPr>
                  </w:pPr>
                  <w:r>
                    <w:rPr>
                      <w:rFonts w:hint="eastAsia"/>
                      <w:color w:val="000000"/>
                      <w:sz w:val="21"/>
                      <w:szCs w:val="21"/>
                      <w:u w:val="none"/>
                      <w:lang w:val="en-US" w:eastAsia="zh-CN"/>
                    </w:rPr>
                    <w:t>1</w:t>
                  </w:r>
                </w:p>
              </w:tc>
              <w:tc>
                <w:tcPr>
                  <w:tcW w:w="1274"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减震垫+建筑隔声</w:t>
                  </w:r>
                </w:p>
              </w:tc>
              <w:tc>
                <w:tcPr>
                  <w:tcW w:w="1336" w:type="pct"/>
                  <w:shd w:val="clear" w:color="auto" w:fill="auto"/>
                  <w:vAlign w:val="center"/>
                </w:tcPr>
                <w:p>
                  <w:pPr>
                    <w:jc w:val="center"/>
                    <w:rPr>
                      <w:rFonts w:hint="default" w:ascii="Times New Roman" w:hAnsi="Times New Roman" w:eastAsia="宋体"/>
                      <w:color w:val="000000"/>
                      <w:sz w:val="21"/>
                      <w:szCs w:val="21"/>
                      <w:u w:val="none"/>
                      <w:lang w:val="en-US" w:eastAsia="zh-CN"/>
                    </w:rPr>
                  </w:pPr>
                  <w:r>
                    <w:rPr>
                      <w:rFonts w:hint="eastAsia" w:ascii="Times New Roman" w:hAnsi="Times New Roman" w:eastAsia="宋体"/>
                      <w:color w:val="000000"/>
                      <w:sz w:val="21"/>
                      <w:szCs w:val="21"/>
                      <w:u w:val="no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2</w:t>
                  </w:r>
                </w:p>
              </w:tc>
              <w:tc>
                <w:tcPr>
                  <w:tcW w:w="695" w:type="pct"/>
                  <w:shd w:val="clear" w:color="auto" w:fill="auto"/>
                  <w:vAlign w:val="center"/>
                </w:tcPr>
                <w:p>
                  <w:pPr>
                    <w:tabs>
                      <w:tab w:val="left" w:pos="5226"/>
                    </w:tabs>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引风机</w:t>
                  </w:r>
                </w:p>
              </w:tc>
              <w:tc>
                <w:tcPr>
                  <w:tcW w:w="694" w:type="pct"/>
                  <w:shd w:val="clear" w:color="auto" w:fill="auto"/>
                  <w:vAlign w:val="center"/>
                </w:tcPr>
                <w:p>
                  <w:pPr>
                    <w:tabs>
                      <w:tab w:val="left" w:pos="5226"/>
                    </w:tabs>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85</w:t>
                  </w:r>
                  <w:r>
                    <w:rPr>
                      <w:rFonts w:hint="eastAsia" w:ascii="Times New Roman" w:hAnsi="Times New Roman" w:eastAsia="宋体"/>
                      <w:color w:val="000000"/>
                      <w:sz w:val="21"/>
                      <w:szCs w:val="21"/>
                      <w:u w:val="none"/>
                    </w:rPr>
                    <w:t>～</w:t>
                  </w:r>
                  <w:r>
                    <w:rPr>
                      <w:rFonts w:ascii="Times New Roman" w:hAnsi="Times New Roman" w:eastAsia="宋体"/>
                      <w:color w:val="000000"/>
                      <w:sz w:val="21"/>
                      <w:szCs w:val="21"/>
                      <w:u w:val="none"/>
                    </w:rPr>
                    <w:t>90</w:t>
                  </w:r>
                </w:p>
              </w:tc>
              <w:tc>
                <w:tcPr>
                  <w:tcW w:w="579" w:type="pct"/>
                  <w:shd w:val="clear" w:color="auto" w:fill="auto"/>
                  <w:vAlign w:val="center"/>
                </w:tcPr>
                <w:p>
                  <w:pPr>
                    <w:jc w:val="center"/>
                    <w:rPr>
                      <w:rFonts w:hint="default" w:ascii="Times New Roman" w:hAnsi="Times New Roman" w:eastAsia="宋体"/>
                      <w:color w:val="000000"/>
                      <w:sz w:val="21"/>
                      <w:szCs w:val="21"/>
                      <w:u w:val="none"/>
                      <w:lang w:val="en-US" w:eastAsia="zh-CN"/>
                    </w:rPr>
                  </w:pPr>
                  <w:r>
                    <w:rPr>
                      <w:rFonts w:hint="eastAsia"/>
                      <w:color w:val="000000"/>
                      <w:sz w:val="21"/>
                      <w:szCs w:val="21"/>
                      <w:u w:val="none"/>
                      <w:lang w:val="en-US" w:eastAsia="zh-CN"/>
                    </w:rPr>
                    <w:t>1</w:t>
                  </w:r>
                </w:p>
              </w:tc>
              <w:tc>
                <w:tcPr>
                  <w:tcW w:w="1274"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减震垫+建筑隔声</w:t>
                  </w:r>
                </w:p>
              </w:tc>
              <w:tc>
                <w:tcPr>
                  <w:tcW w:w="1336" w:type="pct"/>
                  <w:shd w:val="clear" w:color="auto" w:fill="auto"/>
                  <w:vAlign w:val="center"/>
                </w:tcPr>
                <w:p>
                  <w:pPr>
                    <w:jc w:val="center"/>
                    <w:rPr>
                      <w:rFonts w:hint="default" w:ascii="Times New Roman" w:hAnsi="Times New Roman" w:eastAsia="宋体"/>
                      <w:color w:val="000000"/>
                      <w:sz w:val="21"/>
                      <w:szCs w:val="21"/>
                      <w:u w:val="none"/>
                      <w:lang w:val="en-US" w:eastAsia="zh-CN"/>
                    </w:rPr>
                  </w:pPr>
                  <w:r>
                    <w:rPr>
                      <w:rFonts w:hint="eastAsia" w:ascii="Times New Roman" w:hAnsi="Times New Roman" w:eastAsia="宋体"/>
                      <w:color w:val="000000"/>
                      <w:sz w:val="21"/>
                      <w:szCs w:val="21"/>
                      <w:u w:val="none"/>
                      <w:lang w:val="en-US" w:eastAsia="zh-CN"/>
                    </w:rPr>
                    <w:t>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9"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3</w:t>
                  </w:r>
                </w:p>
              </w:tc>
              <w:tc>
                <w:tcPr>
                  <w:tcW w:w="695" w:type="pct"/>
                  <w:shd w:val="clear" w:color="auto" w:fill="auto"/>
                  <w:vAlign w:val="center"/>
                </w:tcPr>
                <w:p>
                  <w:pPr>
                    <w:jc w:val="center"/>
                    <w:rPr>
                      <w:rFonts w:ascii="Times New Roman" w:hAnsi="Times New Roman" w:eastAsia="宋体"/>
                      <w:color w:val="000000"/>
                      <w:sz w:val="21"/>
                      <w:szCs w:val="21"/>
                      <w:u w:val="none"/>
                    </w:rPr>
                  </w:pPr>
                  <w:r>
                    <w:rPr>
                      <w:rFonts w:hint="eastAsia" w:ascii="Times New Roman" w:hAnsi="Times New Roman" w:eastAsia="宋体"/>
                      <w:color w:val="000000"/>
                      <w:sz w:val="21"/>
                      <w:szCs w:val="21"/>
                      <w:u w:val="none"/>
                    </w:rPr>
                    <w:t>水泵</w:t>
                  </w:r>
                </w:p>
              </w:tc>
              <w:tc>
                <w:tcPr>
                  <w:tcW w:w="694"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65~85</w:t>
                  </w:r>
                </w:p>
              </w:tc>
              <w:tc>
                <w:tcPr>
                  <w:tcW w:w="579" w:type="pct"/>
                  <w:shd w:val="clear" w:color="auto" w:fill="auto"/>
                  <w:vAlign w:val="center"/>
                </w:tcPr>
                <w:p>
                  <w:pPr>
                    <w:jc w:val="center"/>
                    <w:rPr>
                      <w:rFonts w:hint="default" w:ascii="Times New Roman" w:hAnsi="Times New Roman" w:eastAsia="宋体"/>
                      <w:color w:val="000000"/>
                      <w:sz w:val="21"/>
                      <w:szCs w:val="21"/>
                      <w:u w:val="none"/>
                      <w:lang w:val="en-US" w:eastAsia="zh-CN"/>
                    </w:rPr>
                  </w:pPr>
                  <w:r>
                    <w:rPr>
                      <w:rFonts w:hint="eastAsia"/>
                      <w:color w:val="000000"/>
                      <w:sz w:val="21"/>
                      <w:szCs w:val="21"/>
                      <w:u w:val="none"/>
                      <w:lang w:val="en-US" w:eastAsia="zh-CN"/>
                    </w:rPr>
                    <w:t>1</w:t>
                  </w:r>
                </w:p>
              </w:tc>
              <w:tc>
                <w:tcPr>
                  <w:tcW w:w="1274" w:type="pct"/>
                  <w:shd w:val="clear" w:color="auto" w:fill="auto"/>
                  <w:vAlign w:val="center"/>
                </w:tcPr>
                <w:p>
                  <w:pPr>
                    <w:jc w:val="center"/>
                    <w:rPr>
                      <w:rFonts w:ascii="Times New Roman" w:hAnsi="Times New Roman" w:eastAsia="宋体"/>
                      <w:color w:val="000000"/>
                      <w:sz w:val="21"/>
                      <w:szCs w:val="21"/>
                      <w:u w:val="none"/>
                    </w:rPr>
                  </w:pPr>
                  <w:r>
                    <w:rPr>
                      <w:rFonts w:ascii="Times New Roman" w:hAnsi="Times New Roman" w:eastAsia="宋体"/>
                      <w:color w:val="000000"/>
                      <w:sz w:val="21"/>
                      <w:szCs w:val="21"/>
                      <w:u w:val="none"/>
                    </w:rPr>
                    <w:t>减震垫+建筑隔声</w:t>
                  </w:r>
                </w:p>
              </w:tc>
              <w:tc>
                <w:tcPr>
                  <w:tcW w:w="1336" w:type="pct"/>
                  <w:shd w:val="clear" w:color="auto" w:fill="auto"/>
                  <w:vAlign w:val="center"/>
                </w:tcPr>
                <w:p>
                  <w:pPr>
                    <w:jc w:val="center"/>
                    <w:rPr>
                      <w:rFonts w:hint="default" w:ascii="Times New Roman" w:hAnsi="Times New Roman" w:eastAsia="宋体"/>
                      <w:color w:val="000000"/>
                      <w:sz w:val="21"/>
                      <w:szCs w:val="21"/>
                      <w:u w:val="none"/>
                      <w:lang w:val="en-US" w:eastAsia="zh-CN"/>
                    </w:rPr>
                  </w:pPr>
                  <w:r>
                    <w:rPr>
                      <w:rFonts w:hint="eastAsia" w:ascii="Times New Roman" w:hAnsi="Times New Roman" w:eastAsia="宋体"/>
                      <w:color w:val="000000"/>
                      <w:sz w:val="21"/>
                      <w:szCs w:val="21"/>
                      <w:u w:val="none"/>
                      <w:lang w:val="en-US" w:eastAsia="zh-CN"/>
                    </w:rPr>
                    <w:t>53</w:t>
                  </w:r>
                </w:p>
              </w:tc>
            </w:tr>
          </w:tbl>
          <w:p>
            <w:pPr>
              <w:spacing w:line="36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根据拟建项目对声环境产生影响的主要设备噪声源噪声辐射和结构特点，安装位置的环境条件以及噪声源至预测点的距离等因素，本项目将室内噪声源划分为点声源。室内噪声影响预测选用《环境影响评价技术导则·声环境》（HJ2.4-2021）中推荐的室内声源等效室外声源计算模式。</w:t>
            </w:r>
          </w:p>
          <w:p>
            <w:pPr>
              <w:spacing w:line="36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计算</w:t>
            </w:r>
            <w:r>
              <w:rPr>
                <w:rFonts w:ascii="Times New Roman" w:hAnsi="Times New Roman" w:eastAsia="宋体"/>
                <w:color w:val="auto"/>
                <w:sz w:val="24"/>
                <w:szCs w:val="24"/>
                <w:highlight w:val="none"/>
                <w:u w:val="none"/>
              </w:rPr>
              <w:t>某个室内声源在靠近围护结构处产生的</w:t>
            </w:r>
            <w:r>
              <w:rPr>
                <w:rFonts w:hint="eastAsia" w:ascii="Times New Roman" w:hAnsi="Times New Roman" w:eastAsia="宋体"/>
                <w:color w:val="auto"/>
                <w:sz w:val="24"/>
                <w:szCs w:val="24"/>
                <w:highlight w:val="none"/>
                <w:u w:val="none"/>
              </w:rPr>
              <w:t>A声级：</w:t>
            </w:r>
          </w:p>
          <w:p>
            <w:pPr>
              <w:jc w:val="center"/>
              <w:rPr>
                <w:rFonts w:ascii="Times New Roman" w:hAnsi="Times New Roman" w:eastAsia="宋体"/>
                <w:color w:val="auto"/>
                <w:sz w:val="24"/>
                <w:szCs w:val="24"/>
                <w:highlight w:val="none"/>
                <w:u w:val="none"/>
              </w:rPr>
            </w:pPr>
            <m:oMathPara>
              <m:oMath>
                <m:sSub>
                  <m:sSubPr>
                    <m:ctrlPr>
                      <w:rPr>
                        <w:rFonts w:ascii="Cambria Math" w:hAnsi="Cambria Math" w:eastAsia="宋体"/>
                        <w:color w:val="auto"/>
                        <w:sz w:val="24"/>
                        <w:szCs w:val="24"/>
                        <w:highlight w:val="none"/>
                        <w:u w:val="none"/>
                      </w:rPr>
                    </m:ctrlPr>
                  </m:sSubPr>
                  <m:e>
                    <m:r>
                      <m:rPr/>
                      <w:rPr>
                        <w:rFonts w:ascii="Cambria Math" w:hAnsi="Cambria Math" w:eastAsia="宋体"/>
                        <w:color w:val="auto"/>
                        <w:sz w:val="24"/>
                        <w:szCs w:val="24"/>
                        <w:highlight w:val="none"/>
                        <w:u w:val="none"/>
                      </w:rPr>
                      <m:t>L</m:t>
                    </m:r>
                    <m:ctrlPr>
                      <w:rPr>
                        <w:rFonts w:ascii="Cambria Math" w:hAnsi="Cambria Math" w:eastAsia="宋体"/>
                        <w:color w:val="auto"/>
                        <w:sz w:val="24"/>
                        <w:szCs w:val="24"/>
                        <w:highlight w:val="none"/>
                        <w:u w:val="none"/>
                      </w:rPr>
                    </m:ctrlPr>
                  </m:e>
                  <m:sub>
                    <m:r>
                      <m:rPr/>
                      <w:rPr>
                        <w:rFonts w:ascii="Cambria Math" w:hAnsi="Cambria Math" w:eastAsia="宋体"/>
                        <w:color w:val="auto"/>
                        <w:sz w:val="24"/>
                        <w:szCs w:val="24"/>
                        <w:highlight w:val="none"/>
                        <w:u w:val="none"/>
                      </w:rPr>
                      <m:t>p1</m:t>
                    </m:r>
                    <m:ctrlPr>
                      <w:rPr>
                        <w:rFonts w:ascii="Cambria Math" w:hAnsi="Cambria Math" w:eastAsia="宋体"/>
                        <w:color w:val="auto"/>
                        <w:sz w:val="24"/>
                        <w:szCs w:val="24"/>
                        <w:highlight w:val="none"/>
                        <w:u w:val="none"/>
                      </w:rPr>
                    </m:ctrlPr>
                  </m:sub>
                </m:sSub>
                <m:r>
                  <m:rPr/>
                  <w:rPr>
                    <w:rFonts w:ascii="Cambria Math" w:hAnsi="Cambria Math" w:eastAsia="宋体"/>
                    <w:color w:val="auto"/>
                    <w:sz w:val="24"/>
                    <w:szCs w:val="24"/>
                    <w:highlight w:val="none"/>
                    <w:u w:val="none"/>
                  </w:rPr>
                  <m:t>=</m:t>
                </m:r>
                <m:sSub>
                  <m:sSubPr>
                    <m:ctrlPr>
                      <w:rPr>
                        <w:rFonts w:ascii="Cambria Math" w:hAnsi="Cambria Math" w:eastAsia="宋体"/>
                        <w:i/>
                        <w:color w:val="auto"/>
                        <w:sz w:val="24"/>
                        <w:szCs w:val="24"/>
                        <w:highlight w:val="none"/>
                        <w:u w:val="none"/>
                      </w:rPr>
                    </m:ctrlPr>
                  </m:sSubPr>
                  <m:e>
                    <m:r>
                      <m:rPr/>
                      <w:rPr>
                        <w:rFonts w:ascii="Cambria Math" w:hAnsi="Cambria Math" w:eastAsia="宋体"/>
                        <w:color w:val="auto"/>
                        <w:sz w:val="24"/>
                        <w:szCs w:val="24"/>
                        <w:highlight w:val="none"/>
                        <w:u w:val="none"/>
                      </w:rPr>
                      <m:t>L</m:t>
                    </m:r>
                    <m:ctrlPr>
                      <w:rPr>
                        <w:rFonts w:ascii="Cambria Math" w:hAnsi="Cambria Math" w:eastAsia="宋体"/>
                        <w:i/>
                        <w:color w:val="auto"/>
                        <w:sz w:val="24"/>
                        <w:szCs w:val="24"/>
                        <w:highlight w:val="none"/>
                        <w:u w:val="none"/>
                      </w:rPr>
                    </m:ctrlPr>
                  </m:e>
                  <m:sub>
                    <m:r>
                      <m:rPr/>
                      <w:rPr>
                        <w:rFonts w:ascii="Cambria Math" w:hAnsi="Cambria Math" w:eastAsia="宋体"/>
                        <w:color w:val="auto"/>
                        <w:sz w:val="24"/>
                        <w:szCs w:val="24"/>
                        <w:highlight w:val="none"/>
                        <w:u w:val="none"/>
                      </w:rPr>
                      <m:t>w</m:t>
                    </m:r>
                    <m:ctrlPr>
                      <w:rPr>
                        <w:rFonts w:ascii="Cambria Math" w:hAnsi="Cambria Math" w:eastAsia="宋体"/>
                        <w:i/>
                        <w:color w:val="auto"/>
                        <w:sz w:val="24"/>
                        <w:szCs w:val="24"/>
                        <w:highlight w:val="none"/>
                        <w:u w:val="none"/>
                      </w:rPr>
                    </m:ctrlPr>
                  </m:sub>
                </m:sSub>
                <m:r>
                  <m:rPr/>
                  <w:rPr>
                    <w:rFonts w:ascii="Cambria Math" w:hAnsi="Cambria Math" w:eastAsia="宋体"/>
                    <w:color w:val="auto"/>
                    <w:sz w:val="24"/>
                    <w:szCs w:val="24"/>
                    <w:highlight w:val="none"/>
                    <w:u w:val="none"/>
                  </w:rPr>
                  <m:t>+10lg</m:t>
                </m:r>
                <m:d>
                  <m:dPr>
                    <m:ctrlPr>
                      <w:rPr>
                        <w:rFonts w:ascii="Cambria Math" w:hAnsi="Cambria Math" w:eastAsia="宋体"/>
                        <w:i/>
                        <w:color w:val="auto"/>
                        <w:sz w:val="24"/>
                        <w:szCs w:val="24"/>
                        <w:highlight w:val="none"/>
                        <w:u w:val="none"/>
                      </w:rPr>
                    </m:ctrlPr>
                  </m:dPr>
                  <m:e>
                    <m:f>
                      <m:fPr>
                        <m:ctrlPr>
                          <w:rPr>
                            <w:rFonts w:ascii="Cambria Math" w:hAnsi="Cambria Math" w:eastAsia="宋体"/>
                            <w:i/>
                            <w:color w:val="auto"/>
                            <w:sz w:val="24"/>
                            <w:szCs w:val="24"/>
                            <w:highlight w:val="none"/>
                            <w:u w:val="none"/>
                          </w:rPr>
                        </m:ctrlPr>
                      </m:fPr>
                      <m:num>
                        <m:r>
                          <m:rPr/>
                          <w:rPr>
                            <w:rFonts w:ascii="Cambria Math" w:hAnsi="Cambria Math" w:eastAsia="宋体"/>
                            <w:color w:val="auto"/>
                            <w:sz w:val="24"/>
                            <w:szCs w:val="24"/>
                            <w:highlight w:val="none"/>
                            <w:u w:val="none"/>
                          </w:rPr>
                          <m:t>Q</m:t>
                        </m:r>
                        <m:ctrlPr>
                          <w:rPr>
                            <w:rFonts w:ascii="Cambria Math" w:hAnsi="Cambria Math" w:eastAsia="宋体"/>
                            <w:i/>
                            <w:color w:val="auto"/>
                            <w:sz w:val="24"/>
                            <w:szCs w:val="24"/>
                            <w:highlight w:val="none"/>
                            <w:u w:val="none"/>
                          </w:rPr>
                        </m:ctrlPr>
                      </m:num>
                      <m:den>
                        <m:r>
                          <m:rPr/>
                          <w:rPr>
                            <w:rFonts w:ascii="Cambria Math" w:hAnsi="Cambria Math" w:eastAsia="宋体"/>
                            <w:color w:val="auto"/>
                            <w:sz w:val="24"/>
                            <w:szCs w:val="24"/>
                            <w:highlight w:val="none"/>
                            <w:u w:val="none"/>
                          </w:rPr>
                          <m:t>4π</m:t>
                        </m:r>
                        <m:sSup>
                          <m:sSupPr>
                            <m:ctrlPr>
                              <w:rPr>
                                <w:rFonts w:ascii="Cambria Math" w:hAnsi="Cambria Math" w:eastAsia="宋体"/>
                                <w:i/>
                                <w:color w:val="auto"/>
                                <w:sz w:val="24"/>
                                <w:szCs w:val="24"/>
                                <w:highlight w:val="none"/>
                                <w:u w:val="none"/>
                              </w:rPr>
                            </m:ctrlPr>
                          </m:sSupPr>
                          <m:e>
                            <m:r>
                              <m:rPr/>
                              <w:rPr>
                                <w:rFonts w:ascii="Cambria Math" w:hAnsi="Cambria Math" w:eastAsia="宋体"/>
                                <w:color w:val="auto"/>
                                <w:sz w:val="24"/>
                                <w:szCs w:val="24"/>
                                <w:highlight w:val="none"/>
                                <w:u w:val="none"/>
                              </w:rPr>
                              <m:t>r</m:t>
                            </m:r>
                            <m:ctrlPr>
                              <w:rPr>
                                <w:rFonts w:ascii="Cambria Math" w:hAnsi="Cambria Math" w:eastAsia="宋体"/>
                                <w:i/>
                                <w:color w:val="auto"/>
                                <w:sz w:val="24"/>
                                <w:szCs w:val="24"/>
                                <w:highlight w:val="none"/>
                                <w:u w:val="none"/>
                              </w:rPr>
                            </m:ctrlPr>
                          </m:e>
                          <m:sup>
                            <m:r>
                              <m:rPr/>
                              <w:rPr>
                                <w:rFonts w:ascii="Cambria Math" w:hAnsi="Cambria Math" w:eastAsia="宋体"/>
                                <w:color w:val="auto"/>
                                <w:sz w:val="24"/>
                                <w:szCs w:val="24"/>
                                <w:highlight w:val="none"/>
                                <w:u w:val="none"/>
                              </w:rPr>
                              <m:t>2</m:t>
                            </m:r>
                            <m:ctrlPr>
                              <w:rPr>
                                <w:rFonts w:ascii="Cambria Math" w:hAnsi="Cambria Math" w:eastAsia="宋体"/>
                                <w:i/>
                                <w:color w:val="auto"/>
                                <w:sz w:val="24"/>
                                <w:szCs w:val="24"/>
                                <w:highlight w:val="none"/>
                                <w:u w:val="none"/>
                              </w:rPr>
                            </m:ctrlPr>
                          </m:sup>
                        </m:sSup>
                        <m:ctrlPr>
                          <w:rPr>
                            <w:rFonts w:ascii="Cambria Math" w:hAnsi="Cambria Math" w:eastAsia="宋体"/>
                            <w:i/>
                            <w:color w:val="auto"/>
                            <w:sz w:val="24"/>
                            <w:szCs w:val="24"/>
                            <w:highlight w:val="none"/>
                            <w:u w:val="none"/>
                          </w:rPr>
                        </m:ctrlPr>
                      </m:den>
                    </m:f>
                    <m:r>
                      <m:rPr/>
                      <w:rPr>
                        <w:rFonts w:ascii="Cambria Math" w:hAnsi="Cambria Math" w:eastAsia="宋体"/>
                        <w:color w:val="auto"/>
                        <w:sz w:val="24"/>
                        <w:szCs w:val="24"/>
                        <w:highlight w:val="none"/>
                        <w:u w:val="none"/>
                      </w:rPr>
                      <m:t>+</m:t>
                    </m:r>
                    <m:f>
                      <m:fPr>
                        <m:ctrlPr>
                          <w:rPr>
                            <w:rFonts w:ascii="Cambria Math" w:hAnsi="Cambria Math" w:eastAsia="宋体"/>
                            <w:i/>
                            <w:color w:val="auto"/>
                            <w:sz w:val="24"/>
                            <w:szCs w:val="24"/>
                            <w:highlight w:val="none"/>
                            <w:u w:val="none"/>
                          </w:rPr>
                        </m:ctrlPr>
                      </m:fPr>
                      <m:num>
                        <m:r>
                          <m:rPr/>
                          <w:rPr>
                            <w:rFonts w:ascii="Cambria Math" w:hAnsi="Cambria Math" w:eastAsia="宋体"/>
                            <w:color w:val="auto"/>
                            <w:sz w:val="24"/>
                            <w:szCs w:val="24"/>
                            <w:highlight w:val="none"/>
                            <w:u w:val="none"/>
                          </w:rPr>
                          <m:t>4</m:t>
                        </m:r>
                        <m:ctrlPr>
                          <w:rPr>
                            <w:rFonts w:ascii="Cambria Math" w:hAnsi="Cambria Math" w:eastAsia="宋体"/>
                            <w:i/>
                            <w:color w:val="auto"/>
                            <w:sz w:val="24"/>
                            <w:szCs w:val="24"/>
                            <w:highlight w:val="none"/>
                            <w:u w:val="none"/>
                          </w:rPr>
                        </m:ctrlPr>
                      </m:num>
                      <m:den>
                        <m:r>
                          <m:rPr/>
                          <w:rPr>
                            <w:rFonts w:ascii="Cambria Math" w:hAnsi="Cambria Math" w:eastAsia="宋体"/>
                            <w:color w:val="auto"/>
                            <w:sz w:val="24"/>
                            <w:szCs w:val="24"/>
                            <w:highlight w:val="none"/>
                            <w:u w:val="none"/>
                          </w:rPr>
                          <m:t>R</m:t>
                        </m:r>
                        <m:ctrlPr>
                          <w:rPr>
                            <w:rFonts w:ascii="Cambria Math" w:hAnsi="Cambria Math" w:eastAsia="宋体"/>
                            <w:i/>
                            <w:color w:val="auto"/>
                            <w:sz w:val="24"/>
                            <w:szCs w:val="24"/>
                            <w:highlight w:val="none"/>
                            <w:u w:val="none"/>
                          </w:rPr>
                        </m:ctrlPr>
                      </m:den>
                    </m:f>
                    <m:ctrlPr>
                      <w:rPr>
                        <w:rFonts w:ascii="Cambria Math" w:hAnsi="Cambria Math" w:eastAsia="宋体"/>
                        <w:i/>
                        <w:color w:val="auto"/>
                        <w:sz w:val="24"/>
                        <w:szCs w:val="24"/>
                        <w:highlight w:val="none"/>
                        <w:u w:val="none"/>
                      </w:rPr>
                    </m:ctrlPr>
                  </m:e>
                </m:d>
              </m:oMath>
            </m:oMathPara>
          </w:p>
          <w:p>
            <w:pPr>
              <w:spacing w:line="36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式中：L</w:t>
            </w:r>
            <w:r>
              <w:rPr>
                <w:rFonts w:ascii="Times New Roman" w:hAnsi="Times New Roman" w:eastAsia="宋体"/>
                <w:color w:val="auto"/>
                <w:sz w:val="24"/>
                <w:szCs w:val="24"/>
                <w:highlight w:val="none"/>
                <w:u w:val="none"/>
                <w:vertAlign w:val="subscript"/>
              </w:rPr>
              <w:t>p1</w:t>
            </w:r>
            <w:r>
              <w:rPr>
                <w:rFonts w:ascii="Times New Roman" w:hAnsi="Times New Roman" w:eastAsia="宋体"/>
                <w:color w:val="auto"/>
                <w:sz w:val="24"/>
                <w:szCs w:val="24"/>
                <w:highlight w:val="none"/>
                <w:u w:val="none"/>
              </w:rPr>
              <w:t>——</w:t>
            </w:r>
            <w:r>
              <w:rPr>
                <w:rFonts w:hint="eastAsia" w:ascii="Times New Roman" w:hAnsi="Times New Roman" w:eastAsia="宋体"/>
                <w:color w:val="auto"/>
                <w:sz w:val="24"/>
                <w:szCs w:val="24"/>
                <w:highlight w:val="none"/>
                <w:u w:val="none"/>
                <w:lang w:val="en-US" w:eastAsia="zh-CN"/>
              </w:rPr>
              <w:t>靠近开口处（或窗户）室内某倍频带的声压级或A声级</w:t>
            </w:r>
            <w:r>
              <w:rPr>
                <w:rFonts w:ascii="Times New Roman" w:hAnsi="Times New Roman" w:eastAsia="宋体"/>
                <w:color w:val="auto"/>
                <w:sz w:val="24"/>
                <w:szCs w:val="24"/>
                <w:highlight w:val="none"/>
                <w:u w:val="none"/>
              </w:rPr>
              <w:t>，dB</w:t>
            </w:r>
            <w:r>
              <w:rPr>
                <w:rFonts w:hint="eastAsia" w:ascii="Times New Roman" w:hAnsi="Times New Roman" w:eastAsia="宋体"/>
                <w:color w:val="auto"/>
                <w:sz w:val="24"/>
                <w:szCs w:val="24"/>
                <w:highlight w:val="none"/>
                <w:u w:val="none"/>
              </w:rPr>
              <w:t>；</w:t>
            </w:r>
          </w:p>
          <w:p>
            <w:pPr>
              <w:spacing w:line="36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 xml:space="preserve">      L</w:t>
            </w:r>
            <w:r>
              <w:rPr>
                <w:rFonts w:ascii="Times New Roman" w:hAnsi="Times New Roman" w:eastAsia="宋体"/>
                <w:color w:val="auto"/>
                <w:sz w:val="24"/>
                <w:szCs w:val="24"/>
                <w:highlight w:val="none"/>
                <w:u w:val="none"/>
                <w:vertAlign w:val="subscript"/>
              </w:rPr>
              <w:t>w</w:t>
            </w:r>
            <w:r>
              <w:rPr>
                <w:rFonts w:ascii="Times New Roman" w:hAnsi="Times New Roman" w:eastAsia="宋体"/>
                <w:color w:val="auto"/>
                <w:sz w:val="24"/>
                <w:szCs w:val="24"/>
                <w:highlight w:val="none"/>
                <w:u w:val="none"/>
              </w:rPr>
              <w:t>——</w:t>
            </w:r>
            <w:r>
              <w:rPr>
                <w:rFonts w:hint="eastAsia" w:ascii="Times New Roman" w:hAnsi="Times New Roman" w:eastAsia="宋体"/>
                <w:color w:val="auto"/>
                <w:sz w:val="24"/>
                <w:szCs w:val="24"/>
                <w:highlight w:val="none"/>
                <w:u w:val="none"/>
                <w:lang w:val="en-US" w:eastAsia="zh-CN"/>
              </w:rPr>
              <w:t>点声源声功率级（A记权或倍频带）</w:t>
            </w:r>
            <w:r>
              <w:rPr>
                <w:rFonts w:ascii="Times New Roman" w:hAnsi="Times New Roman" w:eastAsia="宋体"/>
                <w:color w:val="auto"/>
                <w:sz w:val="24"/>
                <w:szCs w:val="24"/>
                <w:highlight w:val="none"/>
                <w:u w:val="none"/>
              </w:rPr>
              <w:t>，dB</w:t>
            </w:r>
            <w:r>
              <w:rPr>
                <w:rFonts w:hint="eastAsia" w:ascii="Times New Roman" w:hAnsi="Times New Roman" w:eastAsia="宋体"/>
                <w:color w:val="auto"/>
                <w:sz w:val="24"/>
                <w:szCs w:val="24"/>
                <w:highlight w:val="none"/>
                <w:u w:val="none"/>
              </w:rPr>
              <w:t>；</w:t>
            </w:r>
          </w:p>
          <w:p>
            <w:pPr>
              <w:spacing w:line="360" w:lineRule="auto"/>
              <w:ind w:firstLine="480" w:firstLineChars="2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 xml:space="preserve">      </w:t>
            </w:r>
            <w:r>
              <w:rPr>
                <w:rFonts w:ascii="Times New Roman" w:hAnsi="Times New Roman" w:eastAsia="宋体"/>
                <w:color w:val="auto"/>
                <w:sz w:val="24"/>
                <w:szCs w:val="24"/>
                <w:highlight w:val="none"/>
                <w:u w:val="none"/>
              </w:rPr>
              <w:t>r——室内某个声源到靠近围护结构某点</w:t>
            </w:r>
            <w:r>
              <w:rPr>
                <w:rFonts w:hint="eastAsia" w:ascii="Times New Roman" w:hAnsi="Times New Roman" w:eastAsia="宋体"/>
                <w:color w:val="auto"/>
                <w:sz w:val="24"/>
                <w:szCs w:val="24"/>
                <w:highlight w:val="none"/>
                <w:u w:val="none"/>
              </w:rPr>
              <w:t>处</w:t>
            </w:r>
            <w:r>
              <w:rPr>
                <w:rFonts w:ascii="Times New Roman" w:hAnsi="Times New Roman" w:eastAsia="宋体"/>
                <w:color w:val="auto"/>
                <w:sz w:val="24"/>
                <w:szCs w:val="24"/>
                <w:highlight w:val="none"/>
                <w:u w:val="none"/>
              </w:rPr>
              <w:t>的距离，m；</w:t>
            </w:r>
          </w:p>
          <w:p>
            <w:pPr>
              <w:spacing w:line="360" w:lineRule="auto"/>
              <w:ind w:firstLine="480" w:firstLineChars="200"/>
              <w:rPr>
                <w:rFonts w:hint="default" w:ascii="Times New Roman" w:hAnsi="Times New Roman" w:eastAsia="宋体"/>
                <w:color w:val="auto"/>
                <w:sz w:val="24"/>
                <w:szCs w:val="24"/>
                <w:highlight w:val="none"/>
                <w:u w:val="none"/>
                <w:lang w:val="en-US" w:eastAsia="zh-CN"/>
              </w:rPr>
            </w:pPr>
            <w:r>
              <w:rPr>
                <w:rFonts w:ascii="Times New Roman" w:hAnsi="Times New Roman" w:eastAsia="宋体"/>
                <w:color w:val="auto"/>
                <w:sz w:val="24"/>
                <w:szCs w:val="24"/>
                <w:highlight w:val="none"/>
                <w:u w:val="none"/>
              </w:rPr>
              <w:t xml:space="preserve">      R</w:t>
            </w:r>
            <w:r>
              <w:rPr>
                <w:rFonts w:hint="eastAsia" w:ascii="Times New Roman" w:hAnsi="Times New Roman" w:eastAsia="宋体"/>
                <w:color w:val="auto"/>
                <w:sz w:val="24"/>
                <w:szCs w:val="24"/>
                <w:highlight w:val="none"/>
                <w:u w:val="none"/>
              </w:rPr>
              <w:t>——</w:t>
            </w:r>
            <w:r>
              <w:rPr>
                <w:rFonts w:ascii="Times New Roman" w:hAnsi="Times New Roman" w:eastAsia="宋体"/>
                <w:color w:val="auto"/>
                <w:sz w:val="24"/>
                <w:szCs w:val="24"/>
                <w:highlight w:val="none"/>
                <w:u w:val="none"/>
              </w:rPr>
              <w:t>房间</w:t>
            </w:r>
            <w:r>
              <w:rPr>
                <w:rFonts w:hint="eastAsia" w:ascii="Times New Roman" w:hAnsi="Times New Roman" w:eastAsia="宋体"/>
                <w:color w:val="auto"/>
                <w:sz w:val="24"/>
                <w:szCs w:val="24"/>
                <w:highlight w:val="none"/>
                <w:u w:val="none"/>
              </w:rPr>
              <w:t>常数</w:t>
            </w:r>
            <w:r>
              <w:rPr>
                <w:rFonts w:ascii="Times New Roman" w:hAnsi="Times New Roman" w:eastAsia="宋体"/>
                <w:color w:val="auto"/>
                <w:sz w:val="24"/>
                <w:szCs w:val="24"/>
                <w:highlight w:val="none"/>
                <w:u w:val="none"/>
              </w:rPr>
              <w:t>；</w:t>
            </w:r>
            <w:r>
              <w:rPr>
                <w:rFonts w:hint="eastAsia" w:ascii="Times New Roman" w:hAnsi="Times New Roman" w:eastAsia="宋体"/>
                <w:color w:val="auto"/>
                <w:sz w:val="24"/>
                <w:szCs w:val="24"/>
                <w:highlight w:val="none"/>
                <w:u w:val="none"/>
                <w:lang w:val="en-US" w:eastAsia="zh-CN"/>
              </w:rPr>
              <w:t>R=Sα/（1-α），S为房间内表面面积，m</w:t>
            </w:r>
            <w:r>
              <w:rPr>
                <w:rFonts w:hint="eastAsia" w:ascii="Times New Roman" w:hAnsi="Times New Roman" w:eastAsia="宋体"/>
                <w:color w:val="auto"/>
                <w:sz w:val="24"/>
                <w:szCs w:val="24"/>
                <w:highlight w:val="none"/>
                <w:u w:val="none"/>
                <w:vertAlign w:val="superscript"/>
                <w:lang w:val="en-US" w:eastAsia="zh-CN"/>
              </w:rPr>
              <w:t>2</w:t>
            </w:r>
            <w:r>
              <w:rPr>
                <w:rFonts w:hint="eastAsia" w:ascii="Times New Roman" w:hAnsi="Times New Roman" w:eastAsia="宋体"/>
                <w:color w:val="auto"/>
                <w:sz w:val="24"/>
                <w:szCs w:val="24"/>
                <w:highlight w:val="none"/>
                <w:u w:val="none"/>
                <w:lang w:val="en-US" w:eastAsia="zh-CN"/>
              </w:rPr>
              <w:t>；α为平均吸声系数；</w:t>
            </w:r>
          </w:p>
          <w:p>
            <w:pPr>
              <w:spacing w:line="360" w:lineRule="auto"/>
              <w:ind w:firstLine="1200" w:firstLineChars="500"/>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Q——指向性因数</w:t>
            </w:r>
            <w:r>
              <w:rPr>
                <w:rFonts w:ascii="Times New Roman" w:hAnsi="Times New Roman" w:eastAsia="宋体"/>
                <w:color w:val="auto"/>
                <w:sz w:val="24"/>
                <w:szCs w:val="24"/>
                <w:highlight w:val="none"/>
                <w:u w:val="none"/>
              </w:rPr>
              <w:t>，</w:t>
            </w:r>
            <w:r>
              <w:rPr>
                <w:rFonts w:hint="eastAsia" w:ascii="Times New Roman" w:hAnsi="Times New Roman" w:eastAsia="宋体"/>
                <w:color w:val="auto"/>
                <w:sz w:val="24"/>
                <w:szCs w:val="24"/>
                <w:highlight w:val="none"/>
                <w:u w:val="none"/>
              </w:rPr>
              <w:t>通常</w:t>
            </w:r>
            <w:r>
              <w:rPr>
                <w:rFonts w:ascii="Times New Roman" w:hAnsi="Times New Roman" w:eastAsia="宋体"/>
                <w:color w:val="auto"/>
                <w:sz w:val="24"/>
                <w:szCs w:val="24"/>
                <w:highlight w:val="none"/>
                <w:u w:val="none"/>
              </w:rPr>
              <w:t>对无指向性声源</w:t>
            </w:r>
            <w:r>
              <w:rPr>
                <w:rFonts w:hint="eastAsia" w:ascii="Times New Roman" w:hAnsi="Times New Roman" w:eastAsia="宋体"/>
                <w:color w:val="auto"/>
                <w:sz w:val="24"/>
                <w:szCs w:val="24"/>
                <w:highlight w:val="none"/>
                <w:u w:val="none"/>
              </w:rPr>
              <w:t>，当声源放在房间中心时，Q=1，当放在一面墙的中心时，Q=2；当放在两面墙夹角处时，Q=4，当放在三面墙夹角处时，Q=8；</w:t>
            </w:r>
            <w:r>
              <w:rPr>
                <w:rFonts w:ascii="Times New Roman" w:hAnsi="Times New Roman" w:eastAsia="宋体"/>
                <w:color w:val="auto"/>
                <w:sz w:val="24"/>
                <w:szCs w:val="24"/>
                <w:highlight w:val="none"/>
                <w:u w:val="none"/>
              </w:rPr>
              <w:t>。</w:t>
            </w:r>
          </w:p>
          <w:p>
            <w:pPr>
              <w:spacing w:line="360" w:lineRule="auto"/>
              <w:ind w:left="449" w:leftChars="214" w:firstLine="1"/>
              <w:rPr>
                <w:rFonts w:ascii="Times New Roman" w:hAnsi="Times New Roman" w:eastAsia="宋体"/>
                <w:color w:val="auto"/>
                <w:sz w:val="24"/>
                <w:szCs w:val="24"/>
                <w:highlight w:val="none"/>
                <w:u w:val="none"/>
              </w:rPr>
            </w:pPr>
            <w:r>
              <w:rPr>
                <w:rFonts w:hint="eastAsia" w:ascii="Times New Roman" w:hAnsi="Times New Roman" w:eastAsia="宋体"/>
                <w:color w:val="auto"/>
                <w:sz w:val="24"/>
                <w:szCs w:val="24"/>
                <w:highlight w:val="none"/>
                <w:u w:val="none"/>
              </w:rPr>
              <w:t>计算</w:t>
            </w:r>
            <w:r>
              <w:rPr>
                <w:rFonts w:ascii="Times New Roman" w:hAnsi="Times New Roman" w:eastAsia="宋体"/>
                <w:color w:val="auto"/>
                <w:sz w:val="24"/>
                <w:szCs w:val="24"/>
                <w:highlight w:val="none"/>
                <w:u w:val="none"/>
              </w:rPr>
              <w:t>室外靠近围护结构</w:t>
            </w:r>
            <w:r>
              <w:rPr>
                <w:rFonts w:hint="eastAsia" w:ascii="Times New Roman" w:hAnsi="Times New Roman" w:eastAsia="宋体"/>
                <w:color w:val="auto"/>
                <w:sz w:val="24"/>
                <w:szCs w:val="24"/>
                <w:highlight w:val="none"/>
                <w:u w:val="none"/>
              </w:rPr>
              <w:t>处</w:t>
            </w:r>
            <w:r>
              <w:rPr>
                <w:rFonts w:ascii="Times New Roman" w:hAnsi="Times New Roman" w:eastAsia="宋体"/>
                <w:color w:val="auto"/>
                <w:sz w:val="24"/>
                <w:szCs w:val="24"/>
                <w:highlight w:val="none"/>
                <w:u w:val="none"/>
              </w:rPr>
              <w:t>的</w:t>
            </w:r>
            <w:r>
              <w:rPr>
                <w:rFonts w:hint="eastAsia" w:ascii="Times New Roman" w:hAnsi="Times New Roman" w:eastAsia="宋体"/>
                <w:color w:val="auto"/>
                <w:sz w:val="24"/>
                <w:szCs w:val="24"/>
                <w:highlight w:val="none"/>
                <w:u w:val="none"/>
              </w:rPr>
              <w:t>A声级</w:t>
            </w:r>
            <w:r>
              <w:rPr>
                <w:rFonts w:ascii="Times New Roman" w:hAnsi="Times New Roman" w:eastAsia="宋体"/>
                <w:color w:val="auto"/>
                <w:sz w:val="24"/>
                <w:szCs w:val="24"/>
                <w:highlight w:val="none"/>
                <w:u w:val="none"/>
              </w:rPr>
              <w:t>：</w:t>
            </w:r>
          </w:p>
          <w:p>
            <w:pPr>
              <w:jc w:val="center"/>
              <w:rPr>
                <w:rFonts w:ascii="Times New Roman" w:hAnsi="Times New Roman" w:eastAsia="宋体"/>
                <w:color w:val="auto"/>
                <w:sz w:val="24"/>
                <w:szCs w:val="24"/>
                <w:highlight w:val="none"/>
                <w:u w:val="none"/>
              </w:rPr>
            </w:pPr>
            <m:oMathPara>
              <m:oMath>
                <m:sSub>
                  <m:sSubPr>
                    <m:ctrlPr>
                      <w:rPr>
                        <w:rFonts w:ascii="Cambria Math" w:hAnsi="Cambria Math" w:eastAsia="宋体"/>
                        <w:color w:val="auto"/>
                        <w:sz w:val="24"/>
                        <w:szCs w:val="24"/>
                        <w:highlight w:val="none"/>
                        <w:u w:val="none"/>
                      </w:rPr>
                    </m:ctrlPr>
                  </m:sSubPr>
                  <m:e>
                    <m:r>
                      <m:rPr/>
                      <w:rPr>
                        <w:rFonts w:ascii="Cambria Math" w:hAnsi="Cambria Math" w:eastAsia="宋体"/>
                        <w:color w:val="auto"/>
                        <w:sz w:val="24"/>
                        <w:szCs w:val="24"/>
                        <w:highlight w:val="none"/>
                        <w:u w:val="none"/>
                      </w:rPr>
                      <m:t>L</m:t>
                    </m:r>
                    <m:ctrlPr>
                      <w:rPr>
                        <w:rFonts w:ascii="Cambria Math" w:hAnsi="Cambria Math" w:eastAsia="宋体"/>
                        <w:color w:val="auto"/>
                        <w:sz w:val="24"/>
                        <w:szCs w:val="24"/>
                        <w:highlight w:val="none"/>
                        <w:u w:val="none"/>
                      </w:rPr>
                    </m:ctrlPr>
                  </m:e>
                  <m:sub>
                    <m:r>
                      <m:rPr/>
                      <w:rPr>
                        <w:rFonts w:ascii="Cambria Math" w:hAnsi="Cambria Math" w:eastAsia="宋体"/>
                        <w:color w:val="auto"/>
                        <w:sz w:val="24"/>
                        <w:szCs w:val="24"/>
                        <w:highlight w:val="none"/>
                        <w:u w:val="none"/>
                      </w:rPr>
                      <m:t>p2i</m:t>
                    </m:r>
                    <m:ctrlPr>
                      <w:rPr>
                        <w:rFonts w:ascii="Cambria Math" w:hAnsi="Cambria Math" w:eastAsia="宋体"/>
                        <w:color w:val="auto"/>
                        <w:sz w:val="24"/>
                        <w:szCs w:val="24"/>
                        <w:highlight w:val="none"/>
                        <w:u w:val="none"/>
                      </w:rPr>
                    </m:ctrlPr>
                  </m:sub>
                </m:sSub>
                <m:d>
                  <m:dPr>
                    <m:ctrlPr>
                      <w:rPr>
                        <w:rFonts w:ascii="Cambria Math" w:hAnsi="Cambria Math" w:eastAsia="宋体"/>
                        <w:i/>
                        <w:color w:val="auto"/>
                        <w:sz w:val="24"/>
                        <w:szCs w:val="24"/>
                        <w:highlight w:val="none"/>
                        <w:u w:val="none"/>
                      </w:rPr>
                    </m:ctrlPr>
                  </m:dPr>
                  <m:e>
                    <m:r>
                      <m:rPr/>
                      <w:rPr>
                        <w:rFonts w:ascii="Cambria Math" w:hAnsi="Cambria Math" w:eastAsia="宋体"/>
                        <w:color w:val="auto"/>
                        <w:sz w:val="24"/>
                        <w:szCs w:val="24"/>
                        <w:highlight w:val="none"/>
                        <w:u w:val="none"/>
                      </w:rPr>
                      <m:t>T</m:t>
                    </m:r>
                    <m:ctrlPr>
                      <w:rPr>
                        <w:rFonts w:ascii="Cambria Math" w:hAnsi="Cambria Math" w:eastAsia="宋体"/>
                        <w:i/>
                        <w:color w:val="auto"/>
                        <w:sz w:val="24"/>
                        <w:szCs w:val="24"/>
                        <w:highlight w:val="none"/>
                        <w:u w:val="none"/>
                      </w:rPr>
                    </m:ctrlPr>
                  </m:e>
                </m:d>
                <m:r>
                  <m:rPr/>
                  <w:rPr>
                    <w:rFonts w:ascii="Cambria Math" w:hAnsi="Cambria Math" w:eastAsia="宋体"/>
                    <w:color w:val="auto"/>
                    <w:sz w:val="24"/>
                    <w:szCs w:val="24"/>
                    <w:highlight w:val="none"/>
                    <w:u w:val="none"/>
                  </w:rPr>
                  <m:t>=</m:t>
                </m:r>
                <m:sSub>
                  <m:sSubPr>
                    <m:ctrlPr>
                      <w:rPr>
                        <w:rFonts w:ascii="Cambria Math" w:hAnsi="Cambria Math" w:eastAsia="宋体"/>
                        <w:i/>
                        <w:color w:val="auto"/>
                        <w:sz w:val="24"/>
                        <w:szCs w:val="24"/>
                        <w:highlight w:val="none"/>
                        <w:u w:val="none"/>
                      </w:rPr>
                    </m:ctrlPr>
                  </m:sSubPr>
                  <m:e>
                    <m:r>
                      <m:rPr/>
                      <w:rPr>
                        <w:rFonts w:ascii="Cambria Math" w:hAnsi="Cambria Math" w:eastAsia="宋体"/>
                        <w:color w:val="auto"/>
                        <w:sz w:val="24"/>
                        <w:szCs w:val="24"/>
                        <w:highlight w:val="none"/>
                        <w:u w:val="none"/>
                      </w:rPr>
                      <m:t>L</m:t>
                    </m:r>
                    <m:ctrlPr>
                      <w:rPr>
                        <w:rFonts w:ascii="Cambria Math" w:hAnsi="Cambria Math" w:eastAsia="宋体"/>
                        <w:i/>
                        <w:color w:val="auto"/>
                        <w:sz w:val="24"/>
                        <w:szCs w:val="24"/>
                        <w:highlight w:val="none"/>
                        <w:u w:val="none"/>
                      </w:rPr>
                    </m:ctrlPr>
                  </m:e>
                  <m:sub>
                    <m:r>
                      <m:rPr/>
                      <w:rPr>
                        <w:rFonts w:ascii="Cambria Math" w:hAnsi="Cambria Math" w:eastAsia="宋体"/>
                        <w:color w:val="auto"/>
                        <w:sz w:val="24"/>
                        <w:szCs w:val="24"/>
                        <w:highlight w:val="none"/>
                        <w:u w:val="none"/>
                      </w:rPr>
                      <m:t>p1i</m:t>
                    </m:r>
                    <m:ctrlPr>
                      <w:rPr>
                        <w:rFonts w:ascii="Cambria Math" w:hAnsi="Cambria Math" w:eastAsia="宋体"/>
                        <w:i/>
                        <w:color w:val="auto"/>
                        <w:sz w:val="24"/>
                        <w:szCs w:val="24"/>
                        <w:highlight w:val="none"/>
                        <w:u w:val="none"/>
                      </w:rPr>
                    </m:ctrlPr>
                  </m:sub>
                </m:sSub>
                <m:d>
                  <m:dPr>
                    <m:ctrlPr>
                      <w:rPr>
                        <w:rFonts w:ascii="Cambria Math" w:hAnsi="Cambria Math" w:eastAsia="宋体"/>
                        <w:i/>
                        <w:color w:val="auto"/>
                        <w:sz w:val="24"/>
                        <w:szCs w:val="24"/>
                        <w:highlight w:val="none"/>
                        <w:u w:val="none"/>
                      </w:rPr>
                    </m:ctrlPr>
                  </m:dPr>
                  <m:e>
                    <m:r>
                      <m:rPr/>
                      <w:rPr>
                        <w:rFonts w:ascii="Cambria Math" w:hAnsi="Cambria Math" w:eastAsia="宋体"/>
                        <w:color w:val="auto"/>
                        <w:sz w:val="24"/>
                        <w:szCs w:val="24"/>
                        <w:highlight w:val="none"/>
                        <w:u w:val="none"/>
                      </w:rPr>
                      <m:t>T</m:t>
                    </m:r>
                    <m:ctrlPr>
                      <w:rPr>
                        <w:rFonts w:ascii="Cambria Math" w:hAnsi="Cambria Math" w:eastAsia="宋体"/>
                        <w:i/>
                        <w:color w:val="auto"/>
                        <w:sz w:val="24"/>
                        <w:szCs w:val="24"/>
                        <w:highlight w:val="none"/>
                        <w:u w:val="none"/>
                      </w:rPr>
                    </m:ctrlPr>
                  </m:e>
                </m:d>
                <m:r>
                  <m:rPr/>
                  <w:rPr>
                    <w:rFonts w:ascii="Cambria Math" w:hAnsi="Cambria Math" w:eastAsia="宋体"/>
                    <w:color w:val="auto"/>
                    <w:sz w:val="24"/>
                    <w:szCs w:val="24"/>
                    <w:highlight w:val="none"/>
                    <w:u w:val="none"/>
                  </w:rPr>
                  <m:t>−</m:t>
                </m:r>
                <m:d>
                  <m:dPr>
                    <m:ctrlPr>
                      <w:rPr>
                        <w:rFonts w:ascii="Cambria Math" w:hAnsi="Cambria Math" w:eastAsia="宋体"/>
                        <w:i/>
                        <w:color w:val="auto"/>
                        <w:sz w:val="24"/>
                        <w:szCs w:val="24"/>
                        <w:highlight w:val="none"/>
                        <w:u w:val="none"/>
                      </w:rPr>
                    </m:ctrlPr>
                  </m:dPr>
                  <m:e>
                    <m:r>
                      <m:rPr/>
                      <w:rPr>
                        <w:rFonts w:ascii="Cambria Math" w:hAnsi="Cambria Math" w:eastAsia="宋体"/>
                        <w:color w:val="auto"/>
                        <w:sz w:val="24"/>
                        <w:szCs w:val="24"/>
                        <w:highlight w:val="none"/>
                        <w:u w:val="none"/>
                      </w:rPr>
                      <m:t>T</m:t>
                    </m:r>
                    <m:sSub>
                      <m:sSubPr>
                        <m:ctrlPr>
                          <w:rPr>
                            <w:rFonts w:ascii="Cambria Math" w:hAnsi="Cambria Math" w:eastAsia="宋体"/>
                            <w:i/>
                            <w:color w:val="auto"/>
                            <w:sz w:val="24"/>
                            <w:szCs w:val="24"/>
                            <w:highlight w:val="none"/>
                            <w:u w:val="none"/>
                          </w:rPr>
                        </m:ctrlPr>
                      </m:sSubPr>
                      <m:e>
                        <m:r>
                          <m:rPr/>
                          <w:rPr>
                            <w:rFonts w:ascii="Cambria Math" w:hAnsi="Cambria Math" w:eastAsia="宋体"/>
                            <w:color w:val="auto"/>
                            <w:sz w:val="24"/>
                            <w:szCs w:val="24"/>
                            <w:highlight w:val="none"/>
                            <w:u w:val="none"/>
                          </w:rPr>
                          <m:t>L</m:t>
                        </m:r>
                        <m:ctrlPr>
                          <w:rPr>
                            <w:rFonts w:ascii="Cambria Math" w:hAnsi="Cambria Math" w:eastAsia="宋体"/>
                            <w:i/>
                            <w:color w:val="auto"/>
                            <w:sz w:val="24"/>
                            <w:szCs w:val="24"/>
                            <w:highlight w:val="none"/>
                            <w:u w:val="none"/>
                          </w:rPr>
                        </m:ctrlPr>
                      </m:e>
                      <m:sub>
                        <m:r>
                          <m:rPr/>
                          <w:rPr>
                            <w:rFonts w:ascii="Cambria Math" w:hAnsi="Cambria Math" w:eastAsia="宋体"/>
                            <w:color w:val="auto"/>
                            <w:sz w:val="24"/>
                            <w:szCs w:val="24"/>
                            <w:highlight w:val="none"/>
                            <w:u w:val="none"/>
                          </w:rPr>
                          <m:t>i</m:t>
                        </m:r>
                        <m:ctrlPr>
                          <w:rPr>
                            <w:rFonts w:ascii="Cambria Math" w:hAnsi="Cambria Math" w:eastAsia="宋体"/>
                            <w:i/>
                            <w:color w:val="auto"/>
                            <w:sz w:val="24"/>
                            <w:szCs w:val="24"/>
                            <w:highlight w:val="none"/>
                            <w:u w:val="none"/>
                          </w:rPr>
                        </m:ctrlPr>
                      </m:sub>
                    </m:sSub>
                    <m:r>
                      <m:rPr/>
                      <w:rPr>
                        <w:rFonts w:ascii="Cambria Math" w:hAnsi="Cambria Math" w:eastAsia="宋体"/>
                        <w:color w:val="auto"/>
                        <w:sz w:val="24"/>
                        <w:szCs w:val="24"/>
                        <w:highlight w:val="none"/>
                        <w:u w:val="none"/>
                      </w:rPr>
                      <m:t>+6</m:t>
                    </m:r>
                    <m:ctrlPr>
                      <w:rPr>
                        <w:rFonts w:ascii="Cambria Math" w:hAnsi="Cambria Math" w:eastAsia="宋体"/>
                        <w:i/>
                        <w:color w:val="auto"/>
                        <w:sz w:val="24"/>
                        <w:szCs w:val="24"/>
                        <w:highlight w:val="none"/>
                        <w:u w:val="none"/>
                      </w:rPr>
                    </m:ctrlPr>
                  </m:e>
                </m:d>
              </m:oMath>
            </m:oMathPara>
          </w:p>
          <w:p>
            <w:pPr>
              <w:spacing w:line="360" w:lineRule="auto"/>
              <w:ind w:firstLine="480" w:firstLineChars="200"/>
              <w:jc w:val="left"/>
              <w:rPr>
                <w:rFonts w:hint="eastAsia" w:ascii="Times New Roman" w:hAnsi="Times New Roman" w:eastAsia="宋体"/>
                <w:sz w:val="24"/>
                <w:szCs w:val="24"/>
                <w:lang w:val="en-US" w:eastAsia="zh-CN"/>
              </w:rPr>
            </w:pPr>
            <w:r>
              <w:rPr>
                <w:rFonts w:hint="eastAsia" w:ascii="Times New Roman" w:hAnsi="Times New Roman" w:eastAsia="宋体"/>
                <w:color w:val="auto"/>
                <w:sz w:val="24"/>
                <w:szCs w:val="24"/>
                <w:highlight w:val="none"/>
                <w:u w:val="none"/>
                <w:lang w:val="en-US" w:eastAsia="zh-CN"/>
              </w:rPr>
              <w:t>拟建工程声源对预测点产生的贡献值计算：</w:t>
            </w:r>
          </w:p>
          <w:p>
            <w:pPr>
              <w:pStyle w:val="2"/>
              <w:keepNext w:val="0"/>
              <w:keepLines w:val="0"/>
              <w:pageBreakBefore w:val="0"/>
              <w:widowControl w:val="0"/>
              <w:tabs>
                <w:tab w:val="right" w:leader="dot" w:pos="9174"/>
              </w:tabs>
              <w:kinsoku/>
              <w:wordWrap/>
              <w:overflowPunct/>
              <w:topLinePunct w:val="0"/>
              <w:autoSpaceDE/>
              <w:autoSpaceDN/>
              <w:bidi w:val="0"/>
              <w:adjustRightInd/>
              <w:snapToGrid/>
              <w:spacing w:line="360" w:lineRule="auto"/>
              <w:ind w:firstLine="0"/>
              <w:textAlignment w:val="auto"/>
              <w:rPr>
                <w:rFonts w:hint="eastAsia" w:ascii="Times New Roman" w:hAnsi="Times New Roman" w:eastAsia="宋体"/>
                <w:color w:val="auto"/>
                <w:sz w:val="24"/>
                <w:szCs w:val="24"/>
                <w:highlight w:val="none"/>
                <w:u w:val="none"/>
              </w:rPr>
            </w:pPr>
            <m:oMathPara>
              <m:oMath>
                <m:sSub>
                  <m:sSubPr>
                    <m:ctrlPr>
                      <w:rPr>
                        <w:rFonts w:hint="default" w:ascii="Cambria Math" w:hAnsi="Cambria Math" w:eastAsia="宋体" w:cs="Times New Roman"/>
                        <w:i/>
                        <w:color w:val="auto"/>
                        <w:sz w:val="24"/>
                        <w:szCs w:val="24"/>
                        <w:lang w:val="en-US"/>
                      </w:rPr>
                    </m:ctrlPr>
                  </m:sSubPr>
                  <m:e>
                    <m:r>
                      <m:rPr/>
                      <w:rPr>
                        <w:rFonts w:hint="default" w:ascii="Cambria Math" w:hAnsi="Cambria Math" w:eastAsia="宋体" w:cs="Times New Roman"/>
                        <w:color w:val="auto"/>
                        <w:sz w:val="24"/>
                        <w:szCs w:val="24"/>
                        <w:lang w:val="en-US" w:eastAsia="zh-CN"/>
                      </w:rPr>
                      <m:t>L</m:t>
                    </m:r>
                    <m:ctrlPr>
                      <w:rPr>
                        <w:rFonts w:hint="default" w:ascii="Cambria Math" w:hAnsi="Cambria Math" w:eastAsia="宋体" w:cs="Times New Roman"/>
                        <w:i/>
                        <w:color w:val="auto"/>
                        <w:sz w:val="24"/>
                        <w:szCs w:val="24"/>
                        <w:lang w:val="en-US"/>
                      </w:rPr>
                    </m:ctrlPr>
                  </m:e>
                  <m:sub>
                    <m:r>
                      <m:rPr/>
                      <w:rPr>
                        <w:rFonts w:hint="default" w:ascii="Cambria Math" w:hAnsi="Cambria Math" w:eastAsia="宋体" w:cs="Times New Roman"/>
                        <w:color w:val="auto"/>
                        <w:sz w:val="24"/>
                        <w:szCs w:val="24"/>
                        <w:lang w:val="en-US" w:eastAsia="zh-CN"/>
                      </w:rPr>
                      <m:t>eqg</m:t>
                    </m:r>
                    <m:ctrlPr>
                      <w:rPr>
                        <w:rFonts w:hint="default" w:ascii="Cambria Math" w:hAnsi="Cambria Math" w:eastAsia="宋体" w:cs="Times New Roman"/>
                        <w:i/>
                        <w:color w:val="auto"/>
                        <w:sz w:val="24"/>
                        <w:szCs w:val="24"/>
                        <w:lang w:val="en-US"/>
                      </w:rPr>
                    </m:ctrlPr>
                  </m:sub>
                </m:sSub>
                <m:r>
                  <m:rPr/>
                  <w:rPr>
                    <w:rFonts w:hint="eastAsia" w:ascii="Cambria Math" w:hAnsi="Cambria Math" w:eastAsia="宋体" w:cs="Times New Roman"/>
                    <w:color w:val="auto"/>
                    <w:sz w:val="24"/>
                    <w:szCs w:val="24"/>
                    <w:lang w:val="en-US" w:eastAsia="zh-CN"/>
                  </w:rPr>
                  <m:t>=</m:t>
                </m:r>
                <m:r>
                  <m:rPr/>
                  <w:rPr>
                    <w:rFonts w:hint="default" w:ascii="Cambria Math" w:hAnsi="Cambria Math" w:eastAsia="宋体" w:cs="Times New Roman"/>
                    <w:color w:val="auto"/>
                    <w:sz w:val="24"/>
                    <w:szCs w:val="24"/>
                    <w:lang w:val="en-US" w:eastAsia="zh-CN"/>
                  </w:rPr>
                  <m:t>10lg</m:t>
                </m:r>
                <m:d>
                  <m:dPr>
                    <m:begChr m:val="["/>
                    <m:endChr m:val="]"/>
                    <m:ctrlPr>
                      <w:rPr>
                        <w:rFonts w:hint="default" w:ascii="Cambria Math" w:hAnsi="Cambria Math" w:eastAsia="宋体" w:cs="Times New Roman"/>
                        <w:i/>
                        <w:color w:val="auto"/>
                        <w:sz w:val="24"/>
                        <w:szCs w:val="24"/>
                        <w:lang w:val="en-US" w:eastAsia="zh-CN"/>
                      </w:rPr>
                    </m:ctrlPr>
                  </m:dPr>
                  <m:e>
                    <m:f>
                      <m:fPr>
                        <m:ctrlPr>
                          <w:rPr>
                            <w:rFonts w:hint="default" w:ascii="Cambria Math" w:hAnsi="Cambria Math" w:eastAsia="宋体" w:cs="Times New Roman"/>
                            <w:i/>
                            <w:color w:val="auto"/>
                            <w:sz w:val="24"/>
                            <w:szCs w:val="24"/>
                            <w:lang w:val="en-US" w:eastAsia="zh-CN"/>
                          </w:rPr>
                        </m:ctrlPr>
                      </m:fPr>
                      <m:num>
                        <m:r>
                          <m:rPr/>
                          <w:rPr>
                            <w:rFonts w:hint="default" w:ascii="Cambria Math" w:hAnsi="Cambria Math" w:eastAsia="宋体" w:cs="Times New Roman"/>
                            <w:color w:val="auto"/>
                            <w:sz w:val="24"/>
                            <w:szCs w:val="24"/>
                            <w:lang w:val="en-US" w:eastAsia="zh-CN"/>
                          </w:rPr>
                          <m:t>1</m:t>
                        </m:r>
                        <m:ctrlPr>
                          <w:rPr>
                            <w:rFonts w:hint="default" w:ascii="Cambria Math" w:hAnsi="Cambria Math" w:eastAsia="宋体" w:cs="Times New Roman"/>
                            <w:i/>
                            <w:color w:val="auto"/>
                            <w:sz w:val="24"/>
                            <w:szCs w:val="24"/>
                            <w:lang w:val="en-US" w:eastAsia="zh-CN"/>
                          </w:rPr>
                        </m:ctrlPr>
                      </m:num>
                      <m:den>
                        <m:r>
                          <m:rPr/>
                          <w:rPr>
                            <w:rFonts w:hint="default" w:ascii="Cambria Math" w:hAnsi="Cambria Math" w:eastAsia="宋体" w:cs="Times New Roman"/>
                            <w:color w:val="auto"/>
                            <w:sz w:val="24"/>
                            <w:szCs w:val="24"/>
                            <w:lang w:val="en-US" w:eastAsia="zh-CN"/>
                          </w:rPr>
                          <m:t>T</m:t>
                        </m:r>
                        <m:ctrlPr>
                          <w:rPr>
                            <w:rFonts w:hint="default" w:ascii="Cambria Math" w:hAnsi="Cambria Math" w:eastAsia="宋体" w:cs="Times New Roman"/>
                            <w:i/>
                            <w:color w:val="auto"/>
                            <w:sz w:val="24"/>
                            <w:szCs w:val="24"/>
                            <w:lang w:val="en-US" w:eastAsia="zh-CN"/>
                          </w:rPr>
                        </m:ctrlPr>
                      </m:den>
                    </m:f>
                    <m:d>
                      <m:dPr>
                        <m:ctrlPr>
                          <w:rPr>
                            <w:rFonts w:hint="default" w:ascii="Cambria Math" w:hAnsi="Cambria Math" w:eastAsia="宋体" w:cs="Times New Roman"/>
                            <w:i/>
                            <w:color w:val="auto"/>
                            <w:sz w:val="24"/>
                            <w:szCs w:val="24"/>
                            <w:lang w:val="en-US" w:eastAsia="zh-CN"/>
                          </w:rPr>
                        </m:ctrlPr>
                      </m:dPr>
                      <m:e>
                        <m:nary>
                          <m:naryPr>
                            <m:chr m:val="∑"/>
                            <m:limLoc m:val="undOvr"/>
                            <m:ctrlPr>
                              <w:rPr>
                                <w:rFonts w:hint="default" w:ascii="Cambria Math" w:hAnsi="Cambria Math" w:eastAsia="宋体" w:cs="Times New Roman"/>
                                <w:i/>
                                <w:color w:val="auto"/>
                                <w:sz w:val="24"/>
                                <w:szCs w:val="24"/>
                                <w:lang w:val="en-US" w:eastAsia="zh-CN"/>
                              </w:rPr>
                            </m:ctrlPr>
                          </m:naryPr>
                          <m:sub>
                            <m:r>
                              <m:rPr/>
                              <w:rPr>
                                <w:rFonts w:hint="default" w:ascii="Cambria Math" w:hAnsi="Cambria Math" w:eastAsia="宋体" w:cs="Times New Roman"/>
                                <w:color w:val="auto"/>
                                <w:sz w:val="24"/>
                                <w:szCs w:val="24"/>
                                <w:lang w:val="en-US" w:eastAsia="zh-CN"/>
                              </w:rPr>
                              <m:t>i</m:t>
                            </m:r>
                            <m:r>
                              <m:rPr/>
                              <w:rPr>
                                <w:rFonts w:hint="eastAsia" w:ascii="Cambria Math" w:hAnsi="Cambria Math" w:eastAsia="宋体" w:cs="Times New Roman"/>
                                <w:color w:val="auto"/>
                                <w:sz w:val="24"/>
                                <w:szCs w:val="24"/>
                                <w:lang w:val="en-US" w:eastAsia="zh-CN"/>
                              </w:rPr>
                              <m:t>=</m:t>
                            </m:r>
                            <m:r>
                              <m:rPr/>
                              <w:rPr>
                                <w:rFonts w:hint="default" w:ascii="Cambria Math" w:hAnsi="Cambria Math" w:eastAsia="宋体" w:cs="Times New Roman"/>
                                <w:color w:val="auto"/>
                                <w:sz w:val="24"/>
                                <w:szCs w:val="24"/>
                                <w:lang w:val="en-US" w:eastAsia="zh-CN"/>
                              </w:rPr>
                              <m:t>1</m:t>
                            </m:r>
                            <m:ctrlPr>
                              <w:rPr>
                                <w:rFonts w:hint="default" w:ascii="Cambria Math" w:hAnsi="Cambria Math" w:eastAsia="宋体" w:cs="Times New Roman"/>
                                <w:i/>
                                <w:color w:val="auto"/>
                                <w:sz w:val="24"/>
                                <w:szCs w:val="24"/>
                                <w:lang w:val="en-US" w:eastAsia="zh-CN"/>
                              </w:rPr>
                            </m:ctrlPr>
                          </m:sub>
                          <m:sup>
                            <m:r>
                              <m:rPr/>
                              <w:rPr>
                                <w:rFonts w:hint="default" w:ascii="Cambria Math" w:hAnsi="Cambria Math" w:eastAsia="宋体" w:cs="Times New Roman"/>
                                <w:color w:val="auto"/>
                                <w:sz w:val="24"/>
                                <w:szCs w:val="24"/>
                                <w:lang w:val="en-US" w:eastAsia="zh-CN"/>
                              </w:rPr>
                              <m:t>N</m:t>
                            </m:r>
                            <m:ctrlPr>
                              <w:rPr>
                                <w:rFonts w:hint="default" w:ascii="Cambria Math" w:hAnsi="Cambria Math" w:eastAsia="宋体" w:cs="Times New Roman"/>
                                <w:i/>
                                <w:color w:val="auto"/>
                                <w:sz w:val="24"/>
                                <w:szCs w:val="24"/>
                                <w:lang w:val="en-US" w:eastAsia="zh-CN"/>
                              </w:rPr>
                            </m:ctrlPr>
                          </m:sup>
                          <m:e>
                            <m:sSub>
                              <m:sSubPr>
                                <m:ctrlPr>
                                  <w:rPr>
                                    <w:rFonts w:hint="default" w:ascii="Cambria Math" w:hAnsi="Cambria Math" w:eastAsia="宋体" w:cs="Times New Roman"/>
                                    <w:i/>
                                    <w:color w:val="auto"/>
                                    <w:sz w:val="24"/>
                                    <w:szCs w:val="24"/>
                                    <w:lang w:val="en-US" w:eastAsia="zh-CN"/>
                                  </w:rPr>
                                </m:ctrlPr>
                              </m:sSubPr>
                              <m:e>
                                <m:r>
                                  <m:rPr/>
                                  <w:rPr>
                                    <w:rFonts w:hint="default" w:ascii="Cambria Math" w:hAnsi="Cambria Math" w:eastAsia="宋体" w:cs="Times New Roman"/>
                                    <w:color w:val="auto"/>
                                    <w:sz w:val="24"/>
                                    <w:szCs w:val="24"/>
                                    <w:lang w:val="en-US" w:eastAsia="zh-CN"/>
                                  </w:rPr>
                                  <m:t>t</m:t>
                                </m:r>
                                <m:ctrlPr>
                                  <w:rPr>
                                    <w:rFonts w:hint="default" w:ascii="Cambria Math" w:hAnsi="Cambria Math" w:eastAsia="宋体" w:cs="Times New Roman"/>
                                    <w:i/>
                                    <w:color w:val="auto"/>
                                    <w:sz w:val="24"/>
                                    <w:szCs w:val="24"/>
                                    <w:lang w:val="en-US" w:eastAsia="zh-CN"/>
                                  </w:rPr>
                                </m:ctrlPr>
                              </m:e>
                              <m:sub>
                                <m:r>
                                  <m:rPr/>
                                  <w:rPr>
                                    <w:rFonts w:hint="default" w:ascii="Cambria Math" w:hAnsi="Cambria Math" w:eastAsia="宋体" w:cs="Times New Roman"/>
                                    <w:color w:val="auto"/>
                                    <w:sz w:val="24"/>
                                    <w:szCs w:val="24"/>
                                    <w:lang w:val="en-US" w:eastAsia="zh-CN"/>
                                  </w:rPr>
                                  <m:t>i</m:t>
                                </m:r>
                                <m:ctrlPr>
                                  <w:rPr>
                                    <w:rFonts w:hint="default" w:ascii="Cambria Math" w:hAnsi="Cambria Math" w:eastAsia="宋体" w:cs="Times New Roman"/>
                                    <w:i/>
                                    <w:color w:val="auto"/>
                                    <w:sz w:val="24"/>
                                    <w:szCs w:val="24"/>
                                    <w:lang w:val="en-US" w:eastAsia="zh-CN"/>
                                  </w:rPr>
                                </m:ctrlPr>
                              </m:sub>
                            </m:sSub>
                            <m:sSup>
                              <m:sSupPr>
                                <m:ctrlPr>
                                  <w:rPr>
                                    <w:rFonts w:hint="default" w:ascii="Cambria Math" w:hAnsi="Cambria Math" w:eastAsia="宋体" w:cs="Times New Roman"/>
                                    <w:i/>
                                    <w:color w:val="auto"/>
                                    <w:sz w:val="24"/>
                                    <w:szCs w:val="24"/>
                                    <w:lang w:val="en-US" w:eastAsia="zh-CN"/>
                                  </w:rPr>
                                </m:ctrlPr>
                              </m:sSupPr>
                              <m:e>
                                <m:r>
                                  <m:rPr/>
                                  <w:rPr>
                                    <w:rFonts w:hint="default" w:ascii="Cambria Math" w:hAnsi="Cambria Math" w:eastAsia="宋体" w:cs="Times New Roman"/>
                                    <w:color w:val="auto"/>
                                    <w:sz w:val="24"/>
                                    <w:szCs w:val="24"/>
                                    <w:lang w:val="en-US" w:eastAsia="zh-CN"/>
                                  </w:rPr>
                                  <m:t>10</m:t>
                                </m:r>
                                <m:ctrlPr>
                                  <w:rPr>
                                    <w:rFonts w:hint="default" w:ascii="Cambria Math" w:hAnsi="Cambria Math" w:eastAsia="宋体" w:cs="Times New Roman"/>
                                    <w:i/>
                                    <w:color w:val="auto"/>
                                    <w:sz w:val="24"/>
                                    <w:szCs w:val="24"/>
                                    <w:lang w:val="en-US" w:eastAsia="zh-CN"/>
                                  </w:rPr>
                                </m:ctrlPr>
                              </m:e>
                              <m:sup>
                                <m:r>
                                  <m:rPr/>
                                  <w:rPr>
                                    <w:rFonts w:hint="default" w:ascii="Cambria Math" w:hAnsi="Cambria Math" w:eastAsia="宋体" w:cs="Times New Roman"/>
                                    <w:color w:val="auto"/>
                                    <w:sz w:val="24"/>
                                    <w:szCs w:val="24"/>
                                    <w:lang w:val="en-US" w:eastAsia="zh-CN"/>
                                  </w:rPr>
                                  <m:t>0.1</m:t>
                                </m:r>
                                <m:sSub>
                                  <m:sSubPr>
                                    <m:ctrlPr>
                                      <w:rPr>
                                        <w:rFonts w:hint="default" w:ascii="Cambria Math" w:hAnsi="Cambria Math" w:eastAsia="宋体" w:cs="Times New Roman"/>
                                        <w:i/>
                                        <w:color w:val="auto"/>
                                        <w:sz w:val="24"/>
                                        <w:szCs w:val="24"/>
                                        <w:lang w:val="en-US" w:eastAsia="zh-CN"/>
                                      </w:rPr>
                                    </m:ctrlPr>
                                  </m:sSubPr>
                                  <m:e>
                                    <m:r>
                                      <m:rPr/>
                                      <w:rPr>
                                        <w:rFonts w:hint="default" w:ascii="Cambria Math" w:hAnsi="Cambria Math" w:eastAsia="宋体" w:cs="Times New Roman"/>
                                        <w:color w:val="auto"/>
                                        <w:sz w:val="24"/>
                                        <w:szCs w:val="24"/>
                                        <w:lang w:val="en-US" w:eastAsia="zh-CN"/>
                                      </w:rPr>
                                      <m:t>L</m:t>
                                    </m:r>
                                    <m:ctrlPr>
                                      <w:rPr>
                                        <w:rFonts w:hint="default" w:ascii="Cambria Math" w:hAnsi="Cambria Math" w:eastAsia="宋体" w:cs="Times New Roman"/>
                                        <w:i/>
                                        <w:color w:val="auto"/>
                                        <w:sz w:val="24"/>
                                        <w:szCs w:val="24"/>
                                        <w:lang w:val="en-US" w:eastAsia="zh-CN"/>
                                      </w:rPr>
                                    </m:ctrlPr>
                                  </m:e>
                                  <m:sub>
                                    <m:r>
                                      <m:rPr/>
                                      <w:rPr>
                                        <w:rFonts w:hint="default" w:ascii="Cambria Math" w:hAnsi="Cambria Math" w:eastAsia="宋体" w:cs="Times New Roman"/>
                                        <w:color w:val="auto"/>
                                        <w:sz w:val="24"/>
                                        <w:szCs w:val="24"/>
                                        <w:lang w:val="en-US" w:eastAsia="zh-CN"/>
                                      </w:rPr>
                                      <m:t>Ai</m:t>
                                    </m:r>
                                    <m:ctrlPr>
                                      <w:rPr>
                                        <w:rFonts w:hint="default" w:ascii="Cambria Math" w:hAnsi="Cambria Math" w:eastAsia="宋体" w:cs="Times New Roman"/>
                                        <w:i/>
                                        <w:color w:val="auto"/>
                                        <w:sz w:val="24"/>
                                        <w:szCs w:val="24"/>
                                        <w:lang w:val="en-US" w:eastAsia="zh-CN"/>
                                      </w:rPr>
                                    </m:ctrlPr>
                                  </m:sub>
                                </m:sSub>
                                <m:ctrlPr>
                                  <w:rPr>
                                    <w:rFonts w:hint="default" w:ascii="Cambria Math" w:hAnsi="Cambria Math" w:eastAsia="宋体" w:cs="Times New Roman"/>
                                    <w:i/>
                                    <w:color w:val="auto"/>
                                    <w:sz w:val="24"/>
                                    <w:szCs w:val="24"/>
                                    <w:lang w:val="en-US" w:eastAsia="zh-CN"/>
                                  </w:rPr>
                                </m:ctrlPr>
                              </m:sup>
                            </m:sSup>
                            <m:ctrlPr>
                              <w:rPr>
                                <w:rFonts w:hint="default" w:ascii="Cambria Math" w:hAnsi="Cambria Math" w:eastAsia="宋体" w:cs="Times New Roman"/>
                                <w:i/>
                                <w:color w:val="auto"/>
                                <w:sz w:val="24"/>
                                <w:szCs w:val="24"/>
                                <w:lang w:val="en-US" w:eastAsia="zh-CN"/>
                              </w:rPr>
                            </m:ctrlPr>
                          </m:e>
                        </m:nary>
                        <m:r>
                          <m:rPr/>
                          <w:rPr>
                            <w:rFonts w:hint="default" w:ascii="Cambria Math" w:hAnsi="Cambria Math" w:eastAsia="宋体" w:cs="Times New Roman"/>
                            <w:color w:val="auto"/>
                            <w:sz w:val="24"/>
                            <w:szCs w:val="24"/>
                            <w:lang w:val="en-US" w:eastAsia="zh-CN"/>
                          </w:rPr>
                          <m:t>+</m:t>
                        </m:r>
                        <m:nary>
                          <m:naryPr>
                            <m:chr m:val="∑"/>
                            <m:limLoc m:val="undOvr"/>
                            <m:ctrlPr>
                              <w:rPr>
                                <w:rFonts w:hint="default" w:ascii="Cambria Math" w:hAnsi="Cambria Math" w:eastAsia="宋体" w:cs="Times New Roman"/>
                                <w:i/>
                                <w:color w:val="auto"/>
                                <w:sz w:val="24"/>
                                <w:szCs w:val="24"/>
                                <w:lang w:val="en-US" w:eastAsia="zh-CN"/>
                              </w:rPr>
                            </m:ctrlPr>
                          </m:naryPr>
                          <m:sub>
                            <m:r>
                              <m:rPr/>
                              <w:rPr>
                                <w:rFonts w:hint="default" w:ascii="Cambria Math" w:hAnsi="Cambria Math" w:eastAsia="宋体" w:cs="Times New Roman"/>
                                <w:color w:val="auto"/>
                                <w:sz w:val="24"/>
                                <w:szCs w:val="24"/>
                                <w:lang w:val="en-US" w:eastAsia="zh-CN"/>
                              </w:rPr>
                              <m:t>j</m:t>
                            </m:r>
                            <m:r>
                              <m:rPr/>
                              <w:rPr>
                                <w:rFonts w:hint="eastAsia" w:ascii="Cambria Math" w:hAnsi="Cambria Math" w:eastAsia="宋体" w:cs="Times New Roman"/>
                                <w:color w:val="auto"/>
                                <w:sz w:val="24"/>
                                <w:szCs w:val="24"/>
                                <w:lang w:val="en-US" w:eastAsia="zh-CN"/>
                              </w:rPr>
                              <m:t>=</m:t>
                            </m:r>
                            <m:r>
                              <m:rPr/>
                              <w:rPr>
                                <w:rFonts w:hint="default" w:ascii="Cambria Math" w:hAnsi="Cambria Math" w:eastAsia="宋体" w:cs="Times New Roman"/>
                                <w:color w:val="auto"/>
                                <w:sz w:val="24"/>
                                <w:szCs w:val="24"/>
                                <w:lang w:val="en-US" w:eastAsia="zh-CN"/>
                              </w:rPr>
                              <m:t>1</m:t>
                            </m:r>
                            <m:ctrlPr>
                              <w:rPr>
                                <w:rFonts w:hint="default" w:ascii="Cambria Math" w:hAnsi="Cambria Math" w:eastAsia="宋体" w:cs="Times New Roman"/>
                                <w:i/>
                                <w:color w:val="auto"/>
                                <w:sz w:val="24"/>
                                <w:szCs w:val="24"/>
                                <w:lang w:val="en-US" w:eastAsia="zh-CN"/>
                              </w:rPr>
                            </m:ctrlPr>
                          </m:sub>
                          <m:sup>
                            <m:r>
                              <m:rPr/>
                              <w:rPr>
                                <w:rFonts w:hint="default" w:ascii="Cambria Math" w:hAnsi="Cambria Math" w:eastAsia="宋体" w:cs="Times New Roman"/>
                                <w:color w:val="auto"/>
                                <w:sz w:val="24"/>
                                <w:szCs w:val="24"/>
                                <w:lang w:val="en-US" w:eastAsia="zh-CN"/>
                              </w:rPr>
                              <m:t>N</m:t>
                            </m:r>
                            <m:ctrlPr>
                              <w:rPr>
                                <w:rFonts w:hint="default" w:ascii="Cambria Math" w:hAnsi="Cambria Math" w:eastAsia="宋体" w:cs="Times New Roman"/>
                                <w:i/>
                                <w:color w:val="auto"/>
                                <w:sz w:val="24"/>
                                <w:szCs w:val="24"/>
                                <w:lang w:val="en-US" w:eastAsia="zh-CN"/>
                              </w:rPr>
                            </m:ctrlPr>
                          </m:sup>
                          <m:e>
                            <m:sSub>
                              <m:sSubPr>
                                <m:ctrlPr>
                                  <w:rPr>
                                    <w:rFonts w:hint="default" w:ascii="Cambria Math" w:hAnsi="Cambria Math" w:eastAsia="宋体" w:cs="Times New Roman"/>
                                    <w:i/>
                                    <w:color w:val="auto"/>
                                    <w:sz w:val="24"/>
                                    <w:szCs w:val="24"/>
                                    <w:lang w:val="en-US" w:eastAsia="zh-CN"/>
                                  </w:rPr>
                                </m:ctrlPr>
                              </m:sSubPr>
                              <m:e>
                                <m:r>
                                  <m:rPr/>
                                  <w:rPr>
                                    <w:rFonts w:hint="default" w:ascii="Cambria Math" w:hAnsi="Cambria Math" w:eastAsia="宋体" w:cs="Times New Roman"/>
                                    <w:color w:val="auto"/>
                                    <w:sz w:val="24"/>
                                    <w:szCs w:val="24"/>
                                    <w:lang w:val="en-US" w:eastAsia="zh-CN"/>
                                  </w:rPr>
                                  <m:t>t</m:t>
                                </m:r>
                                <m:ctrlPr>
                                  <w:rPr>
                                    <w:rFonts w:hint="default" w:ascii="Cambria Math" w:hAnsi="Cambria Math" w:eastAsia="宋体" w:cs="Times New Roman"/>
                                    <w:i/>
                                    <w:color w:val="auto"/>
                                    <w:sz w:val="24"/>
                                    <w:szCs w:val="24"/>
                                    <w:lang w:val="en-US" w:eastAsia="zh-CN"/>
                                  </w:rPr>
                                </m:ctrlPr>
                              </m:e>
                              <m:sub>
                                <m:r>
                                  <m:rPr/>
                                  <w:rPr>
                                    <w:rFonts w:hint="default" w:ascii="Cambria Math" w:hAnsi="Cambria Math" w:eastAsia="宋体" w:cs="Times New Roman"/>
                                    <w:color w:val="auto"/>
                                    <w:sz w:val="24"/>
                                    <w:szCs w:val="24"/>
                                    <w:lang w:val="en-US" w:eastAsia="zh-CN"/>
                                  </w:rPr>
                                  <m:t>j</m:t>
                                </m:r>
                                <m:ctrlPr>
                                  <w:rPr>
                                    <w:rFonts w:hint="default" w:ascii="Cambria Math" w:hAnsi="Cambria Math" w:eastAsia="宋体" w:cs="Times New Roman"/>
                                    <w:i/>
                                    <w:color w:val="auto"/>
                                    <w:sz w:val="24"/>
                                    <w:szCs w:val="24"/>
                                    <w:lang w:val="en-US" w:eastAsia="zh-CN"/>
                                  </w:rPr>
                                </m:ctrlPr>
                              </m:sub>
                            </m:sSub>
                            <m:sSup>
                              <m:sSupPr>
                                <m:ctrlPr>
                                  <w:rPr>
                                    <w:rFonts w:hint="default" w:ascii="Cambria Math" w:hAnsi="Cambria Math" w:eastAsia="宋体" w:cs="Times New Roman"/>
                                    <w:i/>
                                    <w:color w:val="auto"/>
                                    <w:sz w:val="24"/>
                                    <w:szCs w:val="24"/>
                                    <w:lang w:val="en-US" w:eastAsia="zh-CN"/>
                                  </w:rPr>
                                </m:ctrlPr>
                              </m:sSupPr>
                              <m:e>
                                <m:r>
                                  <m:rPr/>
                                  <w:rPr>
                                    <w:rFonts w:hint="default" w:ascii="Cambria Math" w:hAnsi="Cambria Math" w:eastAsia="宋体" w:cs="Times New Roman"/>
                                    <w:color w:val="auto"/>
                                    <w:sz w:val="24"/>
                                    <w:szCs w:val="24"/>
                                    <w:lang w:val="en-US" w:eastAsia="zh-CN"/>
                                  </w:rPr>
                                  <m:t>10</m:t>
                                </m:r>
                                <m:ctrlPr>
                                  <w:rPr>
                                    <w:rFonts w:hint="default" w:ascii="Cambria Math" w:hAnsi="Cambria Math" w:eastAsia="宋体" w:cs="Times New Roman"/>
                                    <w:i/>
                                    <w:color w:val="auto"/>
                                    <w:sz w:val="24"/>
                                    <w:szCs w:val="24"/>
                                    <w:lang w:val="en-US" w:eastAsia="zh-CN"/>
                                  </w:rPr>
                                </m:ctrlPr>
                              </m:e>
                              <m:sup>
                                <m:r>
                                  <m:rPr/>
                                  <w:rPr>
                                    <w:rFonts w:hint="default" w:ascii="Cambria Math" w:hAnsi="Cambria Math" w:eastAsia="宋体" w:cs="Times New Roman"/>
                                    <w:color w:val="auto"/>
                                    <w:sz w:val="24"/>
                                    <w:szCs w:val="24"/>
                                    <w:lang w:val="en-US" w:eastAsia="zh-CN"/>
                                  </w:rPr>
                                  <m:t>0.1</m:t>
                                </m:r>
                                <m:sSub>
                                  <m:sSubPr>
                                    <m:ctrlPr>
                                      <w:rPr>
                                        <w:rFonts w:hint="default" w:ascii="Cambria Math" w:hAnsi="Cambria Math" w:eastAsia="宋体" w:cs="Times New Roman"/>
                                        <w:i/>
                                        <w:color w:val="auto"/>
                                        <w:sz w:val="24"/>
                                        <w:szCs w:val="24"/>
                                        <w:lang w:val="en-US" w:eastAsia="zh-CN"/>
                                      </w:rPr>
                                    </m:ctrlPr>
                                  </m:sSubPr>
                                  <m:e>
                                    <m:r>
                                      <m:rPr/>
                                      <w:rPr>
                                        <w:rFonts w:hint="default" w:ascii="Cambria Math" w:hAnsi="Cambria Math" w:eastAsia="宋体" w:cs="Times New Roman"/>
                                        <w:color w:val="auto"/>
                                        <w:sz w:val="24"/>
                                        <w:szCs w:val="24"/>
                                        <w:lang w:val="en-US" w:eastAsia="zh-CN"/>
                                      </w:rPr>
                                      <m:t>L</m:t>
                                    </m:r>
                                    <m:ctrlPr>
                                      <w:rPr>
                                        <w:rFonts w:hint="default" w:ascii="Cambria Math" w:hAnsi="Cambria Math" w:eastAsia="宋体" w:cs="Times New Roman"/>
                                        <w:i/>
                                        <w:color w:val="auto"/>
                                        <w:sz w:val="24"/>
                                        <w:szCs w:val="24"/>
                                        <w:lang w:val="en-US" w:eastAsia="zh-CN"/>
                                      </w:rPr>
                                    </m:ctrlPr>
                                  </m:e>
                                  <m:sub>
                                    <m:r>
                                      <m:rPr/>
                                      <w:rPr>
                                        <w:rFonts w:hint="default" w:ascii="Cambria Math" w:hAnsi="Cambria Math" w:eastAsia="宋体" w:cs="Times New Roman"/>
                                        <w:color w:val="auto"/>
                                        <w:sz w:val="24"/>
                                        <w:szCs w:val="24"/>
                                        <w:lang w:val="en-US" w:eastAsia="zh-CN"/>
                                      </w:rPr>
                                      <m:t>Aj</m:t>
                                    </m:r>
                                    <m:ctrlPr>
                                      <w:rPr>
                                        <w:rFonts w:hint="default" w:ascii="Cambria Math" w:hAnsi="Cambria Math" w:eastAsia="宋体" w:cs="Times New Roman"/>
                                        <w:i/>
                                        <w:color w:val="auto"/>
                                        <w:sz w:val="24"/>
                                        <w:szCs w:val="24"/>
                                        <w:lang w:val="en-US" w:eastAsia="zh-CN"/>
                                      </w:rPr>
                                    </m:ctrlPr>
                                  </m:sub>
                                </m:sSub>
                                <m:ctrlPr>
                                  <w:rPr>
                                    <w:rFonts w:hint="default" w:ascii="Cambria Math" w:hAnsi="Cambria Math" w:eastAsia="宋体" w:cs="Times New Roman"/>
                                    <w:i/>
                                    <w:color w:val="auto"/>
                                    <w:sz w:val="24"/>
                                    <w:szCs w:val="24"/>
                                    <w:lang w:val="en-US" w:eastAsia="zh-CN"/>
                                  </w:rPr>
                                </m:ctrlPr>
                              </m:sup>
                            </m:sSup>
                            <m:ctrlPr>
                              <w:rPr>
                                <w:rFonts w:hint="default" w:ascii="Cambria Math" w:hAnsi="Cambria Math" w:eastAsia="宋体" w:cs="Times New Roman"/>
                                <w:i/>
                                <w:color w:val="auto"/>
                                <w:sz w:val="24"/>
                                <w:szCs w:val="24"/>
                                <w:lang w:val="en-US" w:eastAsia="zh-CN"/>
                              </w:rPr>
                            </m:ctrlPr>
                          </m:e>
                        </m:nary>
                        <m:ctrlPr>
                          <w:rPr>
                            <w:rFonts w:hint="default" w:ascii="Cambria Math" w:hAnsi="Cambria Math" w:eastAsia="宋体" w:cs="Times New Roman"/>
                            <w:i/>
                            <w:color w:val="auto"/>
                            <w:sz w:val="24"/>
                            <w:szCs w:val="24"/>
                            <w:lang w:val="en-US" w:eastAsia="zh-CN"/>
                          </w:rPr>
                        </m:ctrlPr>
                      </m:e>
                    </m:d>
                    <m:ctrlPr>
                      <w:rPr>
                        <w:rFonts w:hint="default" w:ascii="Cambria Math" w:hAnsi="Cambria Math" w:eastAsia="宋体" w:cs="Times New Roman"/>
                        <w:i/>
                        <w:color w:val="auto"/>
                        <w:sz w:val="24"/>
                        <w:szCs w:val="24"/>
                        <w:lang w:val="en-US" w:eastAsia="zh-CN"/>
                      </w:rPr>
                    </m:ctrlPr>
                  </m:e>
                </m:d>
              </m:oMath>
            </m:oMathPara>
          </w:p>
          <w:p>
            <w:pPr>
              <w:spacing w:line="360" w:lineRule="auto"/>
              <w:ind w:firstLine="480" w:firstLineChars="200"/>
              <w:jc w:val="left"/>
              <w:rPr>
                <w:rFonts w:hint="default" w:ascii="Times New Roman" w:hAnsi="Times New Roman" w:eastAsia="宋体"/>
                <w:color w:val="auto"/>
                <w:sz w:val="24"/>
                <w:szCs w:val="24"/>
                <w:highlight w:val="none"/>
                <w:u w:val="none"/>
                <w:lang w:val="en-US" w:eastAsia="zh-CN"/>
              </w:rPr>
            </w:pPr>
            <w:r>
              <w:rPr>
                <w:rFonts w:hint="eastAsia" w:ascii="Times New Roman" w:hAnsi="Times New Roman" w:eastAsia="宋体"/>
                <w:color w:val="auto"/>
                <w:sz w:val="24"/>
                <w:szCs w:val="24"/>
                <w:highlight w:val="none"/>
                <w:u w:val="none"/>
                <w:lang w:val="en-US" w:eastAsia="zh-CN"/>
              </w:rPr>
              <w:t>拟建工程声源对预测点产生的预测值计算：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olor w:val="auto"/>
                <w:sz w:val="24"/>
                <w:szCs w:val="24"/>
                <w:highlight w:val="none"/>
                <w:u w:val="none"/>
                <w:lang w:val="en-US" w:eastAsia="zh-CN"/>
              </w:rPr>
            </w:pPr>
            <m:oMathPara>
              <m:oMath>
                <m:sSub>
                  <m:sSubPr>
                    <m:ctrlPr>
                      <w:rPr>
                        <w:rFonts w:ascii="Cambria Math" w:hAnsi="Cambria Math" w:eastAsia="宋体"/>
                        <w:i/>
                        <w:color w:val="auto"/>
                        <w:sz w:val="24"/>
                        <w:szCs w:val="24"/>
                        <w:highlight w:val="none"/>
                        <w:u w:val="none"/>
                      </w:rPr>
                    </m:ctrlPr>
                  </m:sSubPr>
                  <m:e>
                    <m:r>
                      <m:rPr/>
                      <w:rPr>
                        <w:rFonts w:hint="default" w:ascii="Cambria Math" w:hAnsi="Cambria Math" w:eastAsia="宋体"/>
                        <w:color w:val="auto"/>
                        <w:sz w:val="24"/>
                        <w:szCs w:val="24"/>
                        <w:highlight w:val="none"/>
                        <w:u w:val="none"/>
                        <w:lang w:val="en-US" w:eastAsia="zh-CN"/>
                      </w:rPr>
                      <m:t>L</m:t>
                    </m:r>
                    <m:ctrlPr>
                      <w:rPr>
                        <w:rFonts w:ascii="Cambria Math" w:hAnsi="Cambria Math" w:eastAsia="宋体"/>
                        <w:i/>
                        <w:color w:val="auto"/>
                        <w:sz w:val="24"/>
                        <w:szCs w:val="24"/>
                        <w:highlight w:val="none"/>
                        <w:u w:val="none"/>
                      </w:rPr>
                    </m:ctrlPr>
                  </m:e>
                  <m:sub>
                    <m:r>
                      <m:rPr/>
                      <w:rPr>
                        <w:rFonts w:hint="default" w:ascii="Cambria Math" w:hAnsi="Cambria Math" w:eastAsia="宋体"/>
                        <w:color w:val="auto"/>
                        <w:sz w:val="24"/>
                        <w:szCs w:val="24"/>
                        <w:highlight w:val="none"/>
                        <w:u w:val="none"/>
                        <w:lang w:val="en-US" w:eastAsia="zh-CN"/>
                      </w:rPr>
                      <m:t>eq</m:t>
                    </m:r>
                    <m:ctrlPr>
                      <w:rPr>
                        <w:rFonts w:ascii="Cambria Math" w:hAnsi="Cambria Math" w:eastAsia="宋体"/>
                        <w:i/>
                        <w:color w:val="auto"/>
                        <w:sz w:val="24"/>
                        <w:szCs w:val="24"/>
                        <w:highlight w:val="none"/>
                        <w:u w:val="none"/>
                      </w:rPr>
                    </m:ctrlPr>
                  </m:sub>
                </m:sSub>
                <m:r>
                  <m:rPr/>
                  <w:rPr>
                    <w:rFonts w:hint="eastAsia" w:ascii="Cambria Math" w:hAnsi="Cambria Math" w:eastAsia="宋体"/>
                    <w:color w:val="auto"/>
                    <w:sz w:val="24"/>
                    <w:szCs w:val="24"/>
                    <w:highlight w:val="none"/>
                    <w:u w:val="none"/>
                    <w:lang w:val="en-US" w:eastAsia="zh-CN"/>
                  </w:rPr>
                  <m:t>=</m:t>
                </m:r>
                <m:r>
                  <m:rPr/>
                  <w:rPr>
                    <w:rFonts w:hint="default" w:ascii="Cambria Math" w:hAnsi="Cambria Math" w:eastAsia="宋体"/>
                    <w:color w:val="auto"/>
                    <w:sz w:val="24"/>
                    <w:szCs w:val="24"/>
                    <w:highlight w:val="none"/>
                    <w:u w:val="none"/>
                    <w:lang w:val="en-US" w:eastAsia="zh-CN"/>
                  </w:rPr>
                  <m:t>10lg</m:t>
                </m:r>
                <m:d>
                  <m:dPr>
                    <m:ctrlPr>
                      <w:rPr>
                        <w:rFonts w:hint="default" w:ascii="Cambria Math" w:hAnsi="Cambria Math" w:eastAsia="宋体"/>
                        <w:i/>
                        <w:color w:val="auto"/>
                        <w:sz w:val="24"/>
                        <w:szCs w:val="24"/>
                        <w:highlight w:val="none"/>
                        <w:u w:val="none"/>
                        <w:lang w:val="en-US" w:eastAsia="zh-CN"/>
                      </w:rPr>
                    </m:ctrlPr>
                  </m:dPr>
                  <m:e>
                    <m:sSup>
                      <m:sSupPr>
                        <m:ctrlPr>
                          <w:rPr>
                            <w:rFonts w:hint="default" w:ascii="Cambria Math" w:hAnsi="Cambria Math" w:eastAsia="宋体"/>
                            <w:i/>
                            <w:color w:val="auto"/>
                            <w:sz w:val="24"/>
                            <w:szCs w:val="24"/>
                            <w:highlight w:val="none"/>
                            <w:u w:val="none"/>
                            <w:lang w:val="en-US" w:eastAsia="zh-CN"/>
                          </w:rPr>
                        </m:ctrlPr>
                      </m:sSupPr>
                      <m:e>
                        <m:r>
                          <m:rPr/>
                          <w:rPr>
                            <w:rFonts w:hint="default" w:ascii="Cambria Math" w:hAnsi="Cambria Math" w:eastAsia="宋体"/>
                            <w:color w:val="auto"/>
                            <w:sz w:val="24"/>
                            <w:szCs w:val="24"/>
                            <w:highlight w:val="none"/>
                            <w:u w:val="none"/>
                            <w:lang w:val="en-US" w:eastAsia="zh-CN"/>
                          </w:rPr>
                          <m:t>10</m:t>
                        </m:r>
                        <m:ctrlPr>
                          <w:rPr>
                            <w:rFonts w:hint="default" w:ascii="Cambria Math" w:hAnsi="Cambria Math" w:eastAsia="宋体"/>
                            <w:i/>
                            <w:color w:val="auto"/>
                            <w:sz w:val="24"/>
                            <w:szCs w:val="24"/>
                            <w:highlight w:val="none"/>
                            <w:u w:val="none"/>
                            <w:lang w:val="en-US" w:eastAsia="zh-CN"/>
                          </w:rPr>
                        </m:ctrlPr>
                      </m:e>
                      <m:sup>
                        <m:r>
                          <m:rPr/>
                          <w:rPr>
                            <w:rFonts w:hint="default" w:ascii="Cambria Math" w:hAnsi="Cambria Math" w:eastAsia="宋体"/>
                            <w:color w:val="auto"/>
                            <w:sz w:val="24"/>
                            <w:szCs w:val="24"/>
                            <w:highlight w:val="none"/>
                            <w:u w:val="none"/>
                            <w:lang w:val="en-US" w:eastAsia="zh-CN"/>
                          </w:rPr>
                          <m:t>0.1</m:t>
                        </m:r>
                        <m:sSub>
                          <m:sSubPr>
                            <m:ctrlPr>
                              <w:rPr>
                                <w:rFonts w:hint="default" w:ascii="Cambria Math" w:hAnsi="Cambria Math" w:eastAsia="宋体"/>
                                <w:i/>
                                <w:color w:val="auto"/>
                                <w:sz w:val="24"/>
                                <w:szCs w:val="24"/>
                                <w:highlight w:val="none"/>
                                <w:u w:val="none"/>
                                <w:lang w:val="en-US" w:eastAsia="zh-CN"/>
                              </w:rPr>
                            </m:ctrlPr>
                          </m:sSubPr>
                          <m:e>
                            <m:r>
                              <m:rPr/>
                              <w:rPr>
                                <w:rFonts w:hint="default" w:ascii="Cambria Math" w:hAnsi="Cambria Math" w:eastAsia="宋体"/>
                                <w:color w:val="auto"/>
                                <w:sz w:val="24"/>
                                <w:szCs w:val="24"/>
                                <w:highlight w:val="none"/>
                                <w:u w:val="none"/>
                                <w:lang w:val="en-US" w:eastAsia="zh-CN"/>
                              </w:rPr>
                              <m:t>L</m:t>
                            </m:r>
                            <m:ctrlPr>
                              <w:rPr>
                                <w:rFonts w:hint="default" w:ascii="Cambria Math" w:hAnsi="Cambria Math" w:eastAsia="宋体"/>
                                <w:i/>
                                <w:color w:val="auto"/>
                                <w:sz w:val="24"/>
                                <w:szCs w:val="24"/>
                                <w:highlight w:val="none"/>
                                <w:u w:val="none"/>
                                <w:lang w:val="en-US" w:eastAsia="zh-CN"/>
                              </w:rPr>
                            </m:ctrlPr>
                          </m:e>
                          <m:sub>
                            <m:r>
                              <m:rPr/>
                              <w:rPr>
                                <w:rFonts w:hint="default" w:ascii="Cambria Math" w:hAnsi="Cambria Math" w:eastAsia="宋体"/>
                                <w:color w:val="auto"/>
                                <w:sz w:val="24"/>
                                <w:szCs w:val="24"/>
                                <w:highlight w:val="none"/>
                                <w:u w:val="none"/>
                                <w:lang w:val="en-US" w:eastAsia="zh-CN"/>
                              </w:rPr>
                              <m:t>eqg</m:t>
                            </m:r>
                            <m:ctrlPr>
                              <w:rPr>
                                <w:rFonts w:hint="default" w:ascii="Cambria Math" w:hAnsi="Cambria Math" w:eastAsia="宋体"/>
                                <w:i/>
                                <w:color w:val="auto"/>
                                <w:sz w:val="24"/>
                                <w:szCs w:val="24"/>
                                <w:highlight w:val="none"/>
                                <w:u w:val="none"/>
                                <w:lang w:val="en-US" w:eastAsia="zh-CN"/>
                              </w:rPr>
                            </m:ctrlPr>
                          </m:sub>
                        </m:sSub>
                        <m:ctrlPr>
                          <w:rPr>
                            <w:rFonts w:hint="default" w:ascii="Cambria Math" w:hAnsi="Cambria Math" w:eastAsia="宋体"/>
                            <w:i/>
                            <w:color w:val="auto"/>
                            <w:sz w:val="24"/>
                            <w:szCs w:val="24"/>
                            <w:highlight w:val="none"/>
                            <w:u w:val="none"/>
                            <w:lang w:val="en-US" w:eastAsia="zh-CN"/>
                          </w:rPr>
                        </m:ctrlPr>
                      </m:sup>
                    </m:sSup>
                    <m:r>
                      <m:rPr/>
                      <w:rPr>
                        <w:rFonts w:hint="default" w:ascii="Cambria Math" w:hAnsi="Cambria Math" w:eastAsia="宋体"/>
                        <w:color w:val="auto"/>
                        <w:sz w:val="24"/>
                        <w:szCs w:val="24"/>
                        <w:highlight w:val="none"/>
                        <w:u w:val="none"/>
                        <w:lang w:val="en-US" w:eastAsia="zh-CN"/>
                      </w:rPr>
                      <m:t>+</m:t>
                    </m:r>
                    <m:sSup>
                      <m:sSupPr>
                        <m:ctrlPr>
                          <w:rPr>
                            <w:rFonts w:hint="default" w:ascii="Cambria Math" w:hAnsi="Cambria Math" w:eastAsia="宋体"/>
                            <w:i/>
                            <w:color w:val="auto"/>
                            <w:sz w:val="24"/>
                            <w:szCs w:val="24"/>
                            <w:highlight w:val="none"/>
                            <w:u w:val="none"/>
                            <w:lang w:val="en-US" w:eastAsia="zh-CN"/>
                          </w:rPr>
                        </m:ctrlPr>
                      </m:sSupPr>
                      <m:e>
                        <m:r>
                          <m:rPr/>
                          <w:rPr>
                            <w:rFonts w:hint="default" w:ascii="Cambria Math" w:hAnsi="Cambria Math" w:eastAsia="宋体"/>
                            <w:color w:val="auto"/>
                            <w:sz w:val="24"/>
                            <w:szCs w:val="24"/>
                            <w:highlight w:val="none"/>
                            <w:u w:val="none"/>
                            <w:lang w:val="en-US" w:eastAsia="zh-CN"/>
                          </w:rPr>
                          <m:t>10</m:t>
                        </m:r>
                        <m:ctrlPr>
                          <w:rPr>
                            <w:rFonts w:hint="default" w:ascii="Cambria Math" w:hAnsi="Cambria Math" w:eastAsia="宋体"/>
                            <w:i/>
                            <w:color w:val="auto"/>
                            <w:sz w:val="24"/>
                            <w:szCs w:val="24"/>
                            <w:highlight w:val="none"/>
                            <w:u w:val="none"/>
                            <w:lang w:val="en-US" w:eastAsia="zh-CN"/>
                          </w:rPr>
                        </m:ctrlPr>
                      </m:e>
                      <m:sup>
                        <m:r>
                          <m:rPr/>
                          <w:rPr>
                            <w:rFonts w:hint="default" w:ascii="Cambria Math" w:hAnsi="Cambria Math" w:eastAsia="宋体"/>
                            <w:color w:val="auto"/>
                            <w:sz w:val="24"/>
                            <w:szCs w:val="24"/>
                            <w:highlight w:val="none"/>
                            <w:u w:val="none"/>
                            <w:lang w:val="en-US" w:eastAsia="zh-CN"/>
                          </w:rPr>
                          <m:t>0.1</m:t>
                        </m:r>
                        <m:sSub>
                          <m:sSubPr>
                            <m:ctrlPr>
                              <w:rPr>
                                <w:rFonts w:hint="default" w:ascii="Cambria Math" w:hAnsi="Cambria Math" w:eastAsia="宋体"/>
                                <w:i/>
                                <w:color w:val="auto"/>
                                <w:sz w:val="24"/>
                                <w:szCs w:val="24"/>
                                <w:highlight w:val="none"/>
                                <w:u w:val="none"/>
                                <w:lang w:val="en-US" w:eastAsia="zh-CN"/>
                              </w:rPr>
                            </m:ctrlPr>
                          </m:sSubPr>
                          <m:e>
                            <m:r>
                              <m:rPr/>
                              <w:rPr>
                                <w:rFonts w:hint="default" w:ascii="Cambria Math" w:hAnsi="Cambria Math" w:eastAsia="宋体"/>
                                <w:color w:val="auto"/>
                                <w:sz w:val="24"/>
                                <w:szCs w:val="24"/>
                                <w:highlight w:val="none"/>
                                <w:u w:val="none"/>
                                <w:lang w:val="en-US" w:eastAsia="zh-CN"/>
                              </w:rPr>
                              <m:t>L</m:t>
                            </m:r>
                            <m:ctrlPr>
                              <w:rPr>
                                <w:rFonts w:hint="default" w:ascii="Cambria Math" w:hAnsi="Cambria Math" w:eastAsia="宋体"/>
                                <w:i/>
                                <w:color w:val="auto"/>
                                <w:sz w:val="24"/>
                                <w:szCs w:val="24"/>
                                <w:highlight w:val="none"/>
                                <w:u w:val="none"/>
                                <w:lang w:val="en-US" w:eastAsia="zh-CN"/>
                              </w:rPr>
                            </m:ctrlPr>
                          </m:e>
                          <m:sub>
                            <m:r>
                              <m:rPr/>
                              <w:rPr>
                                <w:rFonts w:hint="default" w:ascii="Cambria Math" w:hAnsi="Cambria Math" w:eastAsia="宋体"/>
                                <w:color w:val="auto"/>
                                <w:sz w:val="24"/>
                                <w:szCs w:val="24"/>
                                <w:highlight w:val="none"/>
                                <w:u w:val="none"/>
                                <w:lang w:val="en-US" w:eastAsia="zh-CN"/>
                              </w:rPr>
                              <m:t>eqb</m:t>
                            </m:r>
                            <m:ctrlPr>
                              <w:rPr>
                                <w:rFonts w:hint="default" w:ascii="Cambria Math" w:hAnsi="Cambria Math" w:eastAsia="宋体"/>
                                <w:i/>
                                <w:color w:val="auto"/>
                                <w:sz w:val="24"/>
                                <w:szCs w:val="24"/>
                                <w:highlight w:val="none"/>
                                <w:u w:val="none"/>
                                <w:lang w:val="en-US" w:eastAsia="zh-CN"/>
                              </w:rPr>
                            </m:ctrlPr>
                          </m:sub>
                        </m:sSub>
                        <m:ctrlPr>
                          <w:rPr>
                            <w:rFonts w:hint="default" w:ascii="Cambria Math" w:hAnsi="Cambria Math" w:eastAsia="宋体"/>
                            <w:i/>
                            <w:color w:val="auto"/>
                            <w:sz w:val="24"/>
                            <w:szCs w:val="24"/>
                            <w:highlight w:val="none"/>
                            <w:u w:val="none"/>
                            <w:lang w:val="en-US" w:eastAsia="zh-CN"/>
                          </w:rPr>
                        </m:ctrlPr>
                      </m:sup>
                    </m:sSup>
                    <m:ctrlPr>
                      <w:rPr>
                        <w:rFonts w:hint="default" w:ascii="Cambria Math" w:hAnsi="Cambria Math" w:eastAsia="宋体"/>
                        <w:i/>
                        <w:color w:val="auto"/>
                        <w:sz w:val="24"/>
                        <w:szCs w:val="24"/>
                        <w:highlight w:val="none"/>
                        <w:u w:val="none"/>
                        <w:lang w:val="en-US" w:eastAsia="zh-CN"/>
                      </w:rPr>
                    </m:ctrlPr>
                  </m:e>
                </m:d>
              </m:oMath>
            </m:oMathPara>
          </w:p>
          <w:p>
            <w:pPr>
              <w:spacing w:line="360" w:lineRule="auto"/>
              <w:ind w:firstLine="480" w:firstLineChars="200"/>
              <w:jc w:val="left"/>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噪声预测结果详见下表。</w:t>
            </w:r>
          </w:p>
          <w:p>
            <w:pPr>
              <w:jc w:val="center"/>
              <w:rPr>
                <w:rFonts w:ascii="Times New Roman" w:hAnsi="Times New Roman" w:eastAsia="宋体"/>
                <w:b/>
                <w:color w:val="000000"/>
                <w:sz w:val="21"/>
                <w:szCs w:val="21"/>
                <w:u w:val="none"/>
              </w:rPr>
            </w:pPr>
            <w:r>
              <w:rPr>
                <w:rFonts w:ascii="Times New Roman" w:hAnsi="Times New Roman" w:eastAsia="宋体"/>
                <w:b/>
                <w:color w:val="000000"/>
                <w:sz w:val="21"/>
                <w:szCs w:val="21"/>
                <w:u w:val="none"/>
              </w:rPr>
              <w:t>表</w:t>
            </w:r>
            <w:r>
              <w:rPr>
                <w:rFonts w:hint="eastAsia"/>
                <w:b/>
                <w:color w:val="000000"/>
                <w:sz w:val="21"/>
                <w:szCs w:val="21"/>
                <w:u w:val="none"/>
                <w:lang w:val="en-US" w:eastAsia="zh-CN"/>
              </w:rPr>
              <w:t>4-9</w:t>
            </w:r>
            <w:r>
              <w:rPr>
                <w:rFonts w:ascii="Times New Roman" w:hAnsi="Times New Roman" w:eastAsia="宋体"/>
                <w:b/>
                <w:color w:val="000000"/>
                <w:sz w:val="21"/>
                <w:szCs w:val="21"/>
                <w:u w:val="none"/>
              </w:rPr>
              <w:t xml:space="preserve">  项目厂界噪声及环境敏感点影响预测结果    单位：dB（A）</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75"/>
              <w:gridCol w:w="704"/>
              <w:gridCol w:w="1327"/>
              <w:gridCol w:w="1324"/>
              <w:gridCol w:w="1321"/>
              <w:gridCol w:w="13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47" w:type="pct"/>
                  <w:vMerge w:val="restar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序号</w:t>
                  </w:r>
                </w:p>
              </w:tc>
              <w:tc>
                <w:tcPr>
                  <w:tcW w:w="676" w:type="pct"/>
                  <w:vMerge w:val="restar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预测位置</w:t>
                  </w:r>
                </w:p>
              </w:tc>
              <w:tc>
                <w:tcPr>
                  <w:tcW w:w="443" w:type="pct"/>
                  <w:vMerge w:val="restart"/>
                  <w:shd w:val="clear" w:color="auto" w:fill="auto"/>
                  <w:vAlign w:val="center"/>
                </w:tcPr>
                <w:p>
                  <w:pPr>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距离（m）</w:t>
                  </w:r>
                </w:p>
              </w:tc>
              <w:tc>
                <w:tcPr>
                  <w:tcW w:w="3333" w:type="pct"/>
                  <w:gridSpan w:val="4"/>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昼间噪声级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547" w:type="pct"/>
                  <w:vMerge w:val="continue"/>
                  <w:shd w:val="clear" w:color="auto" w:fill="auto"/>
                  <w:vAlign w:val="center"/>
                </w:tcPr>
                <w:p>
                  <w:pPr>
                    <w:jc w:val="center"/>
                    <w:rPr>
                      <w:rFonts w:ascii="Times New Roman" w:hAnsi="Times New Roman" w:eastAsia="宋体"/>
                      <w:color w:val="auto"/>
                      <w:sz w:val="21"/>
                      <w:szCs w:val="21"/>
                      <w:u w:val="none"/>
                    </w:rPr>
                  </w:pPr>
                </w:p>
              </w:tc>
              <w:tc>
                <w:tcPr>
                  <w:tcW w:w="676" w:type="pct"/>
                  <w:vMerge w:val="continue"/>
                  <w:shd w:val="clear" w:color="auto" w:fill="auto"/>
                  <w:vAlign w:val="center"/>
                </w:tcPr>
                <w:p>
                  <w:pPr>
                    <w:jc w:val="center"/>
                    <w:rPr>
                      <w:rFonts w:ascii="Times New Roman" w:hAnsi="Times New Roman" w:eastAsia="宋体"/>
                      <w:color w:val="auto"/>
                      <w:sz w:val="21"/>
                      <w:szCs w:val="21"/>
                      <w:u w:val="none"/>
                    </w:rPr>
                  </w:pPr>
                </w:p>
              </w:tc>
              <w:tc>
                <w:tcPr>
                  <w:tcW w:w="443" w:type="pct"/>
                  <w:vMerge w:val="continue"/>
                  <w:shd w:val="clear" w:color="auto" w:fill="auto"/>
                  <w:vAlign w:val="center"/>
                </w:tcPr>
                <w:p>
                  <w:pPr>
                    <w:jc w:val="center"/>
                    <w:rPr>
                      <w:rFonts w:ascii="Times New Roman" w:hAnsi="Times New Roman" w:eastAsia="宋体"/>
                      <w:color w:val="auto"/>
                      <w:sz w:val="21"/>
                      <w:szCs w:val="21"/>
                      <w:u w:val="none"/>
                    </w:rPr>
                  </w:pP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贡献值</w:t>
                  </w:r>
                </w:p>
              </w:tc>
              <w:tc>
                <w:tcPr>
                  <w:tcW w:w="833" w:type="pct"/>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背景值</w:t>
                  </w:r>
                </w:p>
              </w:tc>
              <w:tc>
                <w:tcPr>
                  <w:tcW w:w="831" w:type="pct"/>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叠加</w:t>
                  </w:r>
                  <w:r>
                    <w:rPr>
                      <w:rFonts w:ascii="Times New Roman" w:hAnsi="Times New Roman" w:eastAsia="宋体"/>
                      <w:color w:val="auto"/>
                      <w:sz w:val="21"/>
                      <w:szCs w:val="21"/>
                      <w:u w:val="none"/>
                    </w:rPr>
                    <w:t>值</w:t>
                  </w:r>
                </w:p>
              </w:tc>
              <w:tc>
                <w:tcPr>
                  <w:tcW w:w="832" w:type="pct"/>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1</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东厂界</w:t>
                  </w:r>
                </w:p>
              </w:tc>
              <w:tc>
                <w:tcPr>
                  <w:tcW w:w="443" w:type="pct"/>
                  <w:shd w:val="clear" w:color="auto" w:fill="auto"/>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50</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37.6</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44</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45.37</w:t>
                  </w:r>
                </w:p>
              </w:tc>
              <w:tc>
                <w:tcPr>
                  <w:tcW w:w="832" w:type="pct"/>
                  <w:vMerge w:val="restar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2</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南厂界</w:t>
                  </w:r>
                </w:p>
              </w:tc>
              <w:tc>
                <w:tcPr>
                  <w:tcW w:w="443" w:type="pct"/>
                  <w:shd w:val="clear" w:color="auto" w:fill="auto"/>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20</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26.3</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48</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49.65</w:t>
                  </w:r>
                </w:p>
              </w:tc>
              <w:tc>
                <w:tcPr>
                  <w:tcW w:w="832" w:type="pct"/>
                  <w:vMerge w:val="continue"/>
                  <w:vAlign w:val="center"/>
                </w:tcPr>
                <w:p>
                  <w:pPr>
                    <w:jc w:val="center"/>
                    <w:rPr>
                      <w:rFonts w:ascii="Times New Roman" w:hAnsi="Times New Roman" w:eastAsia="宋体"/>
                      <w:color w:val="auto"/>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3</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西厂界</w:t>
                  </w:r>
                </w:p>
              </w:tc>
              <w:tc>
                <w:tcPr>
                  <w:tcW w:w="443" w:type="pct"/>
                  <w:shd w:val="clear" w:color="auto" w:fill="auto"/>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3</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19.4</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50</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51.31</w:t>
                  </w:r>
                </w:p>
              </w:tc>
              <w:tc>
                <w:tcPr>
                  <w:tcW w:w="832" w:type="pct"/>
                  <w:vMerge w:val="continue"/>
                  <w:vAlign w:val="center"/>
                </w:tcPr>
                <w:p>
                  <w:pPr>
                    <w:jc w:val="center"/>
                    <w:rPr>
                      <w:rFonts w:ascii="Times New Roman" w:hAnsi="Times New Roman" w:eastAsia="宋体"/>
                      <w:color w:val="auto"/>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4</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北厂界</w:t>
                  </w:r>
                </w:p>
              </w:tc>
              <w:tc>
                <w:tcPr>
                  <w:tcW w:w="443" w:type="pct"/>
                  <w:shd w:val="clear" w:color="auto" w:fill="auto"/>
                  <w:vAlign w:val="center"/>
                </w:tcPr>
                <w:p>
                  <w:pPr>
                    <w:jc w:val="center"/>
                    <w:rPr>
                      <w:rFonts w:hint="eastAsia"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21.9</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49</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50.29</w:t>
                  </w:r>
                </w:p>
              </w:tc>
              <w:tc>
                <w:tcPr>
                  <w:tcW w:w="832" w:type="pct"/>
                  <w:vMerge w:val="continue"/>
                  <w:vAlign w:val="center"/>
                </w:tcPr>
                <w:p>
                  <w:pPr>
                    <w:jc w:val="center"/>
                    <w:rPr>
                      <w:rFonts w:ascii="Times New Roman" w:hAnsi="Times New Roman" w:eastAsia="宋体"/>
                      <w:color w:val="auto"/>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restar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序号</w:t>
                  </w:r>
                </w:p>
              </w:tc>
              <w:tc>
                <w:tcPr>
                  <w:tcW w:w="676" w:type="pct"/>
                  <w:vMerge w:val="restar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预测位置</w:t>
                  </w:r>
                </w:p>
              </w:tc>
              <w:tc>
                <w:tcPr>
                  <w:tcW w:w="443" w:type="pct"/>
                  <w:vMerge w:val="restart"/>
                  <w:shd w:val="clear" w:color="auto" w:fill="auto"/>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距离（m）</w:t>
                  </w:r>
                </w:p>
              </w:tc>
              <w:tc>
                <w:tcPr>
                  <w:tcW w:w="3333" w:type="pct"/>
                  <w:gridSpan w:val="4"/>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夜间噪声级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vMerge w:val="continue"/>
                  <w:shd w:val="clear" w:color="auto" w:fill="auto"/>
                  <w:vAlign w:val="center"/>
                </w:tcPr>
                <w:p>
                  <w:pPr>
                    <w:jc w:val="center"/>
                    <w:rPr>
                      <w:rFonts w:ascii="Times New Roman" w:hAnsi="Times New Roman" w:eastAsia="宋体"/>
                      <w:color w:val="auto"/>
                      <w:sz w:val="21"/>
                      <w:szCs w:val="21"/>
                      <w:u w:val="none"/>
                    </w:rPr>
                  </w:pPr>
                </w:p>
              </w:tc>
              <w:tc>
                <w:tcPr>
                  <w:tcW w:w="676" w:type="pct"/>
                  <w:vMerge w:val="continue"/>
                  <w:shd w:val="clear" w:color="auto" w:fill="auto"/>
                  <w:vAlign w:val="center"/>
                </w:tcPr>
                <w:p>
                  <w:pPr>
                    <w:jc w:val="center"/>
                    <w:rPr>
                      <w:rFonts w:ascii="Times New Roman" w:hAnsi="Times New Roman" w:eastAsia="宋体"/>
                      <w:color w:val="auto"/>
                      <w:sz w:val="21"/>
                      <w:szCs w:val="21"/>
                      <w:u w:val="none"/>
                    </w:rPr>
                  </w:pPr>
                </w:p>
              </w:tc>
              <w:tc>
                <w:tcPr>
                  <w:tcW w:w="443" w:type="pct"/>
                  <w:vMerge w:val="continue"/>
                  <w:shd w:val="clear" w:color="auto" w:fill="auto"/>
                  <w:vAlign w:val="center"/>
                </w:tcPr>
                <w:p>
                  <w:pPr>
                    <w:jc w:val="center"/>
                    <w:rPr>
                      <w:rFonts w:ascii="Times New Roman" w:hAnsi="Times New Roman" w:eastAsia="宋体"/>
                      <w:color w:val="auto"/>
                      <w:sz w:val="21"/>
                      <w:szCs w:val="21"/>
                      <w:u w:val="none"/>
                    </w:rPr>
                  </w:pP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贡献值</w:t>
                  </w:r>
                </w:p>
              </w:tc>
              <w:tc>
                <w:tcPr>
                  <w:tcW w:w="833" w:type="pct"/>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背景值</w:t>
                  </w:r>
                </w:p>
              </w:tc>
              <w:tc>
                <w:tcPr>
                  <w:tcW w:w="831" w:type="pct"/>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叠加</w:t>
                  </w:r>
                  <w:r>
                    <w:rPr>
                      <w:rFonts w:ascii="Times New Roman" w:hAnsi="Times New Roman" w:eastAsia="宋体"/>
                      <w:color w:val="auto"/>
                      <w:sz w:val="21"/>
                      <w:szCs w:val="21"/>
                      <w:u w:val="none"/>
                    </w:rPr>
                    <w:t>值</w:t>
                  </w:r>
                </w:p>
              </w:tc>
              <w:tc>
                <w:tcPr>
                  <w:tcW w:w="832" w:type="pct"/>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1</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东厂界</w:t>
                  </w:r>
                </w:p>
              </w:tc>
              <w:tc>
                <w:tcPr>
                  <w:tcW w:w="800" w:type="dxa"/>
                  <w:shd w:val="clear" w:color="auto" w:fill="auto"/>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50</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37.6</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40</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41.03</w:t>
                  </w:r>
                </w:p>
              </w:tc>
              <w:tc>
                <w:tcPr>
                  <w:tcW w:w="832" w:type="pct"/>
                  <w:vMerge w:val="restar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2</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南厂界</w:t>
                  </w:r>
                </w:p>
              </w:tc>
              <w:tc>
                <w:tcPr>
                  <w:tcW w:w="800" w:type="dxa"/>
                  <w:shd w:val="clear" w:color="auto" w:fill="auto"/>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20</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26.3</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42</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43.05</w:t>
                  </w:r>
                </w:p>
              </w:tc>
              <w:tc>
                <w:tcPr>
                  <w:tcW w:w="832" w:type="pct"/>
                  <w:vMerge w:val="continue"/>
                  <w:vAlign w:val="center"/>
                </w:tcPr>
                <w:p>
                  <w:pPr>
                    <w:jc w:val="center"/>
                    <w:rPr>
                      <w:rFonts w:ascii="Times New Roman" w:hAnsi="Times New Roman" w:eastAsia="宋体"/>
                      <w:color w:val="auto"/>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3</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西厂界</w:t>
                  </w:r>
                </w:p>
              </w:tc>
              <w:tc>
                <w:tcPr>
                  <w:tcW w:w="800" w:type="dxa"/>
                  <w:shd w:val="clear" w:color="auto" w:fill="auto"/>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3</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19.4</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43</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44.01</w:t>
                  </w:r>
                </w:p>
              </w:tc>
              <w:tc>
                <w:tcPr>
                  <w:tcW w:w="832" w:type="pct"/>
                  <w:vMerge w:val="continue"/>
                  <w:vAlign w:val="center"/>
                </w:tcPr>
                <w:p>
                  <w:pPr>
                    <w:jc w:val="center"/>
                    <w:rPr>
                      <w:rFonts w:ascii="Times New Roman" w:hAnsi="Times New Roman" w:eastAsia="宋体"/>
                      <w:color w:val="auto"/>
                      <w:sz w:val="21"/>
                      <w:szCs w:val="21"/>
                      <w:u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4</w:t>
                  </w:r>
                </w:p>
              </w:tc>
              <w:tc>
                <w:tcPr>
                  <w:tcW w:w="676"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北厂界</w:t>
                  </w:r>
                </w:p>
              </w:tc>
              <w:tc>
                <w:tcPr>
                  <w:tcW w:w="800" w:type="dxa"/>
                  <w:shd w:val="clear" w:color="auto" w:fill="auto"/>
                  <w:vAlign w:val="center"/>
                </w:tcPr>
                <w:p>
                  <w:pPr>
                    <w:jc w:val="center"/>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5</w:t>
                  </w:r>
                </w:p>
              </w:tc>
              <w:tc>
                <w:tcPr>
                  <w:tcW w:w="835" w:type="pct"/>
                  <w:shd w:val="clear" w:color="auto" w:fill="auto"/>
                  <w:vAlign w:val="center"/>
                </w:tcPr>
                <w:p>
                  <w:pPr>
                    <w:jc w:val="center"/>
                    <w:rPr>
                      <w:rFonts w:ascii="Times New Roman" w:hAnsi="Times New Roman" w:eastAsia="宋体"/>
                      <w:color w:val="auto"/>
                      <w:sz w:val="21"/>
                      <w:szCs w:val="21"/>
                      <w:u w:val="none"/>
                    </w:rPr>
                  </w:pPr>
                  <w:r>
                    <w:rPr>
                      <w:rFonts w:ascii="Times New Roman" w:hAnsi="Times New Roman" w:eastAsia="宋体"/>
                      <w:color w:val="auto"/>
                      <w:sz w:val="21"/>
                      <w:szCs w:val="21"/>
                      <w:u w:val="none"/>
                    </w:rPr>
                    <w:t>21.9</w:t>
                  </w:r>
                </w:p>
              </w:tc>
              <w:tc>
                <w:tcPr>
                  <w:tcW w:w="833" w:type="pct"/>
                  <w:vAlign w:val="center"/>
                </w:tcPr>
                <w:p>
                  <w:pPr>
                    <w:pStyle w:val="40"/>
                    <w:spacing w:before="24" w:beforeAutospacing="1" w:after="24" w:afterAutospacing="1" w:line="240" w:lineRule="auto"/>
                    <w:rPr>
                      <w:rFonts w:ascii="Times New Roman" w:hAnsi="Times New Roman" w:eastAsia="宋体"/>
                      <w:color w:val="auto"/>
                      <w:sz w:val="21"/>
                      <w:szCs w:val="21"/>
                      <w:u w:val="none"/>
                    </w:rPr>
                  </w:pPr>
                  <w:r>
                    <w:rPr>
                      <w:rFonts w:hint="eastAsia" w:ascii="Times New Roman" w:hAnsi="Times New Roman" w:eastAsia="宋体"/>
                      <w:color w:val="auto"/>
                      <w:sz w:val="21"/>
                      <w:szCs w:val="21"/>
                      <w:u w:val="none"/>
                      <w:lang w:val="en-US" w:eastAsia="zh-CN"/>
                    </w:rPr>
                    <w:t>41</w:t>
                  </w:r>
                </w:p>
              </w:tc>
              <w:tc>
                <w:tcPr>
                  <w:tcW w:w="831" w:type="pct"/>
                  <w:vAlign w:val="center"/>
                </w:tcPr>
                <w:p>
                  <w:pPr>
                    <w:jc w:val="center"/>
                    <w:rPr>
                      <w:rFonts w:hint="default" w:ascii="Times New Roman" w:hAnsi="Times New Roman" w:eastAsia="宋体"/>
                      <w:color w:val="auto"/>
                      <w:sz w:val="21"/>
                      <w:szCs w:val="21"/>
                      <w:u w:val="none"/>
                      <w:lang w:val="en-US" w:eastAsia="zh-CN"/>
                    </w:rPr>
                  </w:pPr>
                  <w:r>
                    <w:rPr>
                      <w:rFonts w:hint="eastAsia" w:ascii="Times New Roman" w:hAnsi="Times New Roman" w:eastAsia="宋体"/>
                      <w:color w:val="auto"/>
                      <w:sz w:val="21"/>
                      <w:szCs w:val="21"/>
                      <w:u w:val="none"/>
                      <w:lang w:val="en-US" w:eastAsia="zh-CN"/>
                    </w:rPr>
                    <w:t>42.19</w:t>
                  </w:r>
                </w:p>
              </w:tc>
              <w:tc>
                <w:tcPr>
                  <w:tcW w:w="832" w:type="pct"/>
                  <w:vMerge w:val="continue"/>
                  <w:vAlign w:val="center"/>
                </w:tcPr>
                <w:p>
                  <w:pPr>
                    <w:jc w:val="center"/>
                    <w:rPr>
                      <w:rFonts w:ascii="Times New Roman" w:hAnsi="Times New Roman" w:eastAsia="宋体"/>
                      <w:color w:val="auto"/>
                      <w:sz w:val="21"/>
                      <w:szCs w:val="21"/>
                      <w:u w:val="none"/>
                    </w:rPr>
                  </w:pPr>
                </w:p>
              </w:tc>
            </w:tr>
          </w:tbl>
          <w:p>
            <w:pPr>
              <w:spacing w:line="360" w:lineRule="auto"/>
              <w:ind w:firstLine="480" w:firstLineChars="200"/>
              <w:jc w:val="left"/>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预测结果表明，项目产噪设备经减振及隔声等措施处理后对边界噪声贡献值较小，可满足《工业企业厂界环境噪声排放标准》（GB12348-2008）</w:t>
            </w:r>
            <w:r>
              <w:rPr>
                <w:rFonts w:hint="eastAsia" w:ascii="Times New Roman" w:hAnsi="Times New Roman" w:eastAsia="宋体"/>
                <w:color w:val="000000"/>
                <w:sz w:val="24"/>
                <w:szCs w:val="24"/>
                <w:u w:val="none"/>
                <w:lang w:val="en-US" w:eastAsia="zh-CN"/>
              </w:rPr>
              <w:t>3</w:t>
            </w:r>
            <w:r>
              <w:rPr>
                <w:rFonts w:hint="eastAsia" w:ascii="Times New Roman" w:hAnsi="Times New Roman" w:eastAsia="宋体"/>
                <w:color w:val="000000"/>
                <w:sz w:val="24"/>
                <w:szCs w:val="24"/>
                <w:u w:val="none"/>
              </w:rPr>
              <w:t>类标准。</w:t>
            </w:r>
            <w:r>
              <w:rPr>
                <w:rFonts w:ascii="Times New Roman" w:hAnsi="Times New Roman" w:eastAsia="宋体"/>
                <w:color w:val="000000"/>
                <w:sz w:val="24"/>
                <w:szCs w:val="24"/>
                <w:u w:val="none"/>
              </w:rPr>
              <w:cr/>
            </w:r>
            <w:r>
              <w:rPr>
                <w:rFonts w:hint="eastAsia" w:ascii="Times New Roman" w:hAnsi="Times New Roman" w:eastAsia="宋体"/>
                <w:b/>
                <w:color w:val="000000"/>
                <w:sz w:val="24"/>
                <w:szCs w:val="24"/>
                <w:u w:val="none"/>
              </w:rPr>
              <w:t>3、治理措施</w:t>
            </w:r>
            <w:r>
              <w:rPr>
                <w:rFonts w:ascii="Times New Roman" w:hAnsi="Times New Roman" w:eastAsia="宋体"/>
                <w:b/>
                <w:color w:val="000000"/>
                <w:sz w:val="24"/>
                <w:szCs w:val="24"/>
                <w:u w:val="none"/>
              </w:rPr>
              <w:t>及</w:t>
            </w:r>
            <w:r>
              <w:rPr>
                <w:rFonts w:hint="eastAsia" w:ascii="Times New Roman" w:hAnsi="Times New Roman" w:eastAsia="宋体"/>
                <w:b/>
                <w:color w:val="000000"/>
                <w:sz w:val="24"/>
                <w:szCs w:val="24"/>
                <w:u w:val="none"/>
              </w:rPr>
              <w:t>达标情况</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本项目的噪声主要为设备及风机运行时产生的噪声，本环评要求噪声污染防治措施如下：</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（1）选购低噪声的先进设备，从源头上控制高噪声的产生。</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2）对于噪声相对较大的设备安装减震垫。设置产噪设备的建构筑物要选用隔声及消声性能较好的建筑材料，操作室采用封闭结构或设隔声操作间，工作人员配备消音设备，以减轻噪声对操作人员的危害和对环境的影响。</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（3）在设计中要做到合理布局，充分利用厂内建筑物的隔声作用，使产噪设备对周围环境的影响减轻。</w:t>
            </w:r>
          </w:p>
          <w:p>
            <w:pPr>
              <w:spacing w:line="360" w:lineRule="auto"/>
              <w:ind w:firstLine="480" w:firstLineChars="200"/>
              <w:rPr>
                <w:rFonts w:ascii="Times New Roman" w:hAnsi="Times New Roman" w:eastAsia="宋体"/>
                <w:color w:val="000000"/>
                <w:sz w:val="24"/>
                <w:szCs w:val="24"/>
                <w:u w:val="none"/>
              </w:rPr>
            </w:pPr>
            <w:r>
              <w:rPr>
                <w:rFonts w:hint="eastAsia" w:ascii="Times New Roman" w:hAnsi="Times New Roman" w:eastAsia="宋体"/>
                <w:color w:val="000000"/>
                <w:sz w:val="24"/>
                <w:szCs w:val="24"/>
                <w:u w:val="none"/>
              </w:rPr>
              <w:t>（4）加强对高噪声设备的管理和维护。随着使用年限的增加，有些设备噪声可能有所增加，故应在有关环保人员的统一管理下，定期检查、监测，发现噪声超标要及时治理并增加相关操作岗位工人的个体防护。</w:t>
            </w:r>
          </w:p>
          <w:p>
            <w:pPr>
              <w:spacing w:line="360" w:lineRule="auto"/>
              <w:ind w:firstLine="480" w:firstLineChars="200"/>
              <w:rPr>
                <w:rFonts w:ascii="Times New Roman" w:hAnsi="Times New Roman" w:eastAsia="宋体"/>
                <w:b/>
                <w:color w:val="000000"/>
                <w:sz w:val="24"/>
                <w:szCs w:val="24"/>
                <w:u w:val="none"/>
              </w:rPr>
            </w:pPr>
            <w:r>
              <w:rPr>
                <w:rFonts w:hint="eastAsia" w:ascii="Times New Roman" w:hAnsi="Times New Roman" w:eastAsia="宋体"/>
                <w:color w:val="000000"/>
                <w:sz w:val="24"/>
                <w:szCs w:val="24"/>
                <w:u w:val="none"/>
              </w:rPr>
              <w:t>经</w:t>
            </w:r>
            <w:r>
              <w:rPr>
                <w:rFonts w:ascii="Times New Roman" w:hAnsi="Times New Roman" w:eastAsia="宋体"/>
                <w:color w:val="000000"/>
                <w:sz w:val="24"/>
                <w:szCs w:val="24"/>
                <w:u w:val="none"/>
              </w:rPr>
              <w:t>上述措施治理后，对</w:t>
            </w:r>
            <w:r>
              <w:rPr>
                <w:rFonts w:hint="eastAsia" w:ascii="Times New Roman" w:hAnsi="Times New Roman" w:eastAsia="宋体"/>
                <w:color w:val="000000"/>
                <w:sz w:val="24"/>
                <w:szCs w:val="24"/>
                <w:u w:val="none"/>
              </w:rPr>
              <w:t>厂界外50米范围内影响较小</w:t>
            </w:r>
            <w:r>
              <w:rPr>
                <w:rFonts w:ascii="Times New Roman" w:hAnsi="Times New Roman" w:eastAsia="宋体"/>
                <w:color w:val="000000"/>
                <w:sz w:val="24"/>
                <w:szCs w:val="24"/>
                <w:u w:val="none"/>
              </w:rPr>
              <w:t>。</w:t>
            </w:r>
          </w:p>
          <w:p>
            <w:pPr>
              <w:spacing w:line="360" w:lineRule="auto"/>
              <w:ind w:firstLine="482" w:firstLineChars="200"/>
              <w:rPr>
                <w:rFonts w:hint="eastAsia" w:ascii="Times New Roman" w:hAnsi="Times New Roman" w:eastAsia="宋体"/>
                <w:b/>
                <w:sz w:val="24"/>
                <w:szCs w:val="24"/>
                <w:u w:val="none"/>
              </w:rPr>
            </w:pPr>
            <w:r>
              <w:rPr>
                <w:rFonts w:ascii="Times New Roman" w:hAnsi="Times New Roman" w:eastAsia="宋体"/>
                <w:b/>
                <w:color w:val="000000"/>
                <w:sz w:val="24"/>
                <w:szCs w:val="24"/>
                <w:u w:val="none"/>
              </w:rPr>
              <w:t>4</w:t>
            </w:r>
            <w:r>
              <w:rPr>
                <w:rFonts w:hint="eastAsia" w:ascii="Times New Roman" w:hAnsi="Times New Roman" w:eastAsia="宋体"/>
                <w:b/>
                <w:color w:val="000000"/>
                <w:sz w:val="24"/>
                <w:szCs w:val="24"/>
                <w:u w:val="none"/>
              </w:rPr>
              <w:t>、监测要求</w:t>
            </w:r>
          </w:p>
          <w:p>
            <w:pPr>
              <w:pStyle w:val="17"/>
              <w:spacing w:line="240" w:lineRule="auto"/>
              <w:ind w:firstLine="422"/>
              <w:rPr>
                <w:rFonts w:ascii="Times New Roman" w:hAnsi="Times New Roman" w:eastAsia="宋体"/>
                <w:b/>
                <w:sz w:val="21"/>
                <w:szCs w:val="21"/>
                <w:u w:val="none"/>
              </w:rPr>
            </w:pPr>
            <w:r>
              <w:rPr>
                <w:rFonts w:hint="eastAsia" w:ascii="Times New Roman" w:hAnsi="Times New Roman" w:eastAsia="宋体"/>
                <w:b/>
                <w:sz w:val="21"/>
                <w:szCs w:val="21"/>
                <w:u w:val="none"/>
              </w:rPr>
              <w:t>表</w:t>
            </w:r>
            <w:r>
              <w:rPr>
                <w:rFonts w:hint="eastAsia"/>
                <w:b/>
                <w:sz w:val="21"/>
                <w:szCs w:val="21"/>
                <w:u w:val="none"/>
                <w:lang w:val="en-US" w:eastAsia="zh-CN"/>
              </w:rPr>
              <w:t>4-10</w:t>
            </w:r>
            <w:r>
              <w:rPr>
                <w:rFonts w:ascii="Times New Roman" w:hAnsi="Times New Roman" w:eastAsia="宋体"/>
                <w:b/>
                <w:sz w:val="21"/>
                <w:szCs w:val="21"/>
                <w:u w:val="none"/>
              </w:rPr>
              <w:t xml:space="preserve">  </w:t>
            </w:r>
            <w:r>
              <w:rPr>
                <w:rFonts w:hint="eastAsia" w:ascii="Times New Roman" w:hAnsi="Times New Roman" w:eastAsia="宋体"/>
                <w:b/>
                <w:sz w:val="21"/>
                <w:szCs w:val="21"/>
                <w:u w:val="none"/>
              </w:rPr>
              <w:t>监测计划一览表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91"/>
              <w:gridCol w:w="2798"/>
              <w:gridCol w:w="29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Borders>
                    <w:top w:val="single" w:color="auto" w:sz="12" w:space="0"/>
                    <w:left w:val="nil"/>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环境要素</w:t>
                  </w:r>
                </w:p>
              </w:tc>
              <w:tc>
                <w:tcPr>
                  <w:tcW w:w="938" w:type="pct"/>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监测点位</w:t>
                  </w:r>
                </w:p>
              </w:tc>
              <w:tc>
                <w:tcPr>
                  <w:tcW w:w="1760" w:type="pct"/>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监测项目</w:t>
                  </w:r>
                </w:p>
              </w:tc>
              <w:tc>
                <w:tcPr>
                  <w:tcW w:w="1826" w:type="pct"/>
                  <w:tcBorders>
                    <w:top w:val="single" w:color="auto" w:sz="12" w:space="0"/>
                    <w:left w:val="single" w:color="auto" w:sz="4" w:space="0"/>
                    <w:bottom w:val="single" w:color="auto" w:sz="4" w:space="0"/>
                    <w:right w:val="nil"/>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4" w:type="pct"/>
                  <w:tcBorders>
                    <w:top w:val="single" w:color="auto" w:sz="4" w:space="0"/>
                    <w:left w:val="nil"/>
                    <w:bottom w:val="single" w:color="auto" w:sz="12"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声环境</w:t>
                  </w:r>
                </w:p>
              </w:tc>
              <w:tc>
                <w:tcPr>
                  <w:tcW w:w="938"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hint="eastAsia" w:ascii="Times New Roman" w:hAnsi="Times New Roman" w:eastAsia="宋体"/>
                      <w:bCs/>
                      <w:sz w:val="21"/>
                      <w:szCs w:val="21"/>
                      <w:u w:val="none"/>
                    </w:rPr>
                    <w:t>厂界外</w:t>
                  </w:r>
                  <w:r>
                    <w:rPr>
                      <w:rFonts w:ascii="Times New Roman" w:hAnsi="Times New Roman" w:eastAsia="宋体"/>
                      <w:bCs/>
                      <w:sz w:val="21"/>
                      <w:szCs w:val="21"/>
                      <w:u w:val="none"/>
                    </w:rPr>
                    <w:t>1m</w:t>
                  </w:r>
                  <w:r>
                    <w:rPr>
                      <w:rFonts w:hint="eastAsia" w:ascii="Times New Roman" w:hAnsi="Times New Roman" w:eastAsia="宋体"/>
                      <w:bCs/>
                      <w:sz w:val="21"/>
                      <w:szCs w:val="21"/>
                      <w:u w:val="none"/>
                    </w:rPr>
                    <w:t>、高度</w:t>
                  </w:r>
                  <w:r>
                    <w:rPr>
                      <w:rFonts w:ascii="Times New Roman" w:hAnsi="Times New Roman" w:eastAsia="宋体"/>
                      <w:bCs/>
                      <w:sz w:val="21"/>
                      <w:szCs w:val="21"/>
                      <w:u w:val="none"/>
                    </w:rPr>
                    <w:t>1.2m</w:t>
                  </w:r>
                  <w:r>
                    <w:rPr>
                      <w:rFonts w:hint="eastAsia" w:ascii="Times New Roman" w:hAnsi="Times New Roman" w:eastAsia="宋体"/>
                      <w:bCs/>
                      <w:sz w:val="21"/>
                      <w:szCs w:val="21"/>
                      <w:u w:val="none"/>
                    </w:rPr>
                    <w:t>以上</w:t>
                  </w:r>
                </w:p>
              </w:tc>
              <w:tc>
                <w:tcPr>
                  <w:tcW w:w="1760"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240" w:lineRule="auto"/>
                    <w:jc w:val="center"/>
                    <w:rPr>
                      <w:rFonts w:ascii="Times New Roman" w:hAnsi="Times New Roman" w:eastAsia="宋体"/>
                      <w:bCs/>
                      <w:sz w:val="21"/>
                      <w:szCs w:val="21"/>
                      <w:u w:val="none"/>
                    </w:rPr>
                  </w:pPr>
                  <w:r>
                    <w:rPr>
                      <w:rFonts w:ascii="Times New Roman" w:hAnsi="Times New Roman" w:eastAsia="宋体"/>
                      <w:bCs/>
                      <w:sz w:val="21"/>
                      <w:szCs w:val="21"/>
                      <w:u w:val="none"/>
                    </w:rPr>
                    <w:t>Leq</w:t>
                  </w:r>
                  <w:r>
                    <w:rPr>
                      <w:rFonts w:hint="eastAsia" w:ascii="Times New Roman" w:hAnsi="Times New Roman" w:eastAsia="宋体"/>
                      <w:bCs/>
                      <w:sz w:val="21"/>
                      <w:szCs w:val="21"/>
                      <w:u w:val="none"/>
                    </w:rPr>
                    <w:t>（</w:t>
                  </w:r>
                  <w:r>
                    <w:rPr>
                      <w:rFonts w:ascii="Times New Roman" w:hAnsi="Times New Roman" w:eastAsia="宋体"/>
                      <w:bCs/>
                      <w:sz w:val="21"/>
                      <w:szCs w:val="21"/>
                      <w:u w:val="none"/>
                    </w:rPr>
                    <w:t>A</w:t>
                  </w:r>
                  <w:r>
                    <w:rPr>
                      <w:rFonts w:hint="eastAsia" w:ascii="Times New Roman" w:hAnsi="Times New Roman" w:eastAsia="宋体"/>
                      <w:bCs/>
                      <w:sz w:val="21"/>
                      <w:szCs w:val="21"/>
                      <w:u w:val="none"/>
                    </w:rPr>
                    <w:t>）</w:t>
                  </w:r>
                </w:p>
              </w:tc>
              <w:tc>
                <w:tcPr>
                  <w:tcW w:w="1826" w:type="pct"/>
                  <w:tcBorders>
                    <w:top w:val="single" w:color="auto" w:sz="4" w:space="0"/>
                    <w:left w:val="single" w:color="auto" w:sz="4" w:space="0"/>
                    <w:bottom w:val="single" w:color="auto" w:sz="12" w:space="0"/>
                    <w:right w:val="nil"/>
                  </w:tcBorders>
                  <w:vAlign w:val="center"/>
                </w:tcPr>
                <w:p>
                  <w:pPr>
                    <w:adjustRightInd w:val="0"/>
                    <w:snapToGrid w:val="0"/>
                    <w:spacing w:line="240" w:lineRule="auto"/>
                    <w:jc w:val="center"/>
                    <w:rPr>
                      <w:rFonts w:hint="eastAsia" w:ascii="Times New Roman" w:hAnsi="Times New Roman" w:eastAsia="宋体"/>
                      <w:bCs/>
                      <w:sz w:val="21"/>
                      <w:szCs w:val="21"/>
                      <w:u w:val="none"/>
                      <w:lang w:eastAsia="zh-CN"/>
                    </w:rPr>
                  </w:pPr>
                  <w:r>
                    <w:rPr>
                      <w:rFonts w:hint="eastAsia" w:ascii="Times New Roman" w:hAnsi="Times New Roman" w:eastAsia="宋体"/>
                      <w:bCs/>
                      <w:sz w:val="21"/>
                      <w:szCs w:val="21"/>
                      <w:u w:val="none"/>
                      <w:lang w:val="en-US" w:eastAsia="zh-CN"/>
                    </w:rPr>
                    <w:t>季度</w:t>
                  </w:r>
                </w:p>
              </w:tc>
            </w:tr>
          </w:tbl>
          <w:p>
            <w:pPr>
              <w:spacing w:line="360" w:lineRule="auto"/>
              <w:rPr>
                <w:rFonts w:ascii="Times New Roman" w:hAnsi="Times New Roman" w:eastAsia="宋体"/>
                <w:b/>
                <w:color w:val="000000"/>
                <w:sz w:val="24"/>
                <w:szCs w:val="24"/>
              </w:rPr>
            </w:pPr>
            <w:r>
              <w:rPr>
                <w:rFonts w:hint="eastAsia" w:ascii="Times New Roman" w:hAnsi="Times New Roman" w:eastAsia="宋体"/>
                <w:b/>
                <w:color w:val="000000"/>
                <w:sz w:val="24"/>
                <w:szCs w:val="24"/>
              </w:rPr>
              <w:t>四</w:t>
            </w:r>
            <w:r>
              <w:rPr>
                <w:rFonts w:ascii="Times New Roman" w:hAnsi="Times New Roman" w:eastAsia="宋体"/>
                <w:b/>
                <w:color w:val="000000"/>
                <w:sz w:val="24"/>
                <w:szCs w:val="24"/>
              </w:rPr>
              <w:t>、</w:t>
            </w:r>
            <w:r>
              <w:rPr>
                <w:rFonts w:hint="eastAsia" w:ascii="Times New Roman" w:hAnsi="Times New Roman" w:eastAsia="宋体"/>
                <w:b/>
                <w:color w:val="000000"/>
                <w:sz w:val="24"/>
                <w:szCs w:val="24"/>
              </w:rPr>
              <w:t>固体废弃物</w:t>
            </w:r>
          </w:p>
          <w:p>
            <w:pPr>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rPr>
              <w:t>本项目</w:t>
            </w:r>
            <w:r>
              <w:rPr>
                <w:rFonts w:ascii="Times New Roman" w:hAnsi="Times New Roman" w:eastAsia="宋体"/>
                <w:color w:val="000000"/>
                <w:sz w:val="24"/>
                <w:szCs w:val="24"/>
              </w:rPr>
              <w:t>产生的固体废物主要为</w:t>
            </w:r>
            <w:r>
              <w:rPr>
                <w:rFonts w:hint="eastAsia" w:ascii="Times New Roman" w:hAnsi="Times New Roman" w:eastAsia="宋体"/>
                <w:color w:val="000000"/>
                <w:sz w:val="24"/>
                <w:szCs w:val="24"/>
                <w:lang w:val="en-US" w:eastAsia="zh-CN"/>
              </w:rPr>
              <w:t>生活垃圾和</w:t>
            </w:r>
            <w:r>
              <w:rPr>
                <w:rFonts w:hint="eastAsia" w:ascii="Times New Roman" w:hAnsi="Times New Roman" w:eastAsia="宋体"/>
                <w:color w:val="000000"/>
                <w:sz w:val="24"/>
                <w:szCs w:val="24"/>
              </w:rPr>
              <w:t>废弃</w:t>
            </w:r>
            <w:r>
              <w:rPr>
                <w:rFonts w:ascii="Times New Roman" w:hAnsi="Times New Roman" w:eastAsia="宋体"/>
                <w:color w:val="000000"/>
                <w:sz w:val="24"/>
                <w:szCs w:val="24"/>
              </w:rPr>
              <w:t>离子交换树脂。</w:t>
            </w:r>
          </w:p>
          <w:p>
            <w:pPr>
              <w:spacing w:line="360" w:lineRule="auto"/>
              <w:ind w:firstLine="482" w:firstLineChars="200"/>
              <w:rPr>
                <w:rFonts w:ascii="Times New Roman" w:hAnsi="Times New Roman" w:eastAsia="宋体"/>
                <w:b/>
                <w:color w:val="000000"/>
                <w:sz w:val="24"/>
                <w:szCs w:val="24"/>
              </w:rPr>
            </w:pPr>
            <w:r>
              <w:rPr>
                <w:rFonts w:hint="eastAsia" w:ascii="Times New Roman" w:hAnsi="Times New Roman" w:eastAsia="宋体"/>
                <w:b/>
                <w:color w:val="000000"/>
                <w:sz w:val="24"/>
                <w:szCs w:val="24"/>
              </w:rPr>
              <w:t>1、</w:t>
            </w:r>
            <w:r>
              <w:rPr>
                <w:rFonts w:ascii="Times New Roman" w:hAnsi="Times New Roman" w:eastAsia="宋体"/>
                <w:b/>
                <w:color w:val="000000"/>
                <w:sz w:val="24"/>
                <w:szCs w:val="24"/>
              </w:rPr>
              <w:t>污染物源强核算</w:t>
            </w:r>
          </w:p>
          <w:p>
            <w:pPr>
              <w:spacing w:line="360" w:lineRule="auto"/>
              <w:ind w:firstLine="480" w:firstLineChars="200"/>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本</w:t>
            </w:r>
            <w:r>
              <w:rPr>
                <w:rFonts w:hint="eastAsia" w:ascii="Times New Roman" w:hAnsi="Times New Roman" w:eastAsia="宋体"/>
                <w:color w:val="000000"/>
                <w:sz w:val="24"/>
                <w:szCs w:val="24"/>
              </w:rPr>
              <w:t>项目离子交换树脂每</w:t>
            </w:r>
            <w:r>
              <w:rPr>
                <w:rFonts w:ascii="Times New Roman" w:hAnsi="Times New Roman" w:eastAsia="宋体"/>
                <w:color w:val="000000"/>
                <w:sz w:val="24"/>
                <w:szCs w:val="24"/>
              </w:rPr>
              <w:t>年更换一次，产生量为</w:t>
            </w:r>
            <w:r>
              <w:rPr>
                <w:rFonts w:hint="eastAsia" w:ascii="Times New Roman" w:hAnsi="Times New Roman" w:eastAsia="宋体"/>
                <w:color w:val="000000"/>
                <w:sz w:val="24"/>
                <w:szCs w:val="24"/>
              </w:rPr>
              <w:t>0.</w:t>
            </w:r>
            <w:r>
              <w:rPr>
                <w:rFonts w:hint="eastAsia" w:ascii="Times New Roman" w:hAnsi="Times New Roman" w:eastAsia="宋体"/>
                <w:color w:val="000000"/>
                <w:sz w:val="24"/>
                <w:szCs w:val="24"/>
                <w:lang w:val="en-US" w:eastAsia="zh-CN"/>
              </w:rPr>
              <w:t>2</w:t>
            </w:r>
            <w:r>
              <w:rPr>
                <w:rFonts w:ascii="Times New Roman" w:hAnsi="Times New Roman" w:eastAsia="宋体"/>
                <w:color w:val="000000"/>
                <w:sz w:val="24"/>
                <w:szCs w:val="24"/>
              </w:rPr>
              <w:t>t/a</w:t>
            </w:r>
            <w:r>
              <w:rPr>
                <w:rFonts w:hint="eastAsia" w:ascii="Times New Roman" w:hAnsi="Times New Roman" w:eastAsia="宋体"/>
                <w:color w:val="000000"/>
                <w:sz w:val="24"/>
                <w:szCs w:val="24"/>
              </w:rPr>
              <w:t>，交由环卫</w:t>
            </w:r>
            <w:r>
              <w:rPr>
                <w:rFonts w:ascii="Times New Roman" w:hAnsi="Times New Roman" w:eastAsia="宋体"/>
                <w:color w:val="000000"/>
                <w:sz w:val="24"/>
                <w:szCs w:val="24"/>
              </w:rPr>
              <w:t>部门处理</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lang w:val="en-US" w:eastAsia="zh-CN"/>
              </w:rPr>
              <w:t>项目锅炉房的劳动定员</w:t>
            </w:r>
            <w:r>
              <w:rPr>
                <w:rFonts w:hint="eastAsia"/>
                <w:color w:val="000000"/>
                <w:sz w:val="24"/>
                <w:szCs w:val="24"/>
                <w:lang w:val="en-US" w:eastAsia="zh-CN"/>
              </w:rPr>
              <w:t>25</w:t>
            </w:r>
            <w:r>
              <w:rPr>
                <w:rFonts w:hint="eastAsia" w:ascii="Times New Roman" w:hAnsi="Times New Roman" w:eastAsia="宋体"/>
                <w:color w:val="000000"/>
                <w:sz w:val="24"/>
                <w:szCs w:val="24"/>
                <w:lang w:eastAsia="zh-CN"/>
              </w:rPr>
              <w:t>人，生活垃圾产生量按0.5kg/d·人计算，其产生量为</w:t>
            </w:r>
            <w:r>
              <w:rPr>
                <w:rFonts w:hint="eastAsia"/>
                <w:color w:val="000000"/>
                <w:sz w:val="24"/>
                <w:szCs w:val="24"/>
                <w:lang w:val="en-US" w:eastAsia="zh-CN"/>
              </w:rPr>
              <w:t>3.125</w:t>
            </w:r>
            <w:r>
              <w:rPr>
                <w:rFonts w:hint="eastAsia" w:ascii="Times New Roman" w:hAnsi="Times New Roman" w:eastAsia="宋体"/>
                <w:color w:val="000000"/>
                <w:sz w:val="24"/>
                <w:szCs w:val="24"/>
                <w:lang w:eastAsia="zh-CN"/>
              </w:rPr>
              <w:t>t/a，</w:t>
            </w:r>
            <w:r>
              <w:rPr>
                <w:rFonts w:hint="eastAsia" w:ascii="Times New Roman" w:hAnsi="Times New Roman" w:eastAsia="宋体"/>
                <w:color w:val="000000"/>
                <w:sz w:val="24"/>
                <w:szCs w:val="24"/>
                <w:lang w:val="en-US" w:eastAsia="zh-CN"/>
              </w:rPr>
              <w:t>集中收集后</w:t>
            </w:r>
            <w:r>
              <w:rPr>
                <w:rFonts w:hint="eastAsia" w:ascii="Times New Roman" w:hAnsi="Times New Roman" w:eastAsia="宋体"/>
                <w:color w:val="000000"/>
                <w:sz w:val="24"/>
                <w:szCs w:val="24"/>
              </w:rPr>
              <w:t>交由环卫</w:t>
            </w:r>
            <w:r>
              <w:rPr>
                <w:rFonts w:ascii="Times New Roman" w:hAnsi="Times New Roman" w:eastAsia="宋体"/>
                <w:color w:val="000000"/>
                <w:sz w:val="24"/>
                <w:szCs w:val="24"/>
              </w:rPr>
              <w:t>部门处理。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本项目</w:t>
            </w:r>
            <w:r>
              <w:rPr>
                <w:rFonts w:hint="eastAsia" w:ascii="Times New Roman" w:hAnsi="Times New Roman" w:eastAsia="宋体"/>
                <w:color w:val="000000"/>
                <w:sz w:val="24"/>
                <w:szCs w:val="24"/>
              </w:rPr>
              <w:t>固体废物产生量及处置情况详见</w:t>
            </w:r>
            <w:r>
              <w:rPr>
                <w:rFonts w:ascii="Times New Roman" w:hAnsi="Times New Roman" w:eastAsia="宋体"/>
                <w:color w:val="000000"/>
                <w:sz w:val="24"/>
                <w:szCs w:val="24"/>
              </w:rPr>
              <w:t>下表。</w:t>
            </w:r>
          </w:p>
          <w:p>
            <w:pPr>
              <w:jc w:val="center"/>
              <w:rPr>
                <w:rFonts w:hint="eastAsia" w:ascii="Times New Roman" w:hAnsi="Times New Roman" w:eastAsia="宋体"/>
                <w:b/>
                <w:color w:val="000000"/>
                <w:szCs w:val="21"/>
                <w:u w:val="none"/>
              </w:rPr>
            </w:pPr>
          </w:p>
          <w:p>
            <w:pPr>
              <w:jc w:val="center"/>
              <w:rPr>
                <w:rFonts w:hint="eastAsia" w:ascii="Times New Roman" w:hAnsi="Times New Roman" w:eastAsia="宋体"/>
                <w:b/>
                <w:color w:val="000000"/>
                <w:szCs w:val="21"/>
                <w:u w:val="none"/>
              </w:rPr>
            </w:pPr>
          </w:p>
          <w:p>
            <w:pPr>
              <w:jc w:val="center"/>
              <w:rPr>
                <w:rFonts w:hint="eastAsia" w:ascii="Times New Roman" w:hAnsi="Times New Roman" w:eastAsia="宋体"/>
                <w:b/>
                <w:color w:val="000000"/>
                <w:szCs w:val="21"/>
                <w:u w:val="none"/>
              </w:rPr>
            </w:pPr>
          </w:p>
          <w:p>
            <w:pPr>
              <w:jc w:val="center"/>
              <w:rPr>
                <w:rFonts w:ascii="Times New Roman" w:hAnsi="Times New Roman" w:eastAsia="宋体"/>
                <w:b/>
                <w:color w:val="000000"/>
                <w:szCs w:val="21"/>
                <w:u w:val="none"/>
              </w:rPr>
            </w:pPr>
            <w:r>
              <w:rPr>
                <w:rFonts w:hint="eastAsia" w:ascii="Times New Roman" w:hAnsi="Times New Roman" w:eastAsia="宋体"/>
                <w:b/>
                <w:color w:val="000000"/>
                <w:szCs w:val="21"/>
                <w:u w:val="none"/>
              </w:rPr>
              <w:t>表</w:t>
            </w:r>
            <w:r>
              <w:rPr>
                <w:rFonts w:hint="eastAsia"/>
                <w:b/>
                <w:color w:val="000000"/>
                <w:szCs w:val="21"/>
                <w:u w:val="none"/>
                <w:lang w:val="en-US" w:eastAsia="zh-CN"/>
              </w:rPr>
              <w:t>4-11</w:t>
            </w:r>
            <w:r>
              <w:rPr>
                <w:rFonts w:ascii="Times New Roman" w:hAnsi="Times New Roman" w:eastAsia="宋体"/>
                <w:b/>
                <w:color w:val="000000"/>
                <w:szCs w:val="21"/>
                <w:u w:val="none"/>
              </w:rPr>
              <w:t xml:space="preserve">  </w:t>
            </w:r>
            <w:r>
              <w:rPr>
                <w:rFonts w:hint="eastAsia" w:ascii="Times New Roman" w:hAnsi="Times New Roman" w:eastAsia="宋体"/>
                <w:b/>
                <w:color w:val="000000"/>
                <w:szCs w:val="21"/>
                <w:u w:val="none"/>
              </w:rPr>
              <w:t>固体废物产生量及处置情况一览表</w:t>
            </w:r>
            <w:r>
              <w:rPr>
                <w:rFonts w:ascii="Times New Roman" w:hAnsi="Times New Roman" w:eastAsia="宋体"/>
                <w:b/>
                <w:color w:val="000000"/>
                <w:szCs w:val="21"/>
                <w:u w:val="none"/>
              </w:rPr>
              <w:t xml:space="preserve">   </w:t>
            </w:r>
            <w:r>
              <w:rPr>
                <w:rFonts w:hint="eastAsia" w:ascii="Times New Roman" w:hAnsi="Times New Roman" w:eastAsia="宋体"/>
                <w:b/>
                <w:color w:val="000000"/>
                <w:szCs w:val="21"/>
                <w:u w:val="none"/>
              </w:rPr>
              <w:t>单位：</w:t>
            </w:r>
            <w:r>
              <w:rPr>
                <w:rFonts w:ascii="Times New Roman" w:hAnsi="Times New Roman" w:eastAsia="宋体"/>
                <w:b/>
                <w:color w:val="000000"/>
                <w:szCs w:val="21"/>
                <w:u w:val="none"/>
              </w:rPr>
              <w:t>t/a</w:t>
            </w:r>
          </w:p>
          <w:tbl>
            <w:tblPr>
              <w:tblStyle w:val="23"/>
              <w:tblW w:w="4998" w:type="pct"/>
              <w:tblInd w:w="0"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187"/>
              <w:gridCol w:w="1743"/>
              <w:gridCol w:w="1105"/>
              <w:gridCol w:w="1835"/>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670" w:type="pct"/>
                  <w:tcBorders>
                    <w:top w:val="single" w:color="auto" w:sz="12" w:space="0"/>
                    <w:left w:val="nil"/>
                    <w:tl2br w:val="single" w:color="auto" w:sz="4" w:space="0"/>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内容</w:t>
                  </w:r>
                </w:p>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类型</w:t>
                  </w:r>
                </w:p>
              </w:tc>
              <w:tc>
                <w:tcPr>
                  <w:tcW w:w="1378" w:type="pct"/>
                  <w:tcBorders>
                    <w:top w:val="single" w:color="auto" w:sz="12" w:space="0"/>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污染物名称</w:t>
                  </w:r>
                </w:p>
              </w:tc>
              <w:tc>
                <w:tcPr>
                  <w:tcW w:w="1098" w:type="pct"/>
                  <w:tcBorders>
                    <w:top w:val="single" w:color="auto" w:sz="12" w:space="0"/>
                  </w:tcBorders>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废物代码</w:t>
                  </w:r>
                </w:p>
              </w:tc>
              <w:tc>
                <w:tcPr>
                  <w:tcW w:w="696" w:type="pct"/>
                  <w:tcBorders>
                    <w:top w:val="single" w:color="auto" w:sz="12" w:space="0"/>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产生量</w:t>
                  </w:r>
                </w:p>
              </w:tc>
              <w:tc>
                <w:tcPr>
                  <w:tcW w:w="1156" w:type="pct"/>
                  <w:tcBorders>
                    <w:top w:val="single" w:color="auto" w:sz="12" w:space="0"/>
                    <w:right w:val="nil"/>
                  </w:tcBorders>
                  <w:vAlign w:val="center"/>
                </w:tcPr>
                <w:p>
                  <w:pPr>
                    <w:jc w:val="center"/>
                    <w:rPr>
                      <w:rFonts w:ascii="Times New Roman" w:hAnsi="Times New Roman" w:eastAsia="宋体"/>
                      <w:szCs w:val="21"/>
                      <w:highlight w:val="none"/>
                      <w:u w:val="none"/>
                    </w:rPr>
                  </w:pPr>
                  <w:r>
                    <w:rPr>
                      <w:rFonts w:hint="eastAsia" w:ascii="Times New Roman" w:hAnsi="Times New Roman" w:eastAsia="宋体"/>
                      <w:szCs w:val="21"/>
                      <w:highlight w:val="none"/>
                      <w:u w:val="none"/>
                    </w:rPr>
                    <w:t>处置</w:t>
                  </w:r>
                  <w:r>
                    <w:rPr>
                      <w:rFonts w:ascii="Times New Roman" w:hAnsi="Times New Roman" w:eastAsia="宋体"/>
                      <w:szCs w:val="21"/>
                      <w:highlight w:val="none"/>
                      <w:u w:val="none"/>
                    </w:rPr>
                    <w:t>情况</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pct"/>
                  <w:vMerge w:val="restart"/>
                  <w:tcBorders>
                    <w:left w:val="nil"/>
                  </w:tcBorders>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一般固体废物</w:t>
                  </w:r>
                </w:p>
              </w:tc>
              <w:tc>
                <w:tcPr>
                  <w:tcW w:w="1378"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生活垃圾</w:t>
                  </w:r>
                </w:p>
              </w:tc>
              <w:tc>
                <w:tcPr>
                  <w:tcW w:w="1098"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900-999-99</w:t>
                  </w:r>
                </w:p>
              </w:tc>
              <w:tc>
                <w:tcPr>
                  <w:tcW w:w="696" w:type="pct"/>
                  <w:vAlign w:val="center"/>
                </w:tcPr>
                <w:p>
                  <w:pPr>
                    <w:jc w:val="center"/>
                    <w:rPr>
                      <w:rFonts w:hint="default" w:ascii="Times New Roman" w:hAnsi="Times New Roman" w:eastAsia="宋体"/>
                      <w:szCs w:val="21"/>
                      <w:highlight w:val="none"/>
                      <w:u w:val="none"/>
                      <w:lang w:val="en-US" w:eastAsia="zh-CN"/>
                    </w:rPr>
                  </w:pPr>
                  <w:r>
                    <w:rPr>
                      <w:rFonts w:hint="eastAsia"/>
                      <w:szCs w:val="21"/>
                      <w:highlight w:val="none"/>
                      <w:u w:val="none"/>
                      <w:lang w:val="en-US" w:eastAsia="zh-CN"/>
                    </w:rPr>
                    <w:t>3.125</w:t>
                  </w:r>
                </w:p>
              </w:tc>
              <w:tc>
                <w:tcPr>
                  <w:tcW w:w="1156" w:type="pct"/>
                  <w:vMerge w:val="restart"/>
                  <w:tcBorders>
                    <w:right w:val="nil"/>
                  </w:tcBorders>
                  <w:vAlign w:val="center"/>
                </w:tcPr>
                <w:p>
                  <w:pPr>
                    <w:jc w:val="center"/>
                    <w:rPr>
                      <w:rFonts w:hint="default" w:ascii="Times New Roman" w:hAnsi="Times New Roman" w:eastAsia="宋体"/>
                      <w:szCs w:val="21"/>
                      <w:highlight w:val="none"/>
                      <w:u w:val="none"/>
                      <w:lang w:val="en-US" w:eastAsia="zh-CN"/>
                    </w:rPr>
                  </w:pPr>
                  <w:r>
                    <w:rPr>
                      <w:rFonts w:hint="default" w:ascii="Times New Roman" w:hAnsi="Times New Roman" w:eastAsia="宋体"/>
                      <w:szCs w:val="21"/>
                      <w:highlight w:val="none"/>
                      <w:u w:val="none"/>
                      <w:lang w:val="en-US" w:eastAsia="zh-CN"/>
                    </w:rPr>
                    <w:t>环卫部门处理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70" w:type="pct"/>
                  <w:vMerge w:val="continue"/>
                  <w:tcBorders>
                    <w:left w:val="nil"/>
                  </w:tcBorders>
                  <w:vAlign w:val="center"/>
                </w:tcPr>
                <w:p>
                  <w:pPr>
                    <w:jc w:val="center"/>
                    <w:rPr>
                      <w:rFonts w:ascii="Times New Roman" w:hAnsi="Times New Roman" w:eastAsia="宋体"/>
                      <w:szCs w:val="21"/>
                      <w:highlight w:val="none"/>
                      <w:u w:val="none"/>
                    </w:rPr>
                  </w:pPr>
                </w:p>
              </w:tc>
              <w:tc>
                <w:tcPr>
                  <w:tcW w:w="1378"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废离子交换树脂</w:t>
                  </w:r>
                </w:p>
              </w:tc>
              <w:tc>
                <w:tcPr>
                  <w:tcW w:w="1098" w:type="pct"/>
                  <w:vAlign w:val="center"/>
                </w:tcPr>
                <w:p>
                  <w:pPr>
                    <w:jc w:val="center"/>
                    <w:rPr>
                      <w:rFonts w:hint="eastAsia"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900-999-99</w:t>
                  </w:r>
                </w:p>
              </w:tc>
              <w:tc>
                <w:tcPr>
                  <w:tcW w:w="696" w:type="pct"/>
                  <w:vAlign w:val="center"/>
                </w:tcPr>
                <w:p>
                  <w:pPr>
                    <w:jc w:val="center"/>
                    <w:rPr>
                      <w:rFonts w:hint="default" w:ascii="Times New Roman" w:hAnsi="Times New Roman" w:eastAsia="宋体"/>
                      <w:szCs w:val="21"/>
                      <w:highlight w:val="none"/>
                      <w:u w:val="none"/>
                      <w:lang w:val="en-US" w:eastAsia="zh-CN"/>
                    </w:rPr>
                  </w:pPr>
                  <w:r>
                    <w:rPr>
                      <w:rFonts w:hint="eastAsia" w:ascii="Times New Roman" w:hAnsi="Times New Roman" w:eastAsia="宋体"/>
                      <w:szCs w:val="21"/>
                      <w:highlight w:val="none"/>
                      <w:u w:val="none"/>
                      <w:lang w:val="en-US" w:eastAsia="zh-CN"/>
                    </w:rPr>
                    <w:t>0.2</w:t>
                  </w:r>
                </w:p>
              </w:tc>
              <w:tc>
                <w:tcPr>
                  <w:tcW w:w="1156" w:type="pct"/>
                  <w:vMerge w:val="continue"/>
                  <w:tcBorders>
                    <w:right w:val="nil"/>
                  </w:tcBorders>
                  <w:vAlign w:val="center"/>
                </w:tcPr>
                <w:p>
                  <w:pPr>
                    <w:jc w:val="center"/>
                    <w:rPr>
                      <w:rFonts w:hint="default" w:ascii="Times New Roman" w:hAnsi="Times New Roman" w:eastAsia="宋体"/>
                      <w:szCs w:val="21"/>
                      <w:highlight w:val="none"/>
                      <w:u w:val="none"/>
                      <w:lang w:val="en-US" w:eastAsia="zh-CN"/>
                    </w:rPr>
                  </w:pPr>
                </w:p>
              </w:tc>
            </w:tr>
          </w:tbl>
          <w:p>
            <w:pPr>
              <w:snapToGrid w:val="0"/>
              <w:spacing w:line="360" w:lineRule="auto"/>
              <w:rPr>
                <w:rFonts w:ascii="Times New Roman" w:hAnsi="Times New Roman" w:eastAsia="宋体"/>
                <w:sz w:val="24"/>
                <w:szCs w:val="24"/>
                <w:u w:val="none"/>
              </w:rPr>
            </w:pPr>
            <w:r>
              <w:rPr>
                <w:rFonts w:hint="eastAsia" w:ascii="Times New Roman" w:hAnsi="Times New Roman" w:eastAsia="宋体"/>
                <w:b/>
                <w:bCs/>
                <w:sz w:val="24"/>
                <w:szCs w:val="24"/>
                <w:u w:val="none"/>
                <w:lang w:val="en-US" w:eastAsia="zh-CN"/>
              </w:rPr>
              <w:t>一般固体废物贮存要求：</w:t>
            </w:r>
          </w:p>
          <w:p>
            <w:pPr>
              <w:snapToGrid w:val="0"/>
              <w:spacing w:line="360" w:lineRule="auto"/>
              <w:ind w:firstLine="480" w:firstLineChars="200"/>
              <w:rPr>
                <w:rFonts w:ascii="Times New Roman" w:hAnsi="Times New Roman" w:eastAsia="宋体"/>
                <w:sz w:val="24"/>
                <w:szCs w:val="24"/>
                <w:u w:val="none"/>
              </w:rPr>
            </w:pPr>
            <w:r>
              <w:rPr>
                <w:rFonts w:ascii="Times New Roman" w:hAnsi="Times New Roman" w:eastAsia="宋体"/>
                <w:sz w:val="24"/>
                <w:szCs w:val="24"/>
                <w:u w:val="none"/>
              </w:rPr>
              <w:t>根据</w:t>
            </w:r>
            <w:r>
              <w:rPr>
                <w:rFonts w:ascii="Times New Roman" w:hAnsi="Times New Roman" w:eastAsia="宋体"/>
                <w:kern w:val="0"/>
                <w:sz w:val="24"/>
                <w:szCs w:val="24"/>
                <w:u w:val="none"/>
              </w:rPr>
              <w:fldChar w:fldCharType="begin"/>
            </w:r>
            <w:r>
              <w:rPr>
                <w:rFonts w:ascii="Times New Roman" w:hAnsi="Times New Roman" w:eastAsia="宋体"/>
                <w:kern w:val="0"/>
                <w:sz w:val="24"/>
                <w:szCs w:val="24"/>
                <w:u w:val="none"/>
              </w:rPr>
              <w:instrText xml:space="preserve"> HYPERLINK "http://www.mee.gov.cn/ywgz/fgbz/bz/bzwb/gthw/gtfwwrkzbz/202012/W020201218695845325455.pdf" </w:instrText>
            </w:r>
            <w:r>
              <w:rPr>
                <w:rFonts w:ascii="Times New Roman" w:hAnsi="Times New Roman" w:eastAsia="宋体"/>
                <w:kern w:val="0"/>
                <w:sz w:val="24"/>
                <w:szCs w:val="24"/>
                <w:u w:val="none"/>
              </w:rPr>
              <w:fldChar w:fldCharType="separate"/>
            </w:r>
            <w:r>
              <w:rPr>
                <w:rFonts w:ascii="Times New Roman" w:hAnsi="Times New Roman" w:eastAsia="宋体"/>
                <w:kern w:val="0"/>
                <w:sz w:val="24"/>
                <w:szCs w:val="24"/>
                <w:u w:val="none"/>
              </w:rPr>
              <w:t>《一般工业固体废物贮存和填埋污染控制标准（GB18599-2020）</w:t>
            </w:r>
            <w:r>
              <w:rPr>
                <w:rFonts w:ascii="Times New Roman" w:hAnsi="Times New Roman" w:eastAsia="宋体"/>
                <w:kern w:val="0"/>
                <w:sz w:val="24"/>
                <w:szCs w:val="24"/>
                <w:u w:val="none"/>
              </w:rPr>
              <w:fldChar w:fldCharType="end"/>
            </w:r>
            <w:r>
              <w:rPr>
                <w:rFonts w:ascii="Times New Roman" w:hAnsi="Times New Roman" w:eastAsia="宋体"/>
                <w:kern w:val="0"/>
                <w:sz w:val="24"/>
                <w:szCs w:val="24"/>
                <w:u w:val="none"/>
              </w:rPr>
              <w:t>》</w:t>
            </w:r>
            <w:r>
              <w:rPr>
                <w:rFonts w:ascii="Times New Roman" w:hAnsi="Times New Roman" w:eastAsia="宋体"/>
                <w:sz w:val="24"/>
                <w:szCs w:val="24"/>
                <w:u w:val="none"/>
              </w:rPr>
              <w:t>中相关规定进行收集、管理、运输及处置：</w:t>
            </w:r>
          </w:p>
          <w:p>
            <w:pPr>
              <w:adjustRightInd w:val="0"/>
              <w:snapToGrid w:val="0"/>
              <w:spacing w:line="360" w:lineRule="auto"/>
              <w:ind w:firstLine="420"/>
              <w:rPr>
                <w:rFonts w:ascii="Times New Roman" w:hAnsi="Times New Roman" w:eastAsia="宋体"/>
                <w:sz w:val="24"/>
                <w:szCs w:val="32"/>
                <w:u w:val="none"/>
              </w:rPr>
            </w:pPr>
            <w:r>
              <w:rPr>
                <w:rFonts w:hint="eastAsia" w:ascii="Times New Roman" w:hAnsi="Times New Roman" w:eastAsia="宋体" w:cs="宋体"/>
                <w:sz w:val="24"/>
                <w:szCs w:val="32"/>
                <w:u w:val="none"/>
              </w:rPr>
              <w:t>①</w:t>
            </w:r>
            <w:r>
              <w:rPr>
                <w:rFonts w:ascii="Times New Roman" w:hAnsi="Times New Roman" w:eastAsia="宋体"/>
                <w:sz w:val="24"/>
                <w:szCs w:val="32"/>
                <w:u w:val="none"/>
              </w:rPr>
              <w:t>一般工业固体废物贮存、处置场，禁止危险废物和生活垃圾混入。</w:t>
            </w:r>
          </w:p>
          <w:p>
            <w:pPr>
              <w:adjustRightInd w:val="0"/>
              <w:snapToGrid w:val="0"/>
              <w:spacing w:line="360" w:lineRule="auto"/>
              <w:ind w:firstLine="480" w:firstLineChars="200"/>
              <w:rPr>
                <w:rFonts w:ascii="Times New Roman" w:hAnsi="Times New Roman" w:eastAsia="宋体"/>
                <w:sz w:val="24"/>
                <w:szCs w:val="32"/>
                <w:u w:val="none"/>
              </w:rPr>
            </w:pPr>
            <w:r>
              <w:rPr>
                <w:rFonts w:hint="eastAsia" w:ascii="Times New Roman" w:hAnsi="Times New Roman" w:eastAsia="宋体" w:cs="宋体"/>
                <w:sz w:val="24"/>
                <w:szCs w:val="32"/>
                <w:u w:val="none"/>
              </w:rPr>
              <w:t>②</w:t>
            </w:r>
            <w:r>
              <w:rPr>
                <w:rFonts w:ascii="Times New Roman" w:hAnsi="Times New Roman" w:eastAsia="宋体"/>
                <w:sz w:val="24"/>
                <w:szCs w:val="32"/>
                <w:u w:val="none"/>
              </w:rPr>
              <w:t xml:space="preserve">贮存、处置场的使用单位，应建立档案制度。应将入场的一般工业固体废物的种类和数量以及下列资料，详细记录在案，长期保存，供随时查阅。 </w:t>
            </w:r>
          </w:p>
          <w:p>
            <w:pPr>
              <w:adjustRightInd w:val="0"/>
              <w:snapToGrid w:val="0"/>
              <w:spacing w:line="360" w:lineRule="auto"/>
              <w:ind w:firstLine="480" w:firstLineChars="200"/>
              <w:rPr>
                <w:rFonts w:ascii="Times New Roman" w:hAnsi="Times New Roman" w:eastAsia="宋体"/>
                <w:sz w:val="24"/>
                <w:szCs w:val="32"/>
                <w:u w:val="none"/>
              </w:rPr>
            </w:pPr>
            <w:r>
              <w:rPr>
                <w:rFonts w:hint="eastAsia" w:ascii="Times New Roman" w:hAnsi="Times New Roman" w:eastAsia="宋体" w:cs="宋体"/>
                <w:sz w:val="24"/>
                <w:szCs w:val="32"/>
                <w:u w:val="none"/>
              </w:rPr>
              <w:t>③</w:t>
            </w:r>
            <w:r>
              <w:rPr>
                <w:rFonts w:ascii="Times New Roman" w:hAnsi="Times New Roman" w:eastAsia="宋体"/>
                <w:sz w:val="24"/>
                <w:szCs w:val="32"/>
                <w:u w:val="none"/>
              </w:rPr>
              <w:t>贮存场所应加遮盖、防雨淋。</w:t>
            </w:r>
          </w:p>
          <w:p>
            <w:pPr>
              <w:adjustRightInd w:val="0"/>
              <w:snapToGrid w:val="0"/>
              <w:spacing w:line="360" w:lineRule="auto"/>
              <w:ind w:firstLine="480" w:firstLineChars="200"/>
              <w:rPr>
                <w:rFonts w:ascii="Times New Roman" w:hAnsi="Times New Roman" w:eastAsia="宋体"/>
                <w:sz w:val="24"/>
                <w:szCs w:val="32"/>
                <w:u w:val="none"/>
              </w:rPr>
            </w:pPr>
            <w:r>
              <w:rPr>
                <w:rFonts w:hint="eastAsia" w:ascii="Times New Roman" w:hAnsi="Times New Roman" w:eastAsia="宋体" w:cs="宋体"/>
                <w:sz w:val="24"/>
                <w:szCs w:val="32"/>
                <w:u w:val="none"/>
              </w:rPr>
              <w:t>④</w:t>
            </w:r>
            <w:r>
              <w:rPr>
                <w:rFonts w:ascii="Times New Roman" w:hAnsi="Times New Roman" w:eastAsia="宋体"/>
                <w:sz w:val="24"/>
                <w:szCs w:val="32"/>
                <w:u w:val="none"/>
              </w:rPr>
              <w:t xml:space="preserve">对于需要在厂区暂存的一般固体废物，由公司统一布置在一般固体废物暂存场所暂存，并及时外运。一般固体废物暂存场所周边设置围挡、场地硬化。 </w:t>
            </w:r>
          </w:p>
          <w:p>
            <w:pPr>
              <w:spacing w:line="360" w:lineRule="auto"/>
              <w:rPr>
                <w:rFonts w:hint="eastAsia" w:ascii="Times New Roman" w:hAnsi="Times New Roman" w:eastAsia="宋体" w:cs="宋体"/>
                <w:b/>
                <w:color w:val="000000"/>
                <w:sz w:val="24"/>
                <w:szCs w:val="24"/>
              </w:rPr>
            </w:pPr>
            <w:r>
              <w:rPr>
                <w:rFonts w:hint="eastAsia" w:ascii="Times New Roman" w:hAnsi="Times New Roman" w:eastAsia="宋体" w:cs="宋体"/>
                <w:b/>
                <w:color w:val="000000"/>
                <w:sz w:val="24"/>
                <w:szCs w:val="24"/>
              </w:rPr>
              <w:t>五、环境风险</w:t>
            </w:r>
          </w:p>
          <w:p>
            <w:pPr>
              <w:pStyle w:val="52"/>
              <w:ind w:firstLine="482"/>
              <w:rPr>
                <w:rFonts w:hint="eastAsia" w:ascii="Times New Roman" w:hAnsi="Times New Roman" w:eastAsia="宋体" w:cs="宋体"/>
                <w:b/>
                <w:sz w:val="24"/>
                <w:szCs w:val="24"/>
              </w:rPr>
            </w:pPr>
            <w:r>
              <w:rPr>
                <w:rFonts w:hint="eastAsia" w:ascii="Times New Roman" w:hAnsi="Times New Roman" w:eastAsia="宋体" w:cs="宋体"/>
                <w:b/>
                <w:sz w:val="24"/>
                <w:szCs w:val="24"/>
              </w:rPr>
              <w:t>1、评价依据：建设项目风险源调查</w:t>
            </w:r>
          </w:p>
          <w:p>
            <w:pPr>
              <w:pStyle w:val="52"/>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本项目主要原辅材料、燃料、中间产品、副产品、最终产品、污染物、火灾和爆炸伴生/次生物等物质中，涉及到的风险物质有天然气，天然气为无色、无味、无臭的气体，主要成分为甲烷，含量在90%以上，其余为乙烷、丙烷、丁烷等，天然气比空气轻，泄漏后容易散发。涉及的风险物质理化性质详见下表。</w:t>
            </w:r>
          </w:p>
          <w:p>
            <w:pPr>
              <w:pStyle w:val="52"/>
              <w:spacing w:line="240" w:lineRule="auto"/>
              <w:ind w:firstLine="0" w:firstLineChars="0"/>
              <w:jc w:val="center"/>
              <w:rPr>
                <w:rFonts w:hint="eastAsia" w:ascii="Times New Roman" w:hAnsi="Times New Roman" w:eastAsia="宋体" w:cs="宋体"/>
                <w:b/>
                <w:sz w:val="21"/>
                <w:szCs w:val="21"/>
                <w:u w:val="none"/>
              </w:rPr>
            </w:pPr>
            <w:r>
              <w:rPr>
                <w:rFonts w:hint="eastAsia" w:ascii="Times New Roman" w:hAnsi="Times New Roman" w:eastAsia="宋体" w:cs="宋体"/>
                <w:b/>
                <w:sz w:val="21"/>
                <w:szCs w:val="21"/>
                <w:u w:val="none"/>
              </w:rPr>
              <w:t>表</w:t>
            </w:r>
            <w:r>
              <w:rPr>
                <w:rFonts w:hint="eastAsia" w:cs="宋体"/>
                <w:b/>
                <w:sz w:val="21"/>
                <w:szCs w:val="21"/>
                <w:u w:val="none"/>
                <w:lang w:val="en-US" w:eastAsia="zh-CN"/>
              </w:rPr>
              <w:t>4-12</w:t>
            </w:r>
            <w:r>
              <w:rPr>
                <w:rFonts w:hint="eastAsia" w:ascii="Times New Roman" w:hAnsi="Times New Roman" w:eastAsia="宋体" w:cs="宋体"/>
                <w:b/>
                <w:sz w:val="21"/>
                <w:szCs w:val="21"/>
                <w:u w:val="none"/>
              </w:rPr>
              <w:t xml:space="preserve"> 主要成分甲烷理化性质表</w:t>
            </w:r>
          </w:p>
          <w:tbl>
            <w:tblPr>
              <w:tblStyle w:val="2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2040"/>
              <w:gridCol w:w="2039"/>
              <w:gridCol w:w="20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CAS</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74-82-8</w:t>
                  </w:r>
                </w:p>
              </w:tc>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危险性类别</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第2.1类 易燃气体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熔点（℃）</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-182.6</w:t>
                  </w:r>
                </w:p>
              </w:tc>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相对蒸气密度（空气=1）</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爆炸下限</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5</w:t>
                  </w:r>
                </w:p>
              </w:tc>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爆炸上限</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主要用途</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用作燃料</w:t>
                  </w:r>
                </w:p>
              </w:tc>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稳定性</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聚合危害</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不聚合</w:t>
                  </w:r>
                </w:p>
              </w:tc>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禁配物</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强氧化剂、强酸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LD50</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无资料</w:t>
                  </w:r>
                </w:p>
              </w:tc>
              <w:tc>
                <w:tcPr>
                  <w:tcW w:w="2039"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LC50</w:t>
                  </w:r>
                </w:p>
              </w:tc>
              <w:tc>
                <w:tcPr>
                  <w:tcW w:w="2040" w:type="dxa"/>
                  <w:tcBorders>
                    <w:tl2br w:val="nil"/>
                    <w:tr2bl w:val="nil"/>
                  </w:tcBorders>
                  <w:vAlign w:val="center"/>
                </w:tcPr>
                <w:p>
                  <w:pPr>
                    <w:pStyle w:val="52"/>
                    <w:spacing w:line="240" w:lineRule="auto"/>
                    <w:ind w:firstLine="0" w:firstLineChars="0"/>
                    <w:jc w:val="center"/>
                    <w:rPr>
                      <w:rFonts w:hint="eastAsia" w:ascii="Times New Roman" w:hAnsi="Times New Roman" w:eastAsia="宋体" w:cs="宋体"/>
                      <w:sz w:val="21"/>
                      <w:szCs w:val="21"/>
                      <w:u w:val="none"/>
                    </w:rPr>
                  </w:pPr>
                  <w:r>
                    <w:rPr>
                      <w:rFonts w:hint="eastAsia" w:ascii="Times New Roman" w:hAnsi="Times New Roman" w:eastAsia="宋体" w:cs="宋体"/>
                      <w:sz w:val="21"/>
                      <w:szCs w:val="21"/>
                      <w:u w:val="none"/>
                    </w:rPr>
                    <w:t>小鼠吸入：50pph/2h</w:t>
                  </w:r>
                </w:p>
              </w:tc>
            </w:tr>
          </w:tbl>
          <w:p>
            <w:pPr>
              <w:pStyle w:val="52"/>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根据《建设项目环境风险评价技术导则》（HJ169-2018）附录B，判断甲烷属于危险物质，临界量为10t。</w:t>
            </w:r>
          </w:p>
          <w:p>
            <w:pPr>
              <w:pStyle w:val="52"/>
              <w:ind w:left="0" w:leftChars="0" w:firstLine="480" w:firstLineChars="20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本项目不生产、贮存天然气，厂区内无天然气贮存场所，风险主要为天然气输送和燃气</w:t>
            </w:r>
            <w:r>
              <w:rPr>
                <w:rFonts w:hint="eastAsia" w:ascii="Times New Roman" w:hAnsi="Times New Roman" w:eastAsia="宋体" w:cs="宋体"/>
                <w:sz w:val="24"/>
                <w:szCs w:val="24"/>
                <w:u w:val="none"/>
                <w:lang w:val="en-US" w:eastAsia="zh-CN"/>
              </w:rPr>
              <w:t>热水</w:t>
            </w:r>
            <w:r>
              <w:rPr>
                <w:rFonts w:hint="eastAsia" w:ascii="Times New Roman" w:hAnsi="Times New Roman" w:eastAsia="宋体" w:cs="宋体"/>
                <w:sz w:val="24"/>
                <w:szCs w:val="24"/>
                <w:u w:val="none"/>
              </w:rPr>
              <w:t>锅炉使用过程中泄漏和爆炸风险。项目燃气管线长度</w:t>
            </w:r>
            <w:r>
              <w:rPr>
                <w:rFonts w:hint="eastAsia" w:ascii="Times New Roman" w:hAnsi="Times New Roman" w:eastAsia="宋体" w:cs="宋体"/>
                <w:sz w:val="24"/>
                <w:szCs w:val="24"/>
                <w:u w:val="none"/>
                <w:lang w:val="en-US" w:eastAsia="zh-CN"/>
              </w:rPr>
              <w:t>约</w:t>
            </w:r>
            <w:r>
              <w:rPr>
                <w:rFonts w:hint="eastAsia" w:ascii="Times New Roman" w:hAnsi="Times New Roman" w:eastAsia="宋体" w:cs="宋体"/>
                <w:sz w:val="24"/>
                <w:szCs w:val="24"/>
                <w:u w:val="none"/>
              </w:rPr>
              <w:t>90m，管道直径为DN350，管道内天然气量约为86.4m</w:t>
            </w:r>
            <w:r>
              <w:rPr>
                <w:rFonts w:hint="eastAsia" w:ascii="Times New Roman" w:hAnsi="Times New Roman" w:eastAsia="宋体" w:cs="宋体"/>
                <w:sz w:val="24"/>
                <w:szCs w:val="24"/>
                <w:u w:val="none"/>
                <w:vertAlign w:val="superscript"/>
              </w:rPr>
              <w:t>3</w:t>
            </w:r>
            <w:r>
              <w:rPr>
                <w:rFonts w:hint="eastAsia" w:ascii="Times New Roman" w:hAnsi="Times New Roman" w:eastAsia="宋体" w:cs="宋体"/>
                <w:sz w:val="24"/>
                <w:szCs w:val="24"/>
                <w:u w:val="none"/>
              </w:rPr>
              <w:t>，约为0.061t。</w:t>
            </w:r>
          </w:p>
          <w:p>
            <w:pPr>
              <w:pStyle w:val="52"/>
              <w:ind w:firstLine="482"/>
              <w:rPr>
                <w:rFonts w:hint="eastAsia" w:ascii="Times New Roman" w:hAnsi="Times New Roman" w:eastAsia="宋体" w:cs="宋体"/>
                <w:b/>
                <w:sz w:val="24"/>
                <w:szCs w:val="24"/>
                <w:u w:val="none"/>
              </w:rPr>
            </w:pPr>
            <w:r>
              <w:rPr>
                <w:rFonts w:hint="eastAsia" w:ascii="Times New Roman" w:hAnsi="Times New Roman" w:eastAsia="宋体" w:cs="宋体"/>
                <w:b/>
                <w:sz w:val="24"/>
                <w:szCs w:val="24"/>
                <w:u w:val="none"/>
              </w:rPr>
              <w:t>2、环境风险分析</w:t>
            </w:r>
          </w:p>
          <w:p>
            <w:pPr>
              <w:pStyle w:val="52"/>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计算所涉及的每种危险物质在厂界内的最大存在总量与其在附录B中对应临界量的比值Q。</w:t>
            </w:r>
          </w:p>
          <w:p>
            <w:pPr>
              <w:pStyle w:val="52"/>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当只涉及一种危险物质时，计算该物质的总量与其临界量比值，即为Q。本项目危险物质仅为天然气，该物质总量为0.0</w:t>
            </w:r>
            <w:r>
              <w:rPr>
                <w:rFonts w:hint="eastAsia" w:ascii="Times New Roman" w:hAnsi="Times New Roman" w:eastAsia="宋体" w:cs="宋体"/>
                <w:sz w:val="24"/>
                <w:szCs w:val="24"/>
                <w:u w:val="none"/>
                <w:lang w:val="en-US" w:eastAsia="zh-CN"/>
              </w:rPr>
              <w:t>61</w:t>
            </w:r>
            <w:r>
              <w:rPr>
                <w:rFonts w:hint="eastAsia" w:ascii="Times New Roman" w:hAnsi="Times New Roman" w:eastAsia="宋体" w:cs="宋体"/>
                <w:sz w:val="24"/>
                <w:szCs w:val="24"/>
                <w:u w:val="none"/>
              </w:rPr>
              <w:t>t，经计算Q=0.0</w:t>
            </w:r>
            <w:r>
              <w:rPr>
                <w:rFonts w:hint="eastAsia" w:ascii="Times New Roman" w:hAnsi="Times New Roman" w:eastAsia="宋体" w:cs="宋体"/>
                <w:sz w:val="24"/>
                <w:szCs w:val="24"/>
                <w:u w:val="none"/>
                <w:lang w:val="en-US" w:eastAsia="zh-CN"/>
              </w:rPr>
              <w:t>61</w:t>
            </w:r>
            <w:r>
              <w:rPr>
                <w:rFonts w:hint="eastAsia" w:ascii="Times New Roman" w:hAnsi="Times New Roman" w:eastAsia="宋体" w:cs="宋体"/>
                <w:sz w:val="24"/>
                <w:szCs w:val="24"/>
                <w:u w:val="none"/>
              </w:rPr>
              <w:t>/10=0.00</w:t>
            </w:r>
            <w:r>
              <w:rPr>
                <w:rFonts w:hint="eastAsia" w:ascii="Times New Roman" w:hAnsi="Times New Roman" w:eastAsia="宋体" w:cs="宋体"/>
                <w:sz w:val="24"/>
                <w:szCs w:val="24"/>
                <w:u w:val="none"/>
                <w:lang w:val="en-US" w:eastAsia="zh-CN"/>
              </w:rPr>
              <w:t>61</w:t>
            </w:r>
            <w:r>
              <w:rPr>
                <w:rFonts w:hint="eastAsia" w:ascii="Times New Roman" w:hAnsi="Times New Roman" w:eastAsia="宋体" w:cs="宋体"/>
                <w:sz w:val="24"/>
                <w:szCs w:val="24"/>
                <w:u w:val="none"/>
              </w:rPr>
              <w:t>。</w:t>
            </w:r>
          </w:p>
          <w:p>
            <w:pPr>
              <w:pStyle w:val="52"/>
              <w:ind w:firstLine="480"/>
              <w:rPr>
                <w:rFonts w:hint="eastAsia" w:ascii="Times New Roman" w:hAnsi="Times New Roman" w:eastAsia="宋体" w:cs="宋体"/>
                <w:sz w:val="24"/>
                <w:szCs w:val="24"/>
                <w:u w:val="none"/>
              </w:rPr>
            </w:pPr>
            <w:r>
              <w:rPr>
                <w:rFonts w:hint="eastAsia" w:ascii="Times New Roman" w:hAnsi="Times New Roman" w:eastAsia="宋体" w:cs="宋体"/>
                <w:sz w:val="24"/>
                <w:szCs w:val="24"/>
                <w:u w:val="none"/>
              </w:rPr>
              <w:t>根据《建设项目环境风险评价技术导则》（HJ169-2018）附录C，当Q&lt;1时，该项目环境风险浅势为Ⅰ，仅开展简单分析。</w:t>
            </w:r>
          </w:p>
          <w:p>
            <w:pPr>
              <w:pStyle w:val="52"/>
              <w:ind w:firstLine="482"/>
              <w:rPr>
                <w:rFonts w:hint="eastAsia" w:ascii="Times New Roman" w:hAnsi="Times New Roman" w:eastAsia="宋体" w:cs="宋体"/>
                <w:b/>
                <w:sz w:val="24"/>
                <w:szCs w:val="24"/>
                <w:u w:val="none"/>
              </w:rPr>
            </w:pPr>
            <w:r>
              <w:rPr>
                <w:rFonts w:hint="eastAsia" w:ascii="Times New Roman" w:hAnsi="Times New Roman" w:eastAsia="宋体" w:cs="宋体"/>
                <w:b/>
                <w:sz w:val="24"/>
                <w:szCs w:val="24"/>
                <w:u w:val="none"/>
              </w:rPr>
              <w:t>3、评价结论与建议</w:t>
            </w:r>
          </w:p>
          <w:p>
            <w:pPr>
              <w:pStyle w:val="63"/>
              <w:ind w:firstLine="480"/>
              <w:rPr>
                <w:rFonts w:hint="eastAsia" w:ascii="Times New Roman" w:hAnsi="Times New Roman" w:eastAsia="宋体" w:cs="宋体"/>
                <w:b/>
                <w:sz w:val="24"/>
                <w:szCs w:val="24"/>
                <w:u w:val="none"/>
              </w:rPr>
            </w:pPr>
            <w:r>
              <w:rPr>
                <w:rFonts w:hint="eastAsia" w:ascii="Times New Roman" w:hAnsi="Times New Roman" w:eastAsia="宋体" w:cs="宋体"/>
                <w:sz w:val="24"/>
                <w:szCs w:val="24"/>
                <w:u w:val="none"/>
              </w:rPr>
              <w:t>建设项目环境风险简单分析内容表详见下表。</w:t>
            </w:r>
          </w:p>
          <w:p>
            <w:pPr>
              <w:pStyle w:val="52"/>
              <w:spacing w:line="240" w:lineRule="auto"/>
              <w:ind w:firstLine="0" w:firstLineChars="0"/>
              <w:jc w:val="center"/>
              <w:rPr>
                <w:rFonts w:hint="eastAsia" w:ascii="Times New Roman" w:hAnsi="Times New Roman" w:eastAsia="宋体" w:cs="宋体"/>
                <w:b/>
                <w:sz w:val="21"/>
                <w:szCs w:val="21"/>
                <w:u w:val="none"/>
              </w:rPr>
            </w:pPr>
            <w:r>
              <w:rPr>
                <w:rFonts w:hint="eastAsia" w:ascii="Times New Roman" w:hAnsi="Times New Roman" w:eastAsia="宋体" w:cs="宋体"/>
                <w:b/>
                <w:sz w:val="21"/>
                <w:szCs w:val="21"/>
                <w:u w:val="none"/>
              </w:rPr>
              <w:t>表</w:t>
            </w:r>
            <w:r>
              <w:rPr>
                <w:rFonts w:hint="eastAsia" w:cs="宋体"/>
                <w:b/>
                <w:sz w:val="21"/>
                <w:szCs w:val="21"/>
                <w:u w:val="none"/>
                <w:lang w:val="en-US" w:eastAsia="zh-CN"/>
              </w:rPr>
              <w:t>4-13</w:t>
            </w:r>
            <w:r>
              <w:rPr>
                <w:rFonts w:hint="eastAsia" w:ascii="Times New Roman" w:hAnsi="Times New Roman" w:eastAsia="宋体" w:cs="宋体"/>
                <w:b/>
                <w:sz w:val="21"/>
                <w:szCs w:val="21"/>
                <w:u w:val="none"/>
                <w:lang w:val="en-US" w:eastAsia="zh-CN"/>
              </w:rPr>
              <w:t xml:space="preserve"> </w:t>
            </w:r>
            <w:r>
              <w:rPr>
                <w:rFonts w:hint="eastAsia" w:ascii="Times New Roman" w:hAnsi="Times New Roman" w:eastAsia="宋体" w:cs="宋体"/>
                <w:b/>
                <w:sz w:val="21"/>
                <w:szCs w:val="21"/>
                <w:u w:val="none"/>
              </w:rPr>
              <w:t xml:space="preserve"> 建设项目环境风险简单分析内容表</w:t>
            </w:r>
          </w:p>
          <w:tbl>
            <w:tblPr>
              <w:tblStyle w:val="24"/>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1762"/>
              <w:gridCol w:w="1314"/>
              <w:gridCol w:w="1314"/>
              <w:gridCol w:w="13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建设项目名称</w:t>
                  </w:r>
                </w:p>
              </w:tc>
              <w:tc>
                <w:tcPr>
                  <w:tcW w:w="3593" w:type="pct"/>
                  <w:gridSpan w:val="4"/>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lang w:eastAsia="zh-CN"/>
                    </w:rPr>
                  </w:pPr>
                  <w:r>
                    <w:rPr>
                      <w:rFonts w:hint="eastAsia"/>
                      <w:color w:val="auto"/>
                      <w:sz w:val="21"/>
                      <w:szCs w:val="21"/>
                      <w:lang w:val="en-US" w:eastAsia="zh-CN"/>
                    </w:rPr>
                    <w:t>吉林省安华消防科技有限公司年产3000台套新型智能消防设备及各类气凝胶灭火器项目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建设地点</w:t>
                  </w:r>
                </w:p>
              </w:tc>
              <w:tc>
                <w:tcPr>
                  <w:tcW w:w="3593" w:type="pct"/>
                  <w:gridSpan w:val="4"/>
                  <w:vAlign w:val="center"/>
                </w:tcPr>
                <w:p>
                  <w:pPr>
                    <w:pStyle w:val="52"/>
                    <w:spacing w:line="240" w:lineRule="auto"/>
                    <w:ind w:firstLine="0" w:firstLineChars="0"/>
                    <w:jc w:val="center"/>
                    <w:rPr>
                      <w:rFonts w:hint="default" w:ascii="Times New Roman" w:hAnsi="Times New Roman" w:eastAsia="宋体" w:cs="宋体"/>
                      <w:color w:val="auto"/>
                      <w:sz w:val="21"/>
                      <w:szCs w:val="21"/>
                      <w:u w:val="none"/>
                      <w:lang w:val="en-US" w:eastAsia="zh-CN"/>
                    </w:rPr>
                  </w:pPr>
                  <w:r>
                    <w:rPr>
                      <w:rFonts w:hint="eastAsia" w:cs="宋体"/>
                      <w:color w:val="auto"/>
                      <w:sz w:val="21"/>
                      <w:szCs w:val="21"/>
                      <w:u w:val="none"/>
                      <w:lang w:eastAsia="zh-CN"/>
                    </w:rPr>
                    <w:t>吉林</w:t>
                  </w:r>
                  <w:r>
                    <w:rPr>
                      <w:rFonts w:hint="eastAsia" w:cs="宋体"/>
                      <w:color w:val="auto"/>
                      <w:sz w:val="21"/>
                      <w:szCs w:val="21"/>
                      <w:u w:val="none"/>
                      <w:lang w:val="en-US" w:eastAsia="zh-CN"/>
                    </w:rPr>
                    <w:t>省</w:t>
                  </w:r>
                  <w:r>
                    <w:rPr>
                      <w:rFonts w:hint="eastAsia" w:cs="宋体"/>
                      <w:color w:val="auto"/>
                      <w:sz w:val="21"/>
                      <w:szCs w:val="21"/>
                      <w:u w:val="none"/>
                      <w:lang w:eastAsia="zh-CN"/>
                    </w:rPr>
                    <w:t>长春市北湖科技开发区</w:t>
                  </w:r>
                  <w:r>
                    <w:rPr>
                      <w:rFonts w:hint="eastAsia" w:cs="宋体"/>
                      <w:color w:val="auto"/>
                      <w:sz w:val="21"/>
                      <w:szCs w:val="21"/>
                      <w:u w:val="none"/>
                      <w:lang w:val="en-US" w:eastAsia="zh-CN"/>
                    </w:rPr>
                    <w:t>科智路以北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地理坐标</w:t>
                  </w:r>
                </w:p>
              </w:tc>
              <w:tc>
                <w:tcPr>
                  <w:tcW w:w="1109"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经度</w:t>
                  </w:r>
                </w:p>
              </w:tc>
              <w:tc>
                <w:tcPr>
                  <w:tcW w:w="827" w:type="pct"/>
                  <w:vAlign w:val="center"/>
                </w:tcPr>
                <w:p>
                  <w:pPr>
                    <w:pStyle w:val="52"/>
                    <w:spacing w:line="240" w:lineRule="auto"/>
                    <w:ind w:firstLine="0" w:firstLineChars="0"/>
                    <w:jc w:val="center"/>
                    <w:rPr>
                      <w:rFonts w:hint="default" w:ascii="Times New Roman" w:hAnsi="Times New Roman" w:eastAsia="宋体" w:cs="宋体"/>
                      <w:color w:val="auto"/>
                      <w:sz w:val="21"/>
                      <w:szCs w:val="21"/>
                      <w:u w:val="none"/>
                      <w:lang w:val="en-US" w:eastAsia="zh-CN"/>
                    </w:rPr>
                  </w:pPr>
                  <w:r>
                    <w:rPr>
                      <w:rFonts w:hint="eastAsia" w:ascii="Times New Roman" w:hAnsi="Times New Roman" w:eastAsia="宋体" w:cs="宋体"/>
                      <w:color w:val="auto"/>
                      <w:sz w:val="21"/>
                      <w:szCs w:val="21"/>
                      <w:u w:val="none"/>
                      <w:lang w:val="en-US" w:eastAsia="zh-CN"/>
                    </w:rPr>
                    <w:t>125.3849</w:t>
                  </w:r>
                </w:p>
              </w:tc>
              <w:tc>
                <w:tcPr>
                  <w:tcW w:w="82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维度</w:t>
                  </w:r>
                </w:p>
              </w:tc>
              <w:tc>
                <w:tcPr>
                  <w:tcW w:w="830" w:type="pct"/>
                  <w:vAlign w:val="center"/>
                </w:tcPr>
                <w:p>
                  <w:pPr>
                    <w:pStyle w:val="52"/>
                    <w:spacing w:line="240" w:lineRule="auto"/>
                    <w:ind w:firstLine="0" w:firstLineChars="0"/>
                    <w:jc w:val="center"/>
                    <w:rPr>
                      <w:rFonts w:hint="default" w:ascii="Times New Roman" w:hAnsi="Times New Roman" w:eastAsia="宋体" w:cs="宋体"/>
                      <w:color w:val="auto"/>
                      <w:sz w:val="21"/>
                      <w:szCs w:val="21"/>
                      <w:u w:val="none"/>
                      <w:lang w:val="en-US" w:eastAsia="zh-CN"/>
                    </w:rPr>
                  </w:pPr>
                  <w:r>
                    <w:rPr>
                      <w:rFonts w:hint="eastAsia" w:ascii="Times New Roman" w:hAnsi="Times New Roman" w:eastAsia="宋体" w:cs="宋体"/>
                      <w:color w:val="auto"/>
                      <w:sz w:val="21"/>
                      <w:szCs w:val="21"/>
                      <w:u w:val="none"/>
                      <w:lang w:val="en-US" w:eastAsia="zh-CN"/>
                    </w:rPr>
                    <w:t>44.0266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主要危险物质及分布</w:t>
                  </w:r>
                </w:p>
              </w:tc>
              <w:tc>
                <w:tcPr>
                  <w:tcW w:w="3593" w:type="pct"/>
                  <w:gridSpan w:val="4"/>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天然气；天然气输送管道内。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环境影响途径及危害后果</w:t>
                  </w:r>
                </w:p>
              </w:tc>
              <w:tc>
                <w:tcPr>
                  <w:tcW w:w="3593" w:type="pct"/>
                  <w:gridSpan w:val="4"/>
                  <w:vAlign w:val="center"/>
                </w:tcPr>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1、大气：本厂天然气管道发生泄漏、火险事故，在设定的条件下（D稳定度，年均风速），挥发的CO气体对周围大气环境将造成明显影响。</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2、地表水：本厂天然气发生泄漏易发生火险事故，事故状态对地表水的影响包括产生的消防废水对附近的地表水环境造成影响。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风险防范措施要求</w:t>
                  </w:r>
                </w:p>
              </w:tc>
              <w:tc>
                <w:tcPr>
                  <w:tcW w:w="3593" w:type="pct"/>
                  <w:gridSpan w:val="4"/>
                  <w:vAlign w:val="center"/>
                </w:tcPr>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1、对输气管道和锅炉房设备做好</w:t>
                  </w:r>
                  <w:r>
                    <w:rPr>
                      <w:rFonts w:hint="eastAsia" w:ascii="Times New Roman" w:hAnsi="Times New Roman" w:eastAsia="宋体" w:cs="宋体"/>
                      <w:color w:val="auto"/>
                      <w:sz w:val="21"/>
                      <w:szCs w:val="21"/>
                      <w:u w:val="none"/>
                      <w:lang w:val="en-US" w:eastAsia="zh-CN"/>
                    </w:rPr>
                    <w:t>防渗</w:t>
                  </w:r>
                  <w:r>
                    <w:rPr>
                      <w:rFonts w:hint="eastAsia" w:ascii="Times New Roman" w:hAnsi="Times New Roman" w:eastAsia="宋体" w:cs="宋体"/>
                      <w:color w:val="auto"/>
                      <w:sz w:val="21"/>
                      <w:szCs w:val="21"/>
                      <w:u w:val="none"/>
                    </w:rPr>
                    <w:t>工作，严格按照规范进行日常维修，定期对管线腐蚀程度进行监测和检漏。</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2、区域要有禁火标志和防火防爆技术措施，禁止使用易产生火花的机械和工作。</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3、企业应重视安全防火工作，成立以主要领导为首的安全防火组织，在上级消防安全部门的监督下开展工作。</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4、对企业内消防设施要定期进行检查维护，设立对外直通电话，发现异常立即报警。</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5、建立健全各项规章制度，加强日常对职工的安全培训工作，制定严密的管理制度，强化环境管理。</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6、加强职工技能培训和安全教育，提高风险防范意识，定期进行模拟事故演习，定期组织安全技术考试考核。</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7、严格遵守国家和行业安全管理的有关规定，接受上级有关部门的安全监督检车，发现问题应立即整改。</w:t>
                  </w:r>
                </w:p>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8、定期进行消防演习，制订紧急状态下的事故应急预案。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07" w:type="pct"/>
                  <w:vAlign w:val="center"/>
                </w:tcPr>
                <w:p>
                  <w:pPr>
                    <w:pStyle w:val="52"/>
                    <w:spacing w:line="240" w:lineRule="auto"/>
                    <w:ind w:firstLine="0" w:firstLineChars="0"/>
                    <w:jc w:val="center"/>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填表说明</w:t>
                  </w:r>
                </w:p>
              </w:tc>
              <w:tc>
                <w:tcPr>
                  <w:tcW w:w="3593" w:type="pct"/>
                  <w:gridSpan w:val="4"/>
                  <w:vAlign w:val="center"/>
                </w:tcPr>
                <w:p>
                  <w:pPr>
                    <w:pStyle w:val="52"/>
                    <w:spacing w:line="240" w:lineRule="auto"/>
                    <w:ind w:firstLine="0" w:firstLineChars="0"/>
                    <w:rPr>
                      <w:rFonts w:hint="eastAsia" w:ascii="Times New Roman" w:hAnsi="Times New Roman" w:eastAsia="宋体" w:cs="宋体"/>
                      <w:color w:val="auto"/>
                      <w:sz w:val="21"/>
                      <w:szCs w:val="21"/>
                      <w:u w:val="none"/>
                    </w:rPr>
                  </w:pPr>
                  <w:r>
                    <w:rPr>
                      <w:rFonts w:hint="eastAsia" w:ascii="Times New Roman" w:hAnsi="Times New Roman" w:eastAsia="宋体" w:cs="宋体"/>
                      <w:color w:val="auto"/>
                      <w:sz w:val="21"/>
                      <w:szCs w:val="21"/>
                      <w:u w:val="none"/>
                    </w:rPr>
                    <w:t>本项目不生产、贮存天然气，厂区内无天然气贮存场所，风险主要为天然气输送和燃气</w:t>
                  </w:r>
                  <w:r>
                    <w:rPr>
                      <w:rFonts w:hint="eastAsia" w:ascii="Times New Roman" w:hAnsi="Times New Roman" w:eastAsia="宋体" w:cs="宋体"/>
                      <w:color w:val="auto"/>
                      <w:sz w:val="21"/>
                      <w:szCs w:val="21"/>
                      <w:u w:val="none"/>
                      <w:lang w:val="en-US" w:eastAsia="zh-CN"/>
                    </w:rPr>
                    <w:t>热水</w:t>
                  </w:r>
                  <w:r>
                    <w:rPr>
                      <w:rFonts w:hint="eastAsia" w:ascii="Times New Roman" w:hAnsi="Times New Roman" w:eastAsia="宋体" w:cs="宋体"/>
                      <w:color w:val="auto"/>
                      <w:sz w:val="21"/>
                      <w:szCs w:val="21"/>
                      <w:u w:val="none"/>
                    </w:rPr>
                    <w:t>锅炉使用过程中泄漏和爆炸风险，约为0.0</w:t>
                  </w:r>
                  <w:r>
                    <w:rPr>
                      <w:rFonts w:hint="eastAsia" w:ascii="Times New Roman" w:hAnsi="Times New Roman" w:eastAsia="宋体" w:cs="宋体"/>
                      <w:color w:val="auto"/>
                      <w:sz w:val="21"/>
                      <w:szCs w:val="21"/>
                      <w:u w:val="none"/>
                      <w:lang w:val="en-US" w:eastAsia="zh-CN"/>
                    </w:rPr>
                    <w:t>61</w:t>
                  </w:r>
                  <w:r>
                    <w:rPr>
                      <w:rFonts w:hint="eastAsia" w:ascii="Times New Roman" w:hAnsi="Times New Roman" w:eastAsia="宋体" w:cs="宋体"/>
                      <w:color w:val="auto"/>
                      <w:sz w:val="21"/>
                      <w:szCs w:val="21"/>
                      <w:u w:val="none"/>
                    </w:rPr>
                    <w:t>t。根据《建设项目环境风险评价技术导则》（HJ169-2018）附录B，判断甲烷属于危险物质，临界量为10t。计算该物质的总量与其临界量比值Q=0.0</w:t>
                  </w:r>
                  <w:r>
                    <w:rPr>
                      <w:rFonts w:hint="eastAsia" w:ascii="Times New Roman" w:hAnsi="Times New Roman" w:eastAsia="宋体" w:cs="宋体"/>
                      <w:color w:val="auto"/>
                      <w:sz w:val="21"/>
                      <w:szCs w:val="21"/>
                      <w:u w:val="none"/>
                      <w:lang w:val="en-US" w:eastAsia="zh-CN"/>
                    </w:rPr>
                    <w:t>61</w:t>
                  </w:r>
                  <w:r>
                    <w:rPr>
                      <w:rFonts w:hint="eastAsia" w:ascii="Times New Roman" w:hAnsi="Times New Roman" w:eastAsia="宋体" w:cs="宋体"/>
                      <w:color w:val="auto"/>
                      <w:sz w:val="21"/>
                      <w:szCs w:val="21"/>
                      <w:u w:val="none"/>
                    </w:rPr>
                    <w:t>/10=0.00</w:t>
                  </w:r>
                  <w:r>
                    <w:rPr>
                      <w:rFonts w:hint="eastAsia" w:ascii="Times New Roman" w:hAnsi="Times New Roman" w:eastAsia="宋体" w:cs="宋体"/>
                      <w:color w:val="auto"/>
                      <w:sz w:val="21"/>
                      <w:szCs w:val="21"/>
                      <w:u w:val="none"/>
                      <w:lang w:val="en-US" w:eastAsia="zh-CN"/>
                    </w:rPr>
                    <w:t>61</w:t>
                  </w:r>
                  <w:r>
                    <w:rPr>
                      <w:rFonts w:hint="eastAsia" w:ascii="Times New Roman" w:hAnsi="Times New Roman" w:eastAsia="宋体" w:cs="宋体"/>
                      <w:color w:val="auto"/>
                      <w:sz w:val="21"/>
                      <w:szCs w:val="21"/>
                      <w:u w:val="none"/>
                    </w:rPr>
                    <w:t>，环境风险浅势为Ⅰ。</w:t>
                  </w:r>
                </w:p>
              </w:tc>
            </w:tr>
          </w:tbl>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pStyle w:val="63"/>
              <w:ind w:firstLine="480"/>
              <w:rPr>
                <w:rFonts w:hint="eastAsia" w:ascii="Times New Roman" w:hAnsi="Times New Roman" w:eastAsia="宋体" w:cs="宋体"/>
                <w:sz w:val="24"/>
                <w:szCs w:val="24"/>
                <w:u w:val="none"/>
              </w:rPr>
            </w:pPr>
          </w:p>
          <w:p>
            <w:pPr>
              <w:adjustRightInd w:val="0"/>
              <w:snapToGrid w:val="0"/>
              <w:spacing w:line="360" w:lineRule="auto"/>
              <w:rPr>
                <w:rFonts w:hint="default" w:ascii="Times New Roman" w:hAnsi="Times New Roman" w:eastAsia="宋体"/>
                <w:bCs/>
                <w:spacing w:val="-10"/>
                <w:szCs w:val="21"/>
                <w:lang w:val="en-US" w:eastAsia="zh-CN"/>
              </w:rPr>
            </w:pPr>
          </w:p>
        </w:tc>
      </w:tr>
    </w:tbl>
    <w:p>
      <w:pPr>
        <w:adjustRightInd w:val="0"/>
        <w:snapToGrid w:val="0"/>
        <w:spacing w:line="360" w:lineRule="auto"/>
        <w:rPr>
          <w:rFonts w:ascii="Times New Roman" w:hAnsi="Times New Roman" w:eastAsia="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jc w:val="center"/>
        <w:outlineLvl w:val="0"/>
        <w:rPr>
          <w:rFonts w:ascii="Times New Roman" w:hAnsi="Times New Roman" w:eastAsia="宋体"/>
          <w:snapToGrid w:val="0"/>
          <w:sz w:val="30"/>
          <w:szCs w:val="30"/>
        </w:rPr>
      </w:pPr>
      <w:r>
        <w:rPr>
          <w:rFonts w:ascii="Times New Roman" w:hAnsi="Times New Roman" w:eastAsia="宋体"/>
          <w:snapToGrid w:val="0"/>
          <w:sz w:val="30"/>
          <w:szCs w:val="30"/>
        </w:rPr>
        <w:t>五、</w:t>
      </w:r>
      <w:bookmarkStart w:id="4" w:name="_Hlk54167917"/>
      <w:r>
        <w:rPr>
          <w:rFonts w:ascii="Times New Roman" w:hAnsi="Times New Roman" w:eastAsia="宋体"/>
          <w:snapToGrid w:val="0"/>
          <w:sz w:val="30"/>
          <w:szCs w:val="30"/>
        </w:rPr>
        <w:t>环境保护措施监督检查清单</w:t>
      </w:r>
      <w:bookmarkEnd w:id="4"/>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1755"/>
        <w:gridCol w:w="1548"/>
        <w:gridCol w:w="1146"/>
        <w:gridCol w:w="25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pPr>
              <w:adjustRightInd w:val="0"/>
              <w:snapToGrid w:val="0"/>
              <w:ind w:firstLine="840"/>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内容</w:t>
            </w:r>
          </w:p>
          <w:p>
            <w:pPr>
              <w:adjustRightInd w:val="0"/>
              <w:snapToGrid w:val="0"/>
              <w:rPr>
                <w:rFonts w:ascii="Times New Roman" w:hAnsi="Times New Roman" w:eastAsia="宋体"/>
                <w:i w:val="0"/>
                <w:iCs w:val="0"/>
                <w:sz w:val="21"/>
                <w:szCs w:val="21"/>
                <w:u w:val="none"/>
              </w:rPr>
            </w:pPr>
            <w:r>
              <w:rPr>
                <w:rFonts w:ascii="Times New Roman" w:hAnsi="Times New Roman" w:eastAsia="宋体"/>
                <w:i w:val="0"/>
                <w:iCs w:val="0"/>
                <w:sz w:val="21"/>
                <w:szCs w:val="21"/>
                <w:u w:val="none"/>
              </w:rPr>
              <w:t>要素</w:t>
            </w:r>
          </w:p>
        </w:tc>
        <w:tc>
          <w:tcPr>
            <w:tcW w:w="1755"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排放口(编号、</w:t>
            </w:r>
          </w:p>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名称)/污染源</w:t>
            </w:r>
          </w:p>
        </w:tc>
        <w:tc>
          <w:tcPr>
            <w:tcW w:w="154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污染物项目</w:t>
            </w:r>
          </w:p>
        </w:tc>
        <w:tc>
          <w:tcPr>
            <w:tcW w:w="1146"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环境保护措施</w:t>
            </w:r>
          </w:p>
        </w:tc>
        <w:tc>
          <w:tcPr>
            <w:tcW w:w="2573"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大气环境</w:t>
            </w:r>
          </w:p>
        </w:tc>
        <w:tc>
          <w:tcPr>
            <w:tcW w:w="1755" w:type="dxa"/>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rPr>
              <w:t>DA001</w:t>
            </w:r>
            <w:r>
              <w:rPr>
                <w:rFonts w:hint="eastAsia"/>
                <w:i w:val="0"/>
                <w:iCs w:val="0"/>
                <w:sz w:val="21"/>
                <w:szCs w:val="21"/>
                <w:u w:val="none"/>
                <w:lang w:val="en-US" w:eastAsia="zh-CN"/>
              </w:rPr>
              <w:t>燃气锅炉烟囱</w:t>
            </w:r>
            <w:bookmarkStart w:id="5" w:name="_GoBack"/>
            <w:bookmarkEnd w:id="5"/>
          </w:p>
        </w:tc>
        <w:tc>
          <w:tcPr>
            <w:tcW w:w="1548"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颗粒物</w:t>
            </w:r>
          </w:p>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二氧化硫</w:t>
            </w:r>
          </w:p>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氮氧化物</w:t>
            </w:r>
          </w:p>
        </w:tc>
        <w:tc>
          <w:tcPr>
            <w:tcW w:w="1146" w:type="dxa"/>
            <w:vAlign w:val="center"/>
          </w:tcPr>
          <w:p>
            <w:pPr>
              <w:adjustRightInd w:val="0"/>
              <w:snapToGrid w:val="0"/>
              <w:jc w:val="both"/>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经</w:t>
            </w:r>
            <w:r>
              <w:rPr>
                <w:rFonts w:hint="eastAsia"/>
                <w:i w:val="0"/>
                <w:iCs w:val="0"/>
                <w:sz w:val="21"/>
                <w:szCs w:val="21"/>
                <w:u w:val="none"/>
                <w:lang w:val="en-US" w:eastAsia="zh-CN"/>
              </w:rPr>
              <w:t>1</w:t>
            </w:r>
            <w:r>
              <w:rPr>
                <w:rFonts w:hint="eastAsia" w:ascii="Times New Roman" w:hAnsi="Times New Roman" w:eastAsia="宋体"/>
                <w:i w:val="0"/>
                <w:iCs w:val="0"/>
                <w:sz w:val="21"/>
                <w:szCs w:val="21"/>
                <w:u w:val="none"/>
                <w:lang w:val="en-US" w:eastAsia="zh-CN"/>
              </w:rPr>
              <w:t>根15m烟囱高空排放</w:t>
            </w:r>
          </w:p>
        </w:tc>
        <w:tc>
          <w:tcPr>
            <w:tcW w:w="2573"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《锅炉大气污染物</w:t>
            </w:r>
            <w:r>
              <w:rPr>
                <w:rFonts w:hint="eastAsia" w:ascii="Times New Roman" w:hAnsi="Times New Roman" w:eastAsia="宋体"/>
                <w:i w:val="0"/>
                <w:iCs w:val="0"/>
                <w:sz w:val="21"/>
                <w:szCs w:val="21"/>
                <w:u w:val="none"/>
                <w:lang w:val="en-US" w:eastAsia="zh-CN"/>
              </w:rPr>
              <w:t>排放标准</w:t>
            </w:r>
            <w:r>
              <w:rPr>
                <w:rFonts w:hint="eastAsia" w:ascii="Times New Roman" w:hAnsi="Times New Roman" w:eastAsia="宋体"/>
                <w:i w:val="0"/>
                <w:iCs w:val="0"/>
                <w:sz w:val="21"/>
                <w:szCs w:val="21"/>
                <w:u w:val="none"/>
              </w:rPr>
              <w:t>》（GB13271-</w:t>
            </w:r>
            <w:r>
              <w:rPr>
                <w:rFonts w:ascii="Times New Roman" w:hAnsi="Times New Roman" w:eastAsia="宋体"/>
                <w:i w:val="0"/>
                <w:iCs w:val="0"/>
                <w:sz w:val="21"/>
                <w:szCs w:val="21"/>
                <w:u w:val="none"/>
              </w:rPr>
              <w:t>2014</w:t>
            </w:r>
            <w:r>
              <w:rPr>
                <w:rFonts w:hint="eastAsia" w:ascii="Times New Roman" w:hAnsi="Times New Roman" w:eastAsia="宋体"/>
                <w:i w:val="0"/>
                <w:iCs w:val="0"/>
                <w:sz w:val="21"/>
                <w:szCs w:val="21"/>
                <w:u w:val="none"/>
              </w:rPr>
              <w:t>）中</w:t>
            </w:r>
            <w:r>
              <w:rPr>
                <w:rFonts w:ascii="Times New Roman" w:hAnsi="Times New Roman" w:eastAsia="宋体"/>
                <w:i w:val="0"/>
                <w:iCs w:val="0"/>
                <w:sz w:val="21"/>
                <w:szCs w:val="21"/>
                <w:u w:val="none"/>
              </w:rPr>
              <w:t>表</w:t>
            </w:r>
            <w:r>
              <w:rPr>
                <w:rFonts w:hint="eastAsia" w:ascii="Times New Roman" w:hAnsi="Times New Roman" w:eastAsia="宋体"/>
                <w:i w:val="0"/>
                <w:iCs w:val="0"/>
                <w:sz w:val="21"/>
                <w:szCs w:val="21"/>
                <w:u w:val="none"/>
              </w:rPr>
              <w:t>3特别</w:t>
            </w:r>
            <w:r>
              <w:rPr>
                <w:rFonts w:ascii="Times New Roman" w:hAnsi="Times New Roman" w:eastAsia="宋体"/>
                <w:i w:val="0"/>
                <w:iCs w:val="0"/>
                <w:sz w:val="21"/>
                <w:szCs w:val="21"/>
                <w:u w:val="none"/>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地表水环境</w:t>
            </w:r>
          </w:p>
        </w:tc>
        <w:tc>
          <w:tcPr>
            <w:tcW w:w="1755"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锅炉</w:t>
            </w:r>
          </w:p>
        </w:tc>
        <w:tc>
          <w:tcPr>
            <w:tcW w:w="1548" w:type="dxa"/>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锅炉排污水</w:t>
            </w:r>
          </w:p>
        </w:tc>
        <w:tc>
          <w:tcPr>
            <w:tcW w:w="1146" w:type="dxa"/>
            <w:vMerge w:val="restart"/>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市政污水管网</w:t>
            </w:r>
          </w:p>
        </w:tc>
        <w:tc>
          <w:tcPr>
            <w:tcW w:w="2573" w:type="dxa"/>
            <w:vMerge w:val="restart"/>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《污水</w:t>
            </w:r>
            <w:r>
              <w:rPr>
                <w:rFonts w:ascii="Times New Roman" w:hAnsi="Times New Roman" w:eastAsia="宋体"/>
                <w:i w:val="0"/>
                <w:iCs w:val="0"/>
                <w:sz w:val="21"/>
                <w:szCs w:val="21"/>
                <w:u w:val="none"/>
              </w:rPr>
              <w:t>综合排放标准</w:t>
            </w:r>
            <w:r>
              <w:rPr>
                <w:rFonts w:hint="eastAsia" w:ascii="Times New Roman" w:hAnsi="Times New Roman" w:eastAsia="宋体"/>
                <w:i w:val="0"/>
                <w:iCs w:val="0"/>
                <w:sz w:val="21"/>
                <w:szCs w:val="21"/>
                <w:u w:val="none"/>
              </w:rPr>
              <w:t>》GB8978-1996三级</w:t>
            </w:r>
            <w:r>
              <w:rPr>
                <w:rFonts w:ascii="Times New Roman" w:hAnsi="Times New Roman" w:eastAsia="宋体"/>
                <w:i w:val="0"/>
                <w:iCs w:val="0"/>
                <w:sz w:val="21"/>
                <w:szCs w:val="21"/>
                <w:u w:val="none"/>
              </w:rPr>
              <w:t>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755" w:type="dxa"/>
            <w:vAlign w:val="center"/>
          </w:tcPr>
          <w:p>
            <w:pPr>
              <w:adjustRightInd w:val="0"/>
              <w:snapToGrid w:val="0"/>
              <w:jc w:val="center"/>
              <w:rPr>
                <w:rFonts w:hint="eastAsia"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生活</w:t>
            </w:r>
          </w:p>
        </w:tc>
        <w:tc>
          <w:tcPr>
            <w:tcW w:w="1548" w:type="dxa"/>
            <w:vAlign w:val="center"/>
          </w:tcPr>
          <w:p>
            <w:pPr>
              <w:adjustRightInd w:val="0"/>
              <w:snapToGrid w:val="0"/>
              <w:jc w:val="center"/>
              <w:rPr>
                <w:rFonts w:hint="default" w:ascii="Times New Roman" w:hAnsi="Times New Roman" w:eastAsia="宋体"/>
                <w:i w:val="0"/>
                <w:iCs w:val="0"/>
                <w:sz w:val="21"/>
                <w:szCs w:val="21"/>
                <w:u w:val="none"/>
                <w:lang w:val="en-US" w:eastAsia="zh-CN"/>
              </w:rPr>
            </w:pPr>
            <w:r>
              <w:rPr>
                <w:rFonts w:hint="eastAsia" w:ascii="Times New Roman" w:hAnsi="Times New Roman" w:eastAsia="宋体"/>
                <w:i w:val="0"/>
                <w:iCs w:val="0"/>
                <w:sz w:val="21"/>
                <w:szCs w:val="21"/>
                <w:u w:val="none"/>
                <w:lang w:val="en-US" w:eastAsia="zh-CN"/>
              </w:rPr>
              <w:t>生活污水</w:t>
            </w:r>
          </w:p>
        </w:tc>
        <w:tc>
          <w:tcPr>
            <w:tcW w:w="1146" w:type="dxa"/>
            <w:vMerge w:val="continue"/>
            <w:vAlign w:val="center"/>
          </w:tcPr>
          <w:p>
            <w:pPr>
              <w:adjustRightInd w:val="0"/>
              <w:snapToGrid w:val="0"/>
              <w:jc w:val="center"/>
              <w:rPr>
                <w:rFonts w:hint="eastAsia" w:ascii="Times New Roman" w:hAnsi="Times New Roman" w:eastAsia="宋体"/>
                <w:i w:val="0"/>
                <w:iCs w:val="0"/>
                <w:sz w:val="21"/>
                <w:szCs w:val="21"/>
                <w:u w:val="none"/>
              </w:rPr>
            </w:pPr>
          </w:p>
        </w:tc>
        <w:tc>
          <w:tcPr>
            <w:tcW w:w="2573" w:type="dxa"/>
            <w:vMerge w:val="continue"/>
            <w:vAlign w:val="center"/>
          </w:tcPr>
          <w:p>
            <w:pPr>
              <w:adjustRightInd w:val="0"/>
              <w:snapToGrid w:val="0"/>
              <w:jc w:val="center"/>
              <w:rPr>
                <w:rFonts w:hint="eastAsia" w:ascii="Times New Roman" w:hAnsi="Times New Roman" w:eastAsia="宋体"/>
                <w:i w:val="0"/>
                <w:i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声环境</w:t>
            </w:r>
          </w:p>
        </w:tc>
        <w:tc>
          <w:tcPr>
            <w:tcW w:w="1755" w:type="dxa"/>
            <w:vAlign w:val="center"/>
          </w:tcPr>
          <w:p>
            <w:pPr>
              <w:tabs>
                <w:tab w:val="left" w:pos="5226"/>
              </w:tabs>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鼓风机</w:t>
            </w:r>
          </w:p>
        </w:tc>
        <w:tc>
          <w:tcPr>
            <w:tcW w:w="1548" w:type="dxa"/>
            <w:vAlign w:val="center"/>
          </w:tcPr>
          <w:p>
            <w:pPr>
              <w:tabs>
                <w:tab w:val="left" w:pos="5226"/>
              </w:tabs>
              <w:jc w:val="center"/>
              <w:rPr>
                <w:rFonts w:ascii="Times New Roman" w:hAnsi="Times New Roman" w:eastAsia="宋体"/>
                <w:i w:val="0"/>
                <w:iCs w:val="0"/>
                <w:color w:val="000000"/>
                <w:sz w:val="21"/>
                <w:szCs w:val="21"/>
                <w:u w:val="none"/>
              </w:rPr>
            </w:pPr>
            <w:r>
              <w:rPr>
                <w:rFonts w:ascii="Times New Roman" w:hAnsi="Times New Roman" w:eastAsia="宋体"/>
                <w:i w:val="0"/>
                <w:iCs w:val="0"/>
                <w:color w:val="000000"/>
                <w:sz w:val="21"/>
                <w:szCs w:val="21"/>
                <w:u w:val="none"/>
              </w:rPr>
              <w:t>65</w:t>
            </w:r>
            <w:r>
              <w:rPr>
                <w:rFonts w:hint="eastAsia" w:ascii="Times New Roman" w:hAnsi="Times New Roman" w:eastAsia="宋体"/>
                <w:i w:val="0"/>
                <w:iCs w:val="0"/>
                <w:color w:val="000000"/>
                <w:sz w:val="21"/>
                <w:szCs w:val="21"/>
                <w:u w:val="none"/>
              </w:rPr>
              <w:t>～</w:t>
            </w:r>
            <w:r>
              <w:rPr>
                <w:rFonts w:ascii="Times New Roman" w:hAnsi="Times New Roman" w:eastAsia="宋体"/>
                <w:i w:val="0"/>
                <w:iCs w:val="0"/>
                <w:color w:val="000000"/>
                <w:sz w:val="21"/>
                <w:szCs w:val="21"/>
                <w:u w:val="none"/>
              </w:rPr>
              <w:t>75</w:t>
            </w:r>
          </w:p>
        </w:tc>
        <w:tc>
          <w:tcPr>
            <w:tcW w:w="1146" w:type="dxa"/>
            <w:vAlign w:val="center"/>
          </w:tcPr>
          <w:p>
            <w:pPr>
              <w:tabs>
                <w:tab w:val="left" w:pos="5226"/>
              </w:tabs>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减震垫+消声器＋建筑隔声</w:t>
            </w:r>
          </w:p>
        </w:tc>
        <w:tc>
          <w:tcPr>
            <w:tcW w:w="2573" w:type="dxa"/>
            <w:vMerge w:val="restart"/>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《工业企业厂界环境噪声排放标准》（GB12348-2008）中</w:t>
            </w:r>
            <w:r>
              <w:rPr>
                <w:rFonts w:hint="eastAsia" w:ascii="Times New Roman" w:hAnsi="Times New Roman" w:eastAsia="宋体"/>
                <w:i w:val="0"/>
                <w:iCs w:val="0"/>
                <w:sz w:val="21"/>
                <w:szCs w:val="21"/>
                <w:u w:val="none"/>
                <w:lang w:val="en-US" w:eastAsia="zh-CN"/>
              </w:rPr>
              <w:t>3</w:t>
            </w:r>
            <w:r>
              <w:rPr>
                <w:rFonts w:hint="eastAsia" w:ascii="Times New Roman" w:hAnsi="Times New Roman" w:eastAsia="宋体"/>
                <w:i w:val="0"/>
                <w:iCs w:val="0"/>
                <w:sz w:val="21"/>
                <w:szCs w:val="21"/>
                <w:u w:val="none"/>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755" w:type="dxa"/>
            <w:vAlign w:val="center"/>
          </w:tcPr>
          <w:p>
            <w:pPr>
              <w:tabs>
                <w:tab w:val="left" w:pos="5226"/>
              </w:tabs>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引风机</w:t>
            </w:r>
          </w:p>
        </w:tc>
        <w:tc>
          <w:tcPr>
            <w:tcW w:w="1548" w:type="dxa"/>
            <w:vAlign w:val="center"/>
          </w:tcPr>
          <w:p>
            <w:pPr>
              <w:tabs>
                <w:tab w:val="left" w:pos="5226"/>
              </w:tabs>
              <w:jc w:val="center"/>
              <w:rPr>
                <w:rFonts w:ascii="Times New Roman" w:hAnsi="Times New Roman" w:eastAsia="宋体"/>
                <w:i w:val="0"/>
                <w:iCs w:val="0"/>
                <w:color w:val="000000"/>
                <w:sz w:val="21"/>
                <w:szCs w:val="21"/>
                <w:u w:val="none"/>
              </w:rPr>
            </w:pPr>
            <w:r>
              <w:rPr>
                <w:rFonts w:ascii="Times New Roman" w:hAnsi="Times New Roman" w:eastAsia="宋体"/>
                <w:i w:val="0"/>
                <w:iCs w:val="0"/>
                <w:color w:val="000000"/>
                <w:sz w:val="21"/>
                <w:szCs w:val="21"/>
                <w:u w:val="none"/>
              </w:rPr>
              <w:t>85</w:t>
            </w:r>
            <w:r>
              <w:rPr>
                <w:rFonts w:hint="eastAsia" w:ascii="Times New Roman" w:hAnsi="Times New Roman" w:eastAsia="宋体"/>
                <w:i w:val="0"/>
                <w:iCs w:val="0"/>
                <w:color w:val="000000"/>
                <w:sz w:val="21"/>
                <w:szCs w:val="21"/>
                <w:u w:val="none"/>
              </w:rPr>
              <w:t>～</w:t>
            </w:r>
            <w:r>
              <w:rPr>
                <w:rFonts w:ascii="Times New Roman" w:hAnsi="Times New Roman" w:eastAsia="宋体"/>
                <w:i w:val="0"/>
                <w:iCs w:val="0"/>
                <w:color w:val="000000"/>
                <w:sz w:val="21"/>
                <w:szCs w:val="21"/>
                <w:u w:val="none"/>
              </w:rPr>
              <w:t>90</w:t>
            </w:r>
          </w:p>
        </w:tc>
        <w:tc>
          <w:tcPr>
            <w:tcW w:w="1146" w:type="dxa"/>
            <w:vAlign w:val="center"/>
          </w:tcPr>
          <w:p>
            <w:pPr>
              <w:tabs>
                <w:tab w:val="left" w:pos="5226"/>
              </w:tabs>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减震垫+消声器＋建筑隔声</w:t>
            </w:r>
          </w:p>
        </w:tc>
        <w:tc>
          <w:tcPr>
            <w:tcW w:w="2573" w:type="dxa"/>
            <w:vMerge w:val="continue"/>
            <w:vAlign w:val="center"/>
          </w:tcPr>
          <w:p>
            <w:pPr>
              <w:adjustRightInd w:val="0"/>
              <w:snapToGrid w:val="0"/>
              <w:jc w:val="center"/>
              <w:rPr>
                <w:rFonts w:ascii="Times New Roman" w:hAnsi="Times New Roman" w:eastAsia="宋体"/>
                <w:i w:val="0"/>
                <w:i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pPr>
              <w:adjustRightInd w:val="0"/>
              <w:snapToGrid w:val="0"/>
              <w:jc w:val="center"/>
              <w:rPr>
                <w:rFonts w:ascii="Times New Roman" w:hAnsi="Times New Roman" w:eastAsia="宋体"/>
                <w:i w:val="0"/>
                <w:iCs w:val="0"/>
                <w:sz w:val="21"/>
                <w:szCs w:val="21"/>
                <w:u w:val="none"/>
              </w:rPr>
            </w:pPr>
          </w:p>
        </w:tc>
        <w:tc>
          <w:tcPr>
            <w:tcW w:w="1755" w:type="dxa"/>
            <w:vAlign w:val="center"/>
          </w:tcPr>
          <w:p>
            <w:pPr>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水泵</w:t>
            </w:r>
          </w:p>
        </w:tc>
        <w:tc>
          <w:tcPr>
            <w:tcW w:w="1548" w:type="dxa"/>
            <w:vAlign w:val="center"/>
          </w:tcPr>
          <w:p>
            <w:pPr>
              <w:jc w:val="center"/>
              <w:rPr>
                <w:rFonts w:ascii="Times New Roman" w:hAnsi="Times New Roman" w:eastAsia="宋体"/>
                <w:i w:val="0"/>
                <w:iCs w:val="0"/>
                <w:color w:val="000000"/>
                <w:sz w:val="21"/>
                <w:szCs w:val="21"/>
                <w:u w:val="none"/>
              </w:rPr>
            </w:pPr>
            <w:r>
              <w:rPr>
                <w:rFonts w:ascii="Times New Roman" w:hAnsi="Times New Roman" w:eastAsia="宋体"/>
                <w:i w:val="0"/>
                <w:iCs w:val="0"/>
                <w:color w:val="000000"/>
                <w:sz w:val="21"/>
                <w:szCs w:val="21"/>
                <w:u w:val="none"/>
              </w:rPr>
              <w:t>65~85</w:t>
            </w:r>
          </w:p>
        </w:tc>
        <w:tc>
          <w:tcPr>
            <w:tcW w:w="1146" w:type="dxa"/>
            <w:vAlign w:val="center"/>
          </w:tcPr>
          <w:p>
            <w:pPr>
              <w:tabs>
                <w:tab w:val="left" w:pos="5226"/>
              </w:tabs>
              <w:jc w:val="center"/>
              <w:rPr>
                <w:rFonts w:ascii="Times New Roman" w:hAnsi="Times New Roman" w:eastAsia="宋体"/>
                <w:i w:val="0"/>
                <w:iCs w:val="0"/>
                <w:color w:val="000000"/>
                <w:sz w:val="21"/>
                <w:szCs w:val="21"/>
                <w:u w:val="none"/>
              </w:rPr>
            </w:pPr>
            <w:r>
              <w:rPr>
                <w:rFonts w:hint="eastAsia" w:ascii="Times New Roman" w:hAnsi="Times New Roman" w:eastAsia="宋体"/>
                <w:i w:val="0"/>
                <w:iCs w:val="0"/>
                <w:color w:val="000000"/>
                <w:sz w:val="21"/>
                <w:szCs w:val="21"/>
                <w:u w:val="none"/>
              </w:rPr>
              <w:t>减震垫+消声器＋建筑隔声</w:t>
            </w:r>
          </w:p>
        </w:tc>
        <w:tc>
          <w:tcPr>
            <w:tcW w:w="2573" w:type="dxa"/>
            <w:vMerge w:val="continue"/>
            <w:vAlign w:val="center"/>
          </w:tcPr>
          <w:p>
            <w:pPr>
              <w:adjustRightInd w:val="0"/>
              <w:snapToGrid w:val="0"/>
              <w:jc w:val="center"/>
              <w:rPr>
                <w:rFonts w:ascii="Times New Roman" w:hAnsi="Times New Roman" w:eastAsia="宋体"/>
                <w:i w:val="0"/>
                <w:iCs w:val="0"/>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7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固体废物</w:t>
            </w:r>
          </w:p>
        </w:tc>
        <w:tc>
          <w:tcPr>
            <w:tcW w:w="7022" w:type="dxa"/>
            <w:gridSpan w:val="4"/>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离子交换树脂交由环卫部门处理；生活垃圾集中收集后交由环卫部门处理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78" w:type="dxa"/>
            <w:vAlign w:val="center"/>
          </w:tcPr>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土壤及地下水</w:t>
            </w:r>
          </w:p>
          <w:p>
            <w:pPr>
              <w:adjustRightInd w:val="0"/>
              <w:snapToGrid w:val="0"/>
              <w:jc w:val="center"/>
              <w:rPr>
                <w:rFonts w:ascii="Times New Roman" w:hAnsi="Times New Roman" w:eastAsia="宋体"/>
                <w:i w:val="0"/>
                <w:iCs w:val="0"/>
                <w:sz w:val="21"/>
                <w:szCs w:val="21"/>
                <w:u w:val="none"/>
              </w:rPr>
            </w:pPr>
            <w:r>
              <w:rPr>
                <w:rFonts w:ascii="Times New Roman" w:hAnsi="Times New Roman" w:eastAsia="宋体"/>
                <w:i w:val="0"/>
                <w:iCs w:val="0"/>
                <w:sz w:val="21"/>
                <w:szCs w:val="21"/>
                <w:u w:val="none"/>
              </w:rPr>
              <w:t>污染防治措施</w:t>
            </w:r>
          </w:p>
        </w:tc>
        <w:tc>
          <w:tcPr>
            <w:tcW w:w="7022" w:type="dxa"/>
            <w:gridSpan w:val="4"/>
            <w:vAlign w:val="center"/>
          </w:tcPr>
          <w:p>
            <w:pPr>
              <w:adjustRightInd w:val="0"/>
              <w:snapToGrid w:val="0"/>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78" w:type="dxa"/>
            <w:vAlign w:val="center"/>
          </w:tcPr>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环境风险</w:t>
            </w:r>
          </w:p>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防范措施</w:t>
            </w:r>
          </w:p>
        </w:tc>
        <w:tc>
          <w:tcPr>
            <w:tcW w:w="7022" w:type="dxa"/>
            <w:gridSpan w:val="4"/>
            <w:vAlign w:val="center"/>
          </w:tcPr>
          <w:p>
            <w:pPr>
              <w:jc w:val="center"/>
              <w:rPr>
                <w:rFonts w:ascii="Times New Roman" w:hAnsi="Times New Roman" w:eastAsia="宋体"/>
                <w:i w:val="0"/>
                <w:iCs w:val="0"/>
                <w:sz w:val="21"/>
                <w:szCs w:val="21"/>
                <w:u w:val="none"/>
              </w:rPr>
            </w:pPr>
            <w:r>
              <w:rPr>
                <w:rFonts w:hint="eastAsia" w:ascii="Times New Roman" w:hAnsi="Times New Roman" w:eastAsia="宋体"/>
                <w:i w:val="0"/>
                <w:iCs w:val="0"/>
                <w:sz w:val="21"/>
                <w:szCs w:val="21"/>
                <w:u w:val="none"/>
              </w:rPr>
              <w:t>本项目存在一定的风险，风险度在可接受的范围以内，建设单位需从设备采用至严格安全管理系统的建立、安全部门的审核等方面提出行之有效的方案。为防患于未然，杜绝事故发生，建议在落实本评价提出的风险事故防范措施的同时，还要在建成投产同时验收落实有关安全管理措施，力求将本项目风险事故发生概率及影响危害程度降至最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778" w:type="dxa"/>
            <w:vAlign w:val="center"/>
          </w:tcPr>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其他环境</w:t>
            </w:r>
          </w:p>
          <w:p>
            <w:pPr>
              <w:adjustRightInd w:val="0"/>
              <w:snapToGrid w:val="0"/>
              <w:jc w:val="center"/>
              <w:rPr>
                <w:rFonts w:ascii="Times New Roman" w:hAnsi="Times New Roman" w:eastAsia="宋体"/>
                <w:i w:val="0"/>
                <w:iCs w:val="0"/>
                <w:spacing w:val="-8"/>
                <w:sz w:val="21"/>
                <w:szCs w:val="21"/>
                <w:u w:val="none"/>
              </w:rPr>
            </w:pPr>
            <w:r>
              <w:rPr>
                <w:rFonts w:ascii="Times New Roman" w:hAnsi="Times New Roman" w:eastAsia="宋体"/>
                <w:i w:val="0"/>
                <w:iCs w:val="0"/>
                <w:spacing w:val="-8"/>
                <w:sz w:val="21"/>
                <w:szCs w:val="21"/>
                <w:u w:val="none"/>
              </w:rPr>
              <w:t>管理要求</w:t>
            </w:r>
          </w:p>
        </w:tc>
        <w:tc>
          <w:tcPr>
            <w:tcW w:w="7022" w:type="dxa"/>
            <w:gridSpan w:val="4"/>
            <w:vAlign w:val="center"/>
          </w:tcPr>
          <w:p>
            <w:pPr>
              <w:pStyle w:val="31"/>
              <w:ind w:left="0" w:leftChars="0" w:firstLine="630" w:firstLineChars="300"/>
              <w:jc w:val="both"/>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color w:val="auto"/>
                <w:sz w:val="21"/>
                <w:szCs w:val="21"/>
                <w:u w:val="none"/>
              </w:rPr>
              <w:t>本项目环保投资及“三同时”验收情况见</w:t>
            </w:r>
            <w:r>
              <w:rPr>
                <w:rFonts w:hint="eastAsia" w:ascii="Times New Roman" w:hAnsi="Times New Roman" w:cs="Times New Roman"/>
                <w:b w:val="0"/>
                <w:bCs w:val="0"/>
                <w:i w:val="0"/>
                <w:iCs w:val="0"/>
                <w:color w:val="auto"/>
                <w:sz w:val="21"/>
                <w:szCs w:val="21"/>
                <w:u w:val="none"/>
                <w:lang w:val="en-US" w:eastAsia="zh-CN"/>
              </w:rPr>
              <w:t>下表</w:t>
            </w:r>
            <w:r>
              <w:rPr>
                <w:rFonts w:hint="default" w:ascii="Times New Roman" w:hAnsi="Times New Roman" w:eastAsia="宋体" w:cs="Times New Roman"/>
                <w:b w:val="0"/>
                <w:bCs w:val="0"/>
                <w:i w:val="0"/>
                <w:iCs w:val="0"/>
                <w:color w:val="auto"/>
                <w:sz w:val="21"/>
                <w:szCs w:val="21"/>
                <w:u w:val="none"/>
              </w:rPr>
              <w:t>。</w:t>
            </w:r>
          </w:p>
          <w:p>
            <w:pPr>
              <w:adjustRightInd w:val="0"/>
              <w:snapToGrid w:val="0"/>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bCs/>
                <w:i w:val="0"/>
                <w:iCs w:val="0"/>
                <w:sz w:val="21"/>
                <w:szCs w:val="21"/>
                <w:u w:val="none"/>
              </w:rPr>
              <w:t>表</w:t>
            </w:r>
            <w:r>
              <w:rPr>
                <w:rFonts w:hint="eastAsia" w:cs="Times New Roman"/>
                <w:b/>
                <w:bCs/>
                <w:i w:val="0"/>
                <w:iCs w:val="0"/>
                <w:sz w:val="21"/>
                <w:szCs w:val="21"/>
                <w:u w:val="none"/>
                <w:lang w:val="en-US" w:eastAsia="zh-CN"/>
              </w:rPr>
              <w:t>5-1</w:t>
            </w:r>
            <w:r>
              <w:rPr>
                <w:rFonts w:hint="default" w:ascii="Times New Roman" w:hAnsi="Times New Roman" w:eastAsia="宋体" w:cs="Times New Roman"/>
                <w:b/>
                <w:bCs/>
                <w:i w:val="0"/>
                <w:iCs w:val="0"/>
                <w:sz w:val="21"/>
                <w:szCs w:val="21"/>
                <w:u w:val="none"/>
              </w:rPr>
              <w:t xml:space="preserve">  环保投资一览表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02"/>
              <w:gridCol w:w="671"/>
              <w:gridCol w:w="3362"/>
              <w:gridCol w:w="1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序号</w:t>
                  </w:r>
                </w:p>
              </w:tc>
              <w:tc>
                <w:tcPr>
                  <w:tcW w:w="51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时期</w:t>
                  </w:r>
                </w:p>
              </w:tc>
              <w:tc>
                <w:tcPr>
                  <w:tcW w:w="49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类别</w:t>
                  </w:r>
                </w:p>
              </w:tc>
              <w:tc>
                <w:tcPr>
                  <w:tcW w:w="2469"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eastAsia="zh-CN"/>
                    </w:rPr>
                  </w:pPr>
                  <w:r>
                    <w:rPr>
                      <w:rFonts w:hint="default" w:ascii="Times New Roman" w:hAnsi="Times New Roman" w:eastAsia="宋体" w:cs="Times New Roman"/>
                      <w:b w:val="0"/>
                      <w:bCs w:val="0"/>
                      <w:i w:val="0"/>
                      <w:iCs w:val="0"/>
                      <w:color w:val="auto"/>
                      <w:sz w:val="21"/>
                      <w:szCs w:val="21"/>
                      <w:u w:val="none"/>
                      <w:lang w:eastAsia="zh-CN"/>
                    </w:rPr>
                    <w:t>环保措施</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投资</w:t>
                  </w:r>
                </w:p>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9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lang w:val="en-US" w:eastAsia="zh-CN"/>
                    </w:rPr>
                    <w:t>1</w:t>
                  </w:r>
                </w:p>
              </w:tc>
              <w:tc>
                <w:tcPr>
                  <w:tcW w:w="516" w:type="pct"/>
                  <w:vMerge w:val="restar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lang w:val="en-US" w:eastAsia="zh-CN"/>
                    </w:rPr>
                    <w:t>营运期</w:t>
                  </w:r>
                </w:p>
              </w:tc>
              <w:tc>
                <w:tcPr>
                  <w:tcW w:w="49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eastAsia="zh-CN"/>
                    </w:rPr>
                  </w:pPr>
                  <w:r>
                    <w:rPr>
                      <w:rFonts w:hint="default" w:ascii="Times New Roman" w:hAnsi="Times New Roman" w:eastAsia="宋体" w:cs="Times New Roman"/>
                      <w:b w:val="0"/>
                      <w:bCs w:val="0"/>
                      <w:i w:val="0"/>
                      <w:iCs w:val="0"/>
                      <w:color w:val="auto"/>
                      <w:sz w:val="21"/>
                      <w:szCs w:val="21"/>
                      <w:u w:val="none"/>
                      <w:lang w:eastAsia="zh-CN"/>
                    </w:rPr>
                    <w:t>废水</w:t>
                  </w:r>
                </w:p>
              </w:tc>
              <w:tc>
                <w:tcPr>
                  <w:tcW w:w="2469" w:type="pct"/>
                  <w:noWrap w:val="0"/>
                  <w:vAlign w:val="center"/>
                </w:tcPr>
                <w:p>
                  <w:pPr>
                    <w:pStyle w:val="2"/>
                    <w:ind w:left="0" w:leftChars="0" w:firstLine="0" w:firstLineChars="0"/>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锅炉排污水与</w:t>
                  </w:r>
                  <w:r>
                    <w:rPr>
                      <w:rFonts w:hint="default" w:ascii="Times New Roman" w:hAnsi="Times New Roman" w:eastAsia="宋体" w:cs="Times New Roman"/>
                      <w:b w:val="0"/>
                      <w:bCs w:val="0"/>
                      <w:i w:val="0"/>
                      <w:iCs w:val="0"/>
                      <w:color w:val="auto"/>
                      <w:sz w:val="21"/>
                      <w:szCs w:val="21"/>
                      <w:u w:val="none"/>
                      <w:lang w:val="en-US" w:eastAsia="zh-CN"/>
                    </w:rPr>
                    <w:t>生活污水一起经市政管网排入</w:t>
                  </w:r>
                  <w:r>
                    <w:rPr>
                      <w:rFonts w:hint="eastAsia"/>
                      <w:color w:val="auto"/>
                      <w:sz w:val="21"/>
                      <w:szCs w:val="21"/>
                      <w:lang w:val="en-US" w:eastAsia="zh-CN"/>
                    </w:rPr>
                    <w:t>柏林水务长春高新污水处理有限公司</w:t>
                  </w:r>
                  <w:r>
                    <w:rPr>
                      <w:rFonts w:hint="default" w:ascii="Times New Roman" w:hAnsi="Times New Roman" w:eastAsia="宋体" w:cs="Times New Roman"/>
                      <w:b w:val="0"/>
                      <w:bCs w:val="0"/>
                      <w:i w:val="0"/>
                      <w:iCs w:val="0"/>
                      <w:color w:val="auto"/>
                      <w:sz w:val="21"/>
                      <w:szCs w:val="21"/>
                      <w:u w:val="none"/>
                      <w:lang w:val="en-US" w:eastAsia="zh-CN"/>
                    </w:rPr>
                    <w:t>。</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9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2</w:t>
                  </w:r>
                </w:p>
              </w:tc>
              <w:tc>
                <w:tcPr>
                  <w:tcW w:w="516" w:type="pct"/>
                  <w:vMerge w:val="continue"/>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p>
              </w:tc>
              <w:tc>
                <w:tcPr>
                  <w:tcW w:w="493" w:type="pct"/>
                  <w:noWrap w:val="0"/>
                  <w:vAlign w:val="center"/>
                </w:tcPr>
                <w:p>
                  <w:pPr>
                    <w:adjustRightInd w:val="0"/>
                    <w:snapToGrid w:val="0"/>
                    <w:spacing w:line="0" w:lineRule="atLeast"/>
                    <w:jc w:val="center"/>
                    <w:rPr>
                      <w:rFonts w:hint="eastAsia"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废气</w:t>
                  </w:r>
                </w:p>
              </w:tc>
              <w:tc>
                <w:tcPr>
                  <w:tcW w:w="2469" w:type="pct"/>
                  <w:noWrap w:val="0"/>
                  <w:vAlign w:val="center"/>
                </w:tcPr>
                <w:p>
                  <w:pPr>
                    <w:adjustRightInd w:val="0"/>
                    <w:snapToGrid w:val="0"/>
                    <w:spacing w:line="0" w:lineRule="atLeast"/>
                    <w:jc w:val="center"/>
                    <w:rPr>
                      <w:rFonts w:hint="default" w:ascii="Times New Roman" w:hAnsi="Times New Roman" w:eastAsia="宋体"/>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15</w:t>
                  </w:r>
                  <w:r>
                    <w:rPr>
                      <w:rFonts w:hint="default" w:ascii="Times New Roman" w:hAnsi="Times New Roman" w:eastAsia="宋体" w:cs="Times New Roman"/>
                      <w:i w:val="0"/>
                      <w:iCs w:val="0"/>
                      <w:color w:val="auto"/>
                      <w:sz w:val="21"/>
                      <w:szCs w:val="21"/>
                      <w:u w:val="none"/>
                      <w:lang w:val="en-US" w:eastAsia="zh-CN"/>
                    </w:rPr>
                    <w:t>m</w:t>
                  </w:r>
                  <w:r>
                    <w:rPr>
                      <w:rFonts w:hint="eastAsia" w:cs="Times New Roman"/>
                      <w:i w:val="0"/>
                      <w:iCs w:val="0"/>
                      <w:color w:val="auto"/>
                      <w:sz w:val="21"/>
                      <w:szCs w:val="21"/>
                      <w:u w:val="none"/>
                      <w:lang w:val="en-US" w:eastAsia="zh-CN"/>
                    </w:rPr>
                    <w:t>高排气筒</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9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lang w:val="en-US" w:eastAsia="zh-CN"/>
                    </w:rPr>
                    <w:t>3</w:t>
                  </w:r>
                </w:p>
              </w:tc>
              <w:tc>
                <w:tcPr>
                  <w:tcW w:w="516" w:type="pct"/>
                  <w:vMerge w:val="continue"/>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p>
              </w:tc>
              <w:tc>
                <w:tcPr>
                  <w:tcW w:w="49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噪声</w:t>
                  </w:r>
                </w:p>
              </w:tc>
              <w:tc>
                <w:tcPr>
                  <w:tcW w:w="2469"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lang w:val="en-US" w:eastAsia="zh-CN"/>
                    </w:rPr>
                    <w:t>选择优质低噪声设备，对产噪设备采取隔声、减振措施，以减少设备噪声对周围环境的影响。</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eastAsia="zh-CN"/>
                    </w:rPr>
                  </w:pPr>
                  <w:r>
                    <w:rPr>
                      <w:rFonts w:hint="default" w:ascii="Times New Roman" w:hAnsi="Times New Roman" w:eastAsia="宋体" w:cs="Times New Roman"/>
                      <w:b w:val="0"/>
                      <w:bCs w:val="0"/>
                      <w:i w:val="0"/>
                      <w:iCs w:val="0"/>
                      <w:color w:val="auto"/>
                      <w:sz w:val="21"/>
                      <w:szCs w:val="21"/>
                      <w:u w:val="none"/>
                      <w:lang w:val="en-US" w:eastAsia="zh-CN"/>
                    </w:rPr>
                    <w:t>4</w:t>
                  </w:r>
                </w:p>
              </w:tc>
              <w:tc>
                <w:tcPr>
                  <w:tcW w:w="516" w:type="pct"/>
                  <w:vMerge w:val="continue"/>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p>
              </w:tc>
              <w:tc>
                <w:tcPr>
                  <w:tcW w:w="49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固废</w:t>
                  </w:r>
                </w:p>
              </w:tc>
              <w:tc>
                <w:tcPr>
                  <w:tcW w:w="2469"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职工生活垃圾收集后定期交由环卫部门处理；本项目在软化水处理系统中的离子交换树脂每年更换一次，废弃离子交换树脂交由环卫部门处理。</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6"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eastAsia="zh-CN"/>
                    </w:rPr>
                  </w:pPr>
                  <w:r>
                    <w:rPr>
                      <w:rFonts w:hint="default" w:ascii="Times New Roman" w:hAnsi="Times New Roman" w:eastAsia="宋体" w:cs="Times New Roman"/>
                      <w:b w:val="0"/>
                      <w:bCs w:val="0"/>
                      <w:i w:val="0"/>
                      <w:iCs w:val="0"/>
                      <w:color w:val="auto"/>
                      <w:sz w:val="21"/>
                      <w:szCs w:val="21"/>
                      <w:u w:val="none"/>
                      <w:lang w:val="en-US" w:eastAsia="zh-CN"/>
                    </w:rPr>
                    <w:t>5</w:t>
                  </w:r>
                </w:p>
              </w:tc>
              <w:tc>
                <w:tcPr>
                  <w:tcW w:w="516" w:type="pct"/>
                  <w:vMerge w:val="continue"/>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p>
              </w:tc>
              <w:tc>
                <w:tcPr>
                  <w:tcW w:w="49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环境</w:t>
                  </w:r>
                  <w:r>
                    <w:rPr>
                      <w:rFonts w:hint="default" w:ascii="Times New Roman" w:hAnsi="Times New Roman" w:eastAsia="宋体" w:cs="Times New Roman"/>
                      <w:b w:val="0"/>
                      <w:bCs w:val="0"/>
                      <w:i w:val="0"/>
                      <w:iCs w:val="0"/>
                      <w:color w:val="auto"/>
                      <w:sz w:val="21"/>
                      <w:szCs w:val="21"/>
                      <w:u w:val="none"/>
                      <w:lang w:eastAsia="zh-CN"/>
                    </w:rPr>
                    <w:t>监测</w:t>
                  </w:r>
                </w:p>
              </w:tc>
              <w:tc>
                <w:tcPr>
                  <w:tcW w:w="2469"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eastAsia="zh-CN"/>
                    </w:rPr>
                  </w:pPr>
                  <w:r>
                    <w:rPr>
                      <w:rFonts w:hint="default" w:ascii="Times New Roman" w:hAnsi="Times New Roman" w:eastAsia="宋体" w:cs="Times New Roman"/>
                      <w:b w:val="0"/>
                      <w:bCs w:val="0"/>
                      <w:i w:val="0"/>
                      <w:iCs w:val="0"/>
                      <w:color w:val="auto"/>
                      <w:sz w:val="21"/>
                      <w:szCs w:val="21"/>
                      <w:u w:val="none"/>
                      <w:lang w:val="en-US" w:eastAsia="zh-CN"/>
                    </w:rPr>
                    <w:t>按照环境监测计划要求定期进行监测。</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6" w:type="pct"/>
                  <w:gridSpan w:val="4"/>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合         计</w:t>
                  </w:r>
                </w:p>
              </w:tc>
              <w:tc>
                <w:tcPr>
                  <w:tcW w:w="923"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rPr>
                    <w:t>10.0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b/>
                <w:bCs/>
                <w:i w:val="0"/>
                <w:iCs w:val="0"/>
                <w:sz w:val="21"/>
                <w:szCs w:val="21"/>
                <w:u w:val="none"/>
              </w:rPr>
            </w:pPr>
            <w:r>
              <w:rPr>
                <w:rFonts w:hint="default" w:ascii="Times New Roman" w:hAnsi="Times New Roman" w:eastAsia="宋体" w:cs="Times New Roman"/>
                <w:b w:val="0"/>
                <w:bCs w:val="0"/>
                <w:i w:val="0"/>
                <w:iCs w:val="0"/>
                <w:color w:val="auto"/>
                <w:sz w:val="21"/>
                <w:szCs w:val="21"/>
                <w:u w:val="none"/>
              </w:rPr>
              <w:t>由上表可知，本项目各项环保治理措施投资总计约为</w:t>
            </w:r>
            <w:r>
              <w:rPr>
                <w:rFonts w:hint="eastAsia" w:cs="Times New Roman"/>
                <w:b w:val="0"/>
                <w:bCs w:val="0"/>
                <w:i w:val="0"/>
                <w:iCs w:val="0"/>
                <w:color w:val="auto"/>
                <w:sz w:val="21"/>
                <w:szCs w:val="21"/>
                <w:u w:val="none"/>
                <w:lang w:val="en-US" w:eastAsia="zh-CN"/>
              </w:rPr>
              <w:t>10000</w:t>
            </w:r>
            <w:r>
              <w:rPr>
                <w:rFonts w:hint="default" w:ascii="Times New Roman" w:hAnsi="Times New Roman" w:eastAsia="宋体" w:cs="Times New Roman"/>
                <w:b w:val="0"/>
                <w:bCs w:val="0"/>
                <w:i w:val="0"/>
                <w:iCs w:val="0"/>
                <w:color w:val="auto"/>
                <w:sz w:val="21"/>
                <w:szCs w:val="21"/>
                <w:u w:val="none"/>
              </w:rPr>
              <w:t>万元，占总投资的</w:t>
            </w:r>
            <w:r>
              <w:rPr>
                <w:rFonts w:hint="eastAsia" w:cs="Times New Roman"/>
                <w:b w:val="0"/>
                <w:bCs w:val="0"/>
                <w:i w:val="0"/>
                <w:iCs w:val="0"/>
                <w:color w:val="auto"/>
                <w:sz w:val="21"/>
                <w:szCs w:val="21"/>
                <w:u w:val="none"/>
                <w:lang w:val="en-US" w:eastAsia="zh-CN"/>
              </w:rPr>
              <w:t>0.1</w:t>
            </w:r>
            <w:r>
              <w:rPr>
                <w:rFonts w:hint="default" w:ascii="Times New Roman" w:hAnsi="Times New Roman" w:eastAsia="宋体" w:cs="Times New Roman"/>
                <w:b w:val="0"/>
                <w:bCs w:val="0"/>
                <w:i w:val="0"/>
                <w:iCs w:val="0"/>
                <w:color w:val="auto"/>
                <w:sz w:val="21"/>
                <w:szCs w:val="21"/>
                <w:u w:val="none"/>
              </w:rPr>
              <w:t>%</w:t>
            </w:r>
            <w:r>
              <w:rPr>
                <w:rFonts w:hint="default" w:ascii="Times New Roman" w:hAnsi="Times New Roman" w:eastAsia="宋体" w:cs="Times New Roman"/>
                <w:b w:val="0"/>
                <w:bCs w:val="0"/>
                <w:i w:val="0"/>
                <w:iCs w:val="0"/>
                <w:color w:val="auto"/>
                <w:sz w:val="21"/>
                <w:szCs w:val="21"/>
                <w:u w:val="none"/>
                <w:lang w:eastAsia="zh-CN"/>
              </w:rPr>
              <w:t>，</w:t>
            </w:r>
            <w:r>
              <w:rPr>
                <w:rFonts w:hint="default" w:ascii="Times New Roman" w:hAnsi="Times New Roman" w:eastAsia="宋体" w:cs="Times New Roman"/>
                <w:b w:val="0"/>
                <w:bCs w:val="0"/>
                <w:i w:val="0"/>
                <w:iCs w:val="0"/>
                <w:sz w:val="21"/>
                <w:szCs w:val="21"/>
                <w:u w:val="none"/>
              </w:rPr>
              <w:t>上述环保投资及治理项目可使本项目各项污染物达标排放。</w:t>
            </w:r>
          </w:p>
          <w:p>
            <w:pPr>
              <w:adjustRightInd w:val="0"/>
              <w:snapToGrid w:val="0"/>
              <w:jc w:val="center"/>
              <w:rPr>
                <w:rFonts w:hint="default" w:ascii="Times New Roman" w:hAnsi="Times New Roman" w:eastAsia="宋体" w:cs="Times New Roman"/>
                <w:b/>
                <w:bCs/>
                <w:i w:val="0"/>
                <w:iCs w:val="0"/>
                <w:sz w:val="21"/>
                <w:szCs w:val="21"/>
                <w:u w:val="none"/>
              </w:rPr>
            </w:pPr>
            <w:r>
              <w:rPr>
                <w:rFonts w:hint="default" w:ascii="Times New Roman" w:hAnsi="Times New Roman" w:eastAsia="宋体" w:cs="Times New Roman"/>
                <w:b/>
                <w:bCs/>
                <w:i w:val="0"/>
                <w:iCs w:val="0"/>
                <w:sz w:val="21"/>
                <w:szCs w:val="21"/>
                <w:u w:val="none"/>
              </w:rPr>
              <w:t>表</w:t>
            </w:r>
            <w:r>
              <w:rPr>
                <w:rFonts w:hint="eastAsia" w:cs="Times New Roman"/>
                <w:b/>
                <w:bCs/>
                <w:i w:val="0"/>
                <w:iCs w:val="0"/>
                <w:sz w:val="21"/>
                <w:szCs w:val="21"/>
                <w:u w:val="none"/>
                <w:lang w:val="en-US" w:eastAsia="zh-CN"/>
              </w:rPr>
              <w:t>5-2</w:t>
            </w:r>
            <w:r>
              <w:rPr>
                <w:rFonts w:hint="eastAsia" w:ascii="Times New Roman" w:hAnsi="Times New Roman" w:eastAsia="宋体" w:cs="Times New Roman"/>
                <w:b/>
                <w:bCs/>
                <w:i w:val="0"/>
                <w:iCs w:val="0"/>
                <w:sz w:val="21"/>
                <w:szCs w:val="21"/>
                <w:u w:val="none"/>
                <w:lang w:val="en-US" w:eastAsia="zh-CN"/>
              </w:rPr>
              <w:t xml:space="preserve">  </w:t>
            </w:r>
            <w:r>
              <w:rPr>
                <w:rFonts w:hint="default" w:ascii="Times New Roman" w:hAnsi="Times New Roman" w:eastAsia="宋体" w:cs="Times New Roman"/>
                <w:b/>
                <w:bCs/>
                <w:i w:val="0"/>
                <w:iCs w:val="0"/>
                <w:sz w:val="21"/>
                <w:szCs w:val="21"/>
                <w:u w:val="none"/>
              </w:rPr>
              <w:t>“三同时”验收一览表</w:t>
            </w:r>
          </w:p>
          <w:tbl>
            <w:tblPr>
              <w:tblStyle w:val="23"/>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695"/>
              <w:gridCol w:w="3015"/>
              <w:gridCol w:w="24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52" w:type="pct"/>
                  <w:gridSpan w:val="2"/>
                  <w:noWrap w:val="0"/>
                  <w:vAlign w:val="center"/>
                </w:tcPr>
                <w:p>
                  <w:pPr>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类别</w:t>
                  </w:r>
                </w:p>
              </w:tc>
              <w:tc>
                <w:tcPr>
                  <w:tcW w:w="2214" w:type="pct"/>
                  <w:noWrap w:val="0"/>
                  <w:vAlign w:val="center"/>
                </w:tcPr>
                <w:p>
                  <w:pPr>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处理措施</w:t>
                  </w:r>
                </w:p>
              </w:tc>
              <w:tc>
                <w:tcPr>
                  <w:tcW w:w="1832" w:type="pct"/>
                  <w:noWrap w:val="0"/>
                  <w:vAlign w:val="center"/>
                </w:tcPr>
                <w:p>
                  <w:pPr>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验收要求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42" w:type="pct"/>
                  <w:vMerge w:val="restart"/>
                  <w:noWrap w:val="0"/>
                  <w:vAlign w:val="center"/>
                </w:tcPr>
                <w:p>
                  <w:pPr>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运营期</w:t>
                  </w:r>
                </w:p>
              </w:tc>
              <w:tc>
                <w:tcPr>
                  <w:tcW w:w="509" w:type="pct"/>
                  <w:noWrap w:val="0"/>
                  <w:vAlign w:val="center"/>
                </w:tcPr>
                <w:p>
                  <w:pPr>
                    <w:jc w:val="center"/>
                    <w:rPr>
                      <w:rFonts w:hint="default" w:ascii="Times New Roman" w:hAnsi="Times New Roman" w:eastAsia="宋体" w:cs="Times New Roman"/>
                      <w:b w:val="0"/>
                      <w:bCs w:val="0"/>
                      <w:i w:val="0"/>
                      <w:iCs w:val="0"/>
                      <w:sz w:val="21"/>
                      <w:szCs w:val="21"/>
                      <w:u w:val="none"/>
                      <w:lang w:eastAsia="zh-CN"/>
                    </w:rPr>
                  </w:pPr>
                  <w:r>
                    <w:rPr>
                      <w:rFonts w:hint="default" w:ascii="Times New Roman" w:hAnsi="Times New Roman" w:eastAsia="宋体" w:cs="Times New Roman"/>
                      <w:b w:val="0"/>
                      <w:bCs w:val="0"/>
                      <w:i w:val="0"/>
                      <w:iCs w:val="0"/>
                      <w:sz w:val="21"/>
                      <w:szCs w:val="21"/>
                      <w:u w:val="none"/>
                      <w:lang w:eastAsia="zh-CN"/>
                    </w:rPr>
                    <w:t>废水</w:t>
                  </w:r>
                </w:p>
              </w:tc>
              <w:tc>
                <w:tcPr>
                  <w:tcW w:w="2214" w:type="pct"/>
                  <w:noWrap w:val="0"/>
                  <w:vAlign w:val="center"/>
                </w:tcPr>
                <w:p>
                  <w:pPr>
                    <w:pStyle w:val="2"/>
                    <w:ind w:left="0" w:leftChars="0" w:firstLine="0" w:firstLineChars="0"/>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锅炉排污水与生活污水一起经市政管网排入</w:t>
                  </w:r>
                  <w:r>
                    <w:rPr>
                      <w:rFonts w:hint="eastAsia"/>
                      <w:sz w:val="21"/>
                      <w:szCs w:val="21"/>
                      <w:lang w:val="en-US" w:eastAsia="zh-CN"/>
                    </w:rPr>
                    <w:t>柏林水务长春高新污水处理有限公司</w:t>
                  </w:r>
                  <w:r>
                    <w:rPr>
                      <w:rFonts w:hint="default" w:ascii="Times New Roman" w:hAnsi="Times New Roman" w:eastAsia="宋体" w:cs="Times New Roman"/>
                      <w:b w:val="0"/>
                      <w:bCs w:val="0"/>
                      <w:i w:val="0"/>
                      <w:iCs w:val="0"/>
                      <w:sz w:val="21"/>
                      <w:szCs w:val="21"/>
                      <w:u w:val="none"/>
                    </w:rPr>
                    <w:t>。</w:t>
                  </w:r>
                </w:p>
              </w:tc>
              <w:tc>
                <w:tcPr>
                  <w:tcW w:w="1832" w:type="pct"/>
                  <w:noWrap w:val="0"/>
                  <w:vAlign w:val="center"/>
                </w:tcPr>
                <w:p>
                  <w:pPr>
                    <w:jc w:val="center"/>
                    <w:rPr>
                      <w:rFonts w:hint="default" w:ascii="Times New Roman" w:hAnsi="Times New Roman" w:eastAsia="宋体" w:cs="Times New Roman"/>
                      <w:b w:val="0"/>
                      <w:bCs w:val="0"/>
                      <w:i w:val="0"/>
                      <w:iCs w:val="0"/>
                      <w:sz w:val="21"/>
                      <w:szCs w:val="21"/>
                      <w:u w:val="none"/>
                      <w:lang w:eastAsia="zh-CN"/>
                    </w:rPr>
                  </w:pPr>
                  <w:r>
                    <w:rPr>
                      <w:rFonts w:hint="default" w:ascii="Times New Roman" w:hAnsi="Times New Roman" w:eastAsia="宋体" w:cs="Times New Roman"/>
                      <w:b w:val="0"/>
                      <w:bCs w:val="0"/>
                      <w:i w:val="0"/>
                      <w:iCs w:val="0"/>
                      <w:sz w:val="21"/>
                      <w:szCs w:val="21"/>
                      <w:u w:val="none"/>
                      <w:lang w:val="en-US" w:eastAsia="zh-CN"/>
                    </w:rPr>
                    <w:t>《污水综合排放标准》（GB8978-1996）三级排放标准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42" w:type="pct"/>
                  <w:vMerge w:val="continue"/>
                  <w:noWrap w:val="0"/>
                  <w:vAlign w:val="center"/>
                </w:tcPr>
                <w:p>
                  <w:pPr>
                    <w:jc w:val="center"/>
                    <w:rPr>
                      <w:rFonts w:hint="default" w:ascii="Times New Roman" w:hAnsi="Times New Roman" w:eastAsia="宋体" w:cs="Times New Roman"/>
                      <w:b w:val="0"/>
                      <w:bCs w:val="0"/>
                      <w:i w:val="0"/>
                      <w:iCs w:val="0"/>
                      <w:sz w:val="21"/>
                      <w:szCs w:val="21"/>
                      <w:u w:val="none"/>
                    </w:rPr>
                  </w:pPr>
                </w:p>
              </w:tc>
              <w:tc>
                <w:tcPr>
                  <w:tcW w:w="509" w:type="pct"/>
                  <w:noWrap w:val="0"/>
                  <w:vAlign w:val="center"/>
                </w:tcPr>
                <w:p>
                  <w:pPr>
                    <w:jc w:val="center"/>
                    <w:rPr>
                      <w:rFonts w:hint="eastAsia" w:ascii="Times New Roman" w:hAnsi="Times New Roman" w:eastAsia="宋体" w:cs="Times New Roman"/>
                      <w:b w:val="0"/>
                      <w:bCs w:val="0"/>
                      <w:i w:val="0"/>
                      <w:iCs w:val="0"/>
                      <w:sz w:val="21"/>
                      <w:szCs w:val="21"/>
                      <w:u w:val="none"/>
                      <w:lang w:val="en-US" w:eastAsia="zh-CN"/>
                    </w:rPr>
                  </w:pPr>
                  <w:r>
                    <w:rPr>
                      <w:rFonts w:hint="eastAsia" w:ascii="Times New Roman" w:hAnsi="Times New Roman" w:eastAsia="宋体" w:cs="Times New Roman"/>
                      <w:b w:val="0"/>
                      <w:bCs w:val="0"/>
                      <w:i w:val="0"/>
                      <w:iCs w:val="0"/>
                      <w:sz w:val="21"/>
                      <w:szCs w:val="21"/>
                      <w:u w:val="none"/>
                      <w:lang w:val="en-US" w:eastAsia="zh-CN"/>
                    </w:rPr>
                    <w:t>废气</w:t>
                  </w:r>
                </w:p>
              </w:tc>
              <w:tc>
                <w:tcPr>
                  <w:tcW w:w="2214" w:type="pct"/>
                  <w:noWrap w:val="0"/>
                  <w:vAlign w:val="center"/>
                </w:tcPr>
                <w:p>
                  <w:pPr>
                    <w:adjustRightInd w:val="0"/>
                    <w:snapToGrid w:val="0"/>
                    <w:spacing w:line="0" w:lineRule="atLeast"/>
                    <w:jc w:val="center"/>
                    <w:rPr>
                      <w:rFonts w:hint="eastAsia" w:ascii="Times New Roman" w:hAnsi="Times New Roman" w:eastAsia="宋体" w:cs="Times New Roman"/>
                      <w:b w:val="0"/>
                      <w:bCs w:val="0"/>
                      <w:i w:val="0"/>
                      <w:iCs w:val="0"/>
                      <w:sz w:val="21"/>
                      <w:szCs w:val="21"/>
                      <w:u w:val="none"/>
                      <w:lang w:val="en-US" w:eastAsia="zh-CN"/>
                    </w:rPr>
                  </w:pPr>
                  <w:r>
                    <w:rPr>
                      <w:rFonts w:hint="default" w:ascii="Times New Roman" w:hAnsi="Times New Roman" w:eastAsia="宋体" w:cs="Times New Roman"/>
                      <w:i w:val="0"/>
                      <w:iCs w:val="0"/>
                      <w:sz w:val="21"/>
                      <w:szCs w:val="21"/>
                      <w:u w:val="none"/>
                      <w:lang w:val="en-US" w:eastAsia="zh-CN"/>
                    </w:rPr>
                    <w:t>燃气锅炉产生的锅炉烟气经</w:t>
                  </w:r>
                  <w:r>
                    <w:rPr>
                      <w:rFonts w:hint="eastAsia" w:cs="Times New Roman"/>
                      <w:i w:val="0"/>
                      <w:iCs w:val="0"/>
                      <w:sz w:val="21"/>
                      <w:szCs w:val="21"/>
                      <w:u w:val="none"/>
                      <w:lang w:val="en-US" w:eastAsia="zh-CN"/>
                    </w:rPr>
                    <w:t>1</w:t>
                  </w:r>
                  <w:r>
                    <w:rPr>
                      <w:rFonts w:hint="default" w:ascii="Times New Roman" w:hAnsi="Times New Roman" w:eastAsia="宋体" w:cs="Times New Roman"/>
                      <w:i w:val="0"/>
                      <w:iCs w:val="0"/>
                      <w:sz w:val="21"/>
                      <w:szCs w:val="21"/>
                      <w:u w:val="none"/>
                      <w:lang w:val="en-US" w:eastAsia="zh-CN"/>
                    </w:rPr>
                    <w:t>根</w:t>
                  </w:r>
                  <w:r>
                    <w:rPr>
                      <w:rFonts w:hint="eastAsia" w:ascii="Times New Roman" w:hAnsi="Times New Roman" w:eastAsia="宋体" w:cs="Times New Roman"/>
                      <w:i w:val="0"/>
                      <w:iCs w:val="0"/>
                      <w:sz w:val="21"/>
                      <w:szCs w:val="21"/>
                      <w:u w:val="none"/>
                      <w:lang w:val="en-US" w:eastAsia="zh-CN"/>
                    </w:rPr>
                    <w:t>15</w:t>
                  </w:r>
                  <w:r>
                    <w:rPr>
                      <w:rFonts w:hint="default" w:ascii="Times New Roman" w:hAnsi="Times New Roman" w:eastAsia="宋体" w:cs="Times New Roman"/>
                      <w:i w:val="0"/>
                      <w:iCs w:val="0"/>
                      <w:sz w:val="21"/>
                      <w:szCs w:val="21"/>
                      <w:u w:val="none"/>
                      <w:lang w:val="en-US" w:eastAsia="zh-CN"/>
                    </w:rPr>
                    <w:t>m的烟囱排放。</w:t>
                  </w:r>
                </w:p>
              </w:tc>
              <w:tc>
                <w:tcPr>
                  <w:tcW w:w="1832" w:type="pct"/>
                  <w:noWrap w:val="0"/>
                  <w:vAlign w:val="center"/>
                </w:tcPr>
                <w:p>
                  <w:pPr>
                    <w:adjustRightInd w:val="0"/>
                    <w:snapToGrid w:val="0"/>
                    <w:jc w:val="center"/>
                    <w:rPr>
                      <w:rFonts w:hint="eastAsia" w:ascii="Times New Roman" w:hAnsi="Times New Roman" w:eastAsia="宋体" w:cs="宋体"/>
                      <w:b w:val="0"/>
                      <w:bCs w:val="0"/>
                      <w:i w:val="0"/>
                      <w:iCs w:val="0"/>
                      <w:sz w:val="21"/>
                      <w:szCs w:val="21"/>
                      <w:u w:val="none"/>
                      <w:lang w:val="en-US" w:eastAsia="zh-CN"/>
                    </w:rPr>
                  </w:pPr>
                  <w:r>
                    <w:rPr>
                      <w:rFonts w:hint="eastAsia" w:ascii="Times New Roman" w:hAnsi="Times New Roman" w:eastAsia="宋体" w:cs="Times New Roman"/>
                      <w:b w:val="0"/>
                      <w:bCs w:val="0"/>
                      <w:i w:val="0"/>
                      <w:iCs w:val="0"/>
                      <w:sz w:val="21"/>
                      <w:szCs w:val="21"/>
                      <w:u w:val="none"/>
                      <w:lang w:val="en-US" w:eastAsia="zh-CN"/>
                    </w:rPr>
                    <w:t>《</w:t>
                  </w:r>
                  <w:r>
                    <w:rPr>
                      <w:rFonts w:hint="default" w:ascii="Times New Roman" w:hAnsi="Times New Roman" w:eastAsia="宋体" w:cs="Times New Roman"/>
                      <w:b w:val="0"/>
                      <w:bCs w:val="0"/>
                      <w:i w:val="0"/>
                      <w:iCs w:val="0"/>
                      <w:sz w:val="21"/>
                      <w:szCs w:val="21"/>
                      <w:u w:val="none"/>
                      <w:lang w:val="en-US" w:eastAsia="zh-CN"/>
                    </w:rPr>
                    <w:t>锅炉大气污染物</w:t>
                  </w:r>
                  <w:r>
                    <w:rPr>
                      <w:rFonts w:hint="eastAsia" w:ascii="Times New Roman" w:hAnsi="Times New Roman" w:eastAsia="宋体" w:cs="Times New Roman"/>
                      <w:b w:val="0"/>
                      <w:bCs w:val="0"/>
                      <w:i w:val="0"/>
                      <w:iCs w:val="0"/>
                      <w:sz w:val="21"/>
                      <w:szCs w:val="21"/>
                      <w:u w:val="none"/>
                      <w:lang w:val="en-US" w:eastAsia="zh-CN"/>
                    </w:rPr>
                    <w:t>排放标准》</w:t>
                  </w:r>
                  <w:r>
                    <w:rPr>
                      <w:rFonts w:hint="default" w:ascii="Times New Roman" w:hAnsi="Times New Roman" w:eastAsia="宋体" w:cs="Times New Roman"/>
                      <w:b w:val="0"/>
                      <w:bCs w:val="0"/>
                      <w:i w:val="0"/>
                      <w:iCs w:val="0"/>
                      <w:sz w:val="21"/>
                      <w:szCs w:val="21"/>
                      <w:u w:val="none"/>
                      <w:lang w:val="en-US" w:eastAsia="zh-CN"/>
                    </w:rPr>
                    <w:t>（GB13271-2014）中表3特别排放限值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42" w:type="pct"/>
                  <w:vMerge w:val="continue"/>
                  <w:noWrap w:val="0"/>
                  <w:vAlign w:val="center"/>
                </w:tcPr>
                <w:p>
                  <w:pPr>
                    <w:jc w:val="center"/>
                    <w:rPr>
                      <w:rFonts w:hint="default" w:ascii="Times New Roman" w:hAnsi="Times New Roman" w:eastAsia="宋体" w:cs="Times New Roman"/>
                      <w:b w:val="0"/>
                      <w:bCs w:val="0"/>
                      <w:i w:val="0"/>
                      <w:iCs w:val="0"/>
                      <w:sz w:val="21"/>
                      <w:szCs w:val="21"/>
                      <w:u w:val="none"/>
                    </w:rPr>
                  </w:pPr>
                </w:p>
              </w:tc>
              <w:tc>
                <w:tcPr>
                  <w:tcW w:w="509" w:type="pct"/>
                  <w:noWrap w:val="0"/>
                  <w:vAlign w:val="center"/>
                </w:tcPr>
                <w:p>
                  <w:pPr>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噪声</w:t>
                  </w:r>
                </w:p>
              </w:tc>
              <w:tc>
                <w:tcPr>
                  <w:tcW w:w="2214"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lang w:val="en-US" w:eastAsia="zh-CN"/>
                    </w:rPr>
                    <w:t>选择优质低噪声设备，对产噪设备采取隔声、减振措施，以减少设备噪声对周围环境的影响。</w:t>
                  </w:r>
                </w:p>
              </w:tc>
              <w:tc>
                <w:tcPr>
                  <w:tcW w:w="1832" w:type="pct"/>
                  <w:noWrap w:val="0"/>
                  <w:vAlign w:val="center"/>
                </w:tcPr>
                <w:p>
                  <w:pPr>
                    <w:adjustRightInd w:val="0"/>
                    <w:snapToGrid w:val="0"/>
                    <w:jc w:val="center"/>
                    <w:rPr>
                      <w:rFonts w:hint="default" w:ascii="Times New Roman" w:hAnsi="Times New Roman" w:eastAsia="宋体" w:cs="宋体"/>
                      <w:b w:val="0"/>
                      <w:bCs w:val="0"/>
                      <w:i w:val="0"/>
                      <w:iCs w:val="0"/>
                      <w:sz w:val="21"/>
                      <w:szCs w:val="21"/>
                      <w:u w:val="none"/>
                      <w:lang w:val="en-US" w:eastAsia="zh-CN"/>
                    </w:rPr>
                  </w:pPr>
                  <w:r>
                    <w:rPr>
                      <w:rFonts w:hint="default" w:ascii="Times New Roman" w:hAnsi="Times New Roman" w:eastAsia="宋体" w:cs="宋体"/>
                      <w:b w:val="0"/>
                      <w:bCs w:val="0"/>
                      <w:i w:val="0"/>
                      <w:iCs w:val="0"/>
                      <w:sz w:val="21"/>
                      <w:szCs w:val="21"/>
                      <w:u w:val="none"/>
                      <w:lang w:val="en-US" w:eastAsia="zh-CN"/>
                    </w:rPr>
                    <w:t>《工业企业厂界环境噪声排放标准》（GB12348-2008）中</w:t>
                  </w:r>
                  <w:r>
                    <w:rPr>
                      <w:rFonts w:hint="eastAsia" w:ascii="Times New Roman" w:hAnsi="Times New Roman" w:eastAsia="宋体" w:cs="宋体"/>
                      <w:b w:val="0"/>
                      <w:bCs w:val="0"/>
                      <w:i w:val="0"/>
                      <w:iCs w:val="0"/>
                      <w:sz w:val="21"/>
                      <w:szCs w:val="21"/>
                      <w:u w:val="none"/>
                      <w:lang w:val="en-US" w:eastAsia="zh-CN"/>
                    </w:rPr>
                    <w:t>3</w:t>
                  </w:r>
                  <w:r>
                    <w:rPr>
                      <w:rFonts w:hint="default" w:ascii="Times New Roman" w:hAnsi="Times New Roman" w:eastAsia="宋体" w:cs="宋体"/>
                      <w:b w:val="0"/>
                      <w:bCs w:val="0"/>
                      <w:i w:val="0"/>
                      <w:iCs w:val="0"/>
                      <w:sz w:val="21"/>
                      <w:szCs w:val="21"/>
                      <w:u w:val="none"/>
                      <w:lang w:val="en-US" w:eastAsia="zh-CN"/>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42" w:type="pct"/>
                  <w:vMerge w:val="continue"/>
                  <w:noWrap w:val="0"/>
                  <w:vAlign w:val="center"/>
                </w:tcPr>
                <w:p>
                  <w:pPr>
                    <w:jc w:val="center"/>
                    <w:rPr>
                      <w:rFonts w:hint="default" w:ascii="Times New Roman" w:hAnsi="Times New Roman" w:eastAsia="宋体" w:cs="Times New Roman"/>
                      <w:b w:val="0"/>
                      <w:bCs w:val="0"/>
                      <w:i w:val="0"/>
                      <w:iCs w:val="0"/>
                      <w:sz w:val="21"/>
                      <w:szCs w:val="21"/>
                      <w:u w:val="none"/>
                    </w:rPr>
                  </w:pPr>
                </w:p>
              </w:tc>
              <w:tc>
                <w:tcPr>
                  <w:tcW w:w="509" w:type="pct"/>
                  <w:noWrap w:val="0"/>
                  <w:vAlign w:val="center"/>
                </w:tcPr>
                <w:p>
                  <w:pPr>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固废</w:t>
                  </w:r>
                </w:p>
              </w:tc>
              <w:tc>
                <w:tcPr>
                  <w:tcW w:w="2214" w:type="pct"/>
                  <w:noWrap w:val="0"/>
                  <w:vAlign w:val="center"/>
                </w:tcPr>
                <w:p>
                  <w:pPr>
                    <w:adjustRightInd w:val="0"/>
                    <w:snapToGrid w:val="0"/>
                    <w:spacing w:line="0" w:lineRule="atLeast"/>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职工生活垃圾收集后定期交由环卫部门处理；本项目在软化水处理系统中的离子交换树脂每年更换一次，废弃离子交换树脂交由环卫部门处理。</w:t>
                  </w:r>
                </w:p>
              </w:tc>
              <w:tc>
                <w:tcPr>
                  <w:tcW w:w="1832" w:type="pct"/>
                  <w:noWrap w:val="0"/>
                  <w:vAlign w:val="center"/>
                </w:tcPr>
                <w:p>
                  <w:pPr>
                    <w:ind w:firstLine="420" w:firstLineChars="200"/>
                    <w:jc w:val="center"/>
                    <w:rPr>
                      <w:rFonts w:hint="default" w:ascii="Times New Roman" w:hAnsi="Times New Roman" w:eastAsia="宋体" w:cs="Times New Roman"/>
                      <w:b w:val="0"/>
                      <w:bCs w:val="0"/>
                      <w:i w:val="0"/>
                      <w:iCs w:val="0"/>
                      <w:sz w:val="21"/>
                      <w:szCs w:val="21"/>
                      <w:u w:val="none"/>
                    </w:rPr>
                  </w:pPr>
                  <w:r>
                    <w:rPr>
                      <w:rFonts w:hint="default" w:ascii="Times New Roman" w:hAnsi="Times New Roman" w:eastAsia="宋体" w:cs="Times New Roman"/>
                      <w:b w:val="0"/>
                      <w:bCs w:val="0"/>
                      <w:i w:val="0"/>
                      <w:iCs w:val="0"/>
                      <w:sz w:val="21"/>
                      <w:szCs w:val="21"/>
                      <w:u w:val="none"/>
                    </w:rPr>
                    <w:t>不产生二次污染</w:t>
                  </w:r>
                </w:p>
              </w:tc>
            </w:tr>
          </w:tbl>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p>
            <w:pPr>
              <w:adjustRightInd w:val="0"/>
              <w:snapToGrid w:val="0"/>
              <w:rPr>
                <w:rFonts w:hint="eastAsia" w:ascii="Times New Roman" w:hAnsi="Times New Roman" w:eastAsia="宋体"/>
                <w:i w:val="0"/>
                <w:iCs w:val="0"/>
                <w:sz w:val="21"/>
                <w:szCs w:val="21"/>
                <w:u w:val="none"/>
                <w:lang w:eastAsia="zh-CN"/>
              </w:rPr>
            </w:pPr>
          </w:p>
        </w:tc>
      </w:tr>
    </w:tbl>
    <w:p>
      <w:pPr>
        <w:pStyle w:val="20"/>
        <w:jc w:val="center"/>
        <w:outlineLvl w:val="0"/>
        <w:rPr>
          <w:rFonts w:ascii="Times New Roman" w:hAnsi="Times New Roman" w:eastAsia="宋体"/>
          <w:snapToGrid w:val="0"/>
          <w:sz w:val="30"/>
          <w:szCs w:val="30"/>
        </w:rPr>
      </w:pPr>
      <w:r>
        <w:rPr>
          <w:rFonts w:ascii="Times New Roman" w:hAnsi="Times New Roman" w:eastAsia="宋体"/>
          <w:snapToGrid w:val="0"/>
        </w:rPr>
        <w:br w:type="page"/>
      </w:r>
      <w:r>
        <w:rPr>
          <w:rFonts w:ascii="Times New Roman" w:hAnsi="Times New Roman" w:eastAsia="宋体"/>
          <w:snapToGrid w:val="0"/>
          <w:sz w:val="30"/>
          <w:szCs w:val="30"/>
        </w:rPr>
        <w:t>六、结论</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20" w:firstLineChars="200"/>
              <w:rPr>
                <w:rFonts w:hint="eastAsia" w:ascii="Times New Roman" w:hAnsi="Times New Roman" w:eastAsia="宋体"/>
                <w:sz w:val="21"/>
                <w:szCs w:val="21"/>
              </w:rPr>
            </w:pP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综上所述，本项目符合国家产业政策，针对生产过程中可能存在的环境问题均采取严格有效的防治措施，能够达到主要污染物排放浓度达标的要求，其对大气、地表水、声环境、地下水环境、土壤环境产生的影响较小，项目建设具有一定的社会效益与经济效益，在严格执行本环评提出的污染治理措施基础上，本项目的建设从环境保护角度来看，选址合理，项目可行。</w:t>
            </w:r>
          </w:p>
          <w:p>
            <w:pPr>
              <w:spacing w:line="360" w:lineRule="auto"/>
              <w:rPr>
                <w:rFonts w:ascii="Times New Roman" w:hAnsi="Times New Roman" w:eastAsia="宋体"/>
                <w:sz w:val="24"/>
              </w:rPr>
            </w:pPr>
          </w:p>
        </w:tc>
      </w:tr>
    </w:tbl>
    <w:p>
      <w:pPr>
        <w:rPr>
          <w:rFonts w:ascii="Times New Roman" w:hAnsi="Times New Roman" w:eastAsia="宋体"/>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adjustRightInd w:val="0"/>
        <w:snapToGrid w:val="0"/>
        <w:spacing w:before="0" w:beforeAutospacing="0" w:after="0" w:afterAutospacing="0" w:line="360" w:lineRule="auto"/>
        <w:outlineLvl w:val="0"/>
        <w:rPr>
          <w:rFonts w:ascii="Times New Roman" w:hAnsi="Times New Roman" w:eastAsia="宋体"/>
          <w:b/>
          <w:bCs/>
          <w:snapToGrid w:val="0"/>
          <w:sz w:val="32"/>
          <w:szCs w:val="32"/>
        </w:rPr>
      </w:pPr>
      <w:r>
        <w:rPr>
          <w:rFonts w:ascii="Times New Roman" w:hAnsi="Times New Roman" w:eastAsia="宋体"/>
          <w:b/>
          <w:bCs/>
          <w:snapToGrid w:val="0"/>
          <w:sz w:val="32"/>
          <w:szCs w:val="32"/>
        </w:rPr>
        <w:t>附表</w:t>
      </w:r>
    </w:p>
    <w:p>
      <w:pPr>
        <w:pStyle w:val="20"/>
        <w:adjustRightInd w:val="0"/>
        <w:snapToGrid w:val="0"/>
        <w:spacing w:before="0" w:beforeAutospacing="0" w:after="0" w:afterAutospacing="0" w:line="360" w:lineRule="auto"/>
        <w:jc w:val="center"/>
        <w:outlineLvl w:val="0"/>
        <w:rPr>
          <w:rFonts w:ascii="Times New Roman" w:hAnsi="Times New Roman" w:eastAsia="宋体"/>
          <w:b/>
          <w:bCs/>
          <w:snapToGrid w:val="0"/>
          <w:sz w:val="38"/>
          <w:szCs w:val="38"/>
        </w:rPr>
      </w:pPr>
      <w:r>
        <w:rPr>
          <w:rFonts w:ascii="Times New Roman" w:hAnsi="Times New Roman" w:eastAsia="宋体"/>
          <w:b/>
          <w:bCs/>
          <w:snapToGrid w:val="0"/>
          <w:sz w:val="38"/>
          <w:szCs w:val="38"/>
        </w:rPr>
        <w:t>建设项目污染物排放量汇总表</w:t>
      </w:r>
    </w:p>
    <w:tbl>
      <w:tblPr>
        <w:tblStyle w:val="23"/>
        <w:tblW w:w="1406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84"/>
        <w:gridCol w:w="1322"/>
        <w:gridCol w:w="1701"/>
        <w:gridCol w:w="1276"/>
        <w:gridCol w:w="1701"/>
        <w:gridCol w:w="1559"/>
        <w:gridCol w:w="1761"/>
        <w:gridCol w:w="1641"/>
        <w:gridCol w:w="14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99" w:type="dxa"/>
            <w:tcBorders>
              <w:tl2br w:val="single" w:color="auto" w:sz="4" w:space="0"/>
            </w:tcBorders>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项目</w:t>
            </w:r>
          </w:p>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分类</w:t>
            </w:r>
          </w:p>
        </w:tc>
        <w:tc>
          <w:tcPr>
            <w:tcW w:w="2306" w:type="dxa"/>
            <w:gridSpan w:val="2"/>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污染物名称</w:t>
            </w:r>
          </w:p>
        </w:tc>
        <w:tc>
          <w:tcPr>
            <w:tcW w:w="1701"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现有工程排放量（固体废物产生量）</w:t>
            </w:r>
            <w:r>
              <w:rPr>
                <w:rFonts w:ascii="Times New Roman" w:hAnsi="Times New Roman" w:eastAsia="宋体"/>
                <w:snapToGrid w:val="0"/>
                <w:color w:val="000000"/>
                <w:spacing w:val="-6"/>
                <w:kern w:val="21"/>
                <w:sz w:val="24"/>
                <w:szCs w:val="24"/>
              </w:rPr>
              <w:fldChar w:fldCharType="begin"/>
            </w:r>
            <w:r>
              <w:rPr>
                <w:rFonts w:ascii="Times New Roman" w:hAnsi="Times New Roman" w:eastAsia="宋体"/>
                <w:snapToGrid w:val="0"/>
                <w:color w:val="000000"/>
                <w:spacing w:val="-6"/>
                <w:kern w:val="21"/>
                <w:sz w:val="24"/>
                <w:szCs w:val="24"/>
              </w:rPr>
              <w:instrText xml:space="preserve"> = 1 \* GB3 \* MERGEFORMAT </w:instrText>
            </w:r>
            <w:r>
              <w:rPr>
                <w:rFonts w:ascii="Times New Roman" w:hAnsi="Times New Roman" w:eastAsia="宋体"/>
                <w:snapToGrid w:val="0"/>
                <w:color w:val="000000"/>
                <w:spacing w:val="-6"/>
                <w:kern w:val="21"/>
                <w:sz w:val="24"/>
                <w:szCs w:val="24"/>
              </w:rPr>
              <w:fldChar w:fldCharType="separate"/>
            </w:r>
            <w:r>
              <w:rPr>
                <w:rFonts w:hint="eastAsia" w:ascii="Times New Roman" w:hAnsi="Times New Roman" w:eastAsia="宋体" w:cs="宋体"/>
                <w:kern w:val="2"/>
                <w:sz w:val="24"/>
                <w:szCs w:val="24"/>
              </w:rPr>
              <w:t>①</w:t>
            </w:r>
            <w:r>
              <w:rPr>
                <w:rFonts w:ascii="Times New Roman" w:hAnsi="Times New Roman" w:eastAsia="宋体"/>
                <w:snapToGrid w:val="0"/>
                <w:color w:val="000000"/>
                <w:spacing w:val="-6"/>
                <w:kern w:val="21"/>
                <w:sz w:val="24"/>
                <w:szCs w:val="24"/>
              </w:rPr>
              <w:fldChar w:fldCharType="end"/>
            </w:r>
          </w:p>
        </w:tc>
        <w:tc>
          <w:tcPr>
            <w:tcW w:w="1276"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现有工程</w:t>
            </w:r>
          </w:p>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许可排放量</w:t>
            </w:r>
          </w:p>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fldChar w:fldCharType="begin"/>
            </w:r>
            <w:r>
              <w:rPr>
                <w:rFonts w:ascii="Times New Roman" w:hAnsi="Times New Roman" w:eastAsia="宋体"/>
                <w:snapToGrid w:val="0"/>
                <w:color w:val="000000"/>
                <w:spacing w:val="-6"/>
                <w:kern w:val="21"/>
                <w:sz w:val="24"/>
                <w:szCs w:val="24"/>
              </w:rPr>
              <w:instrText xml:space="preserve"> = 2 \* GB3 \* MERGEFORMAT </w:instrText>
            </w:r>
            <w:r>
              <w:rPr>
                <w:rFonts w:ascii="Times New Roman" w:hAnsi="Times New Roman" w:eastAsia="宋体"/>
                <w:snapToGrid w:val="0"/>
                <w:color w:val="000000"/>
                <w:spacing w:val="-6"/>
                <w:kern w:val="21"/>
                <w:sz w:val="24"/>
                <w:szCs w:val="24"/>
              </w:rPr>
              <w:fldChar w:fldCharType="separate"/>
            </w:r>
            <w:r>
              <w:rPr>
                <w:rFonts w:hint="eastAsia" w:ascii="Times New Roman" w:hAnsi="Times New Roman" w:eastAsia="宋体" w:cs="宋体"/>
                <w:snapToGrid w:val="0"/>
                <w:color w:val="000000"/>
                <w:spacing w:val="-6"/>
                <w:kern w:val="21"/>
                <w:sz w:val="24"/>
                <w:szCs w:val="24"/>
              </w:rPr>
              <w:t>②</w:t>
            </w:r>
            <w:r>
              <w:rPr>
                <w:rFonts w:ascii="Times New Roman" w:hAnsi="Times New Roman" w:eastAsia="宋体"/>
                <w:snapToGrid w:val="0"/>
                <w:color w:val="000000"/>
                <w:spacing w:val="-6"/>
                <w:kern w:val="21"/>
                <w:sz w:val="24"/>
                <w:szCs w:val="24"/>
              </w:rPr>
              <w:fldChar w:fldCharType="end"/>
            </w:r>
          </w:p>
        </w:tc>
        <w:tc>
          <w:tcPr>
            <w:tcW w:w="1701"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在建工程</w:t>
            </w:r>
          </w:p>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排放量（固体废物产生量）</w:t>
            </w:r>
            <w:r>
              <w:rPr>
                <w:rFonts w:ascii="Times New Roman" w:hAnsi="Times New Roman" w:eastAsia="宋体"/>
                <w:snapToGrid w:val="0"/>
                <w:color w:val="000000"/>
                <w:spacing w:val="-6"/>
                <w:kern w:val="21"/>
                <w:sz w:val="24"/>
                <w:szCs w:val="24"/>
              </w:rPr>
              <w:fldChar w:fldCharType="begin"/>
            </w:r>
            <w:r>
              <w:rPr>
                <w:rFonts w:ascii="Times New Roman" w:hAnsi="Times New Roman" w:eastAsia="宋体"/>
                <w:snapToGrid w:val="0"/>
                <w:color w:val="000000"/>
                <w:spacing w:val="-6"/>
                <w:kern w:val="21"/>
                <w:sz w:val="24"/>
                <w:szCs w:val="24"/>
              </w:rPr>
              <w:instrText xml:space="preserve"> = 3 \* GB3 \* MERGEFORMAT </w:instrText>
            </w:r>
            <w:r>
              <w:rPr>
                <w:rFonts w:ascii="Times New Roman" w:hAnsi="Times New Roman" w:eastAsia="宋体"/>
                <w:snapToGrid w:val="0"/>
                <w:color w:val="000000"/>
                <w:spacing w:val="-6"/>
                <w:kern w:val="21"/>
                <w:sz w:val="24"/>
                <w:szCs w:val="24"/>
              </w:rPr>
              <w:fldChar w:fldCharType="separate"/>
            </w:r>
            <w:r>
              <w:rPr>
                <w:rFonts w:hint="eastAsia" w:ascii="Times New Roman" w:hAnsi="Times New Roman" w:eastAsia="宋体" w:cs="宋体"/>
                <w:kern w:val="2"/>
                <w:sz w:val="24"/>
                <w:szCs w:val="24"/>
              </w:rPr>
              <w:t>③</w:t>
            </w:r>
            <w:r>
              <w:rPr>
                <w:rFonts w:ascii="Times New Roman" w:hAnsi="Times New Roman" w:eastAsia="宋体"/>
                <w:snapToGrid w:val="0"/>
                <w:color w:val="000000"/>
                <w:spacing w:val="-6"/>
                <w:kern w:val="21"/>
                <w:sz w:val="24"/>
                <w:szCs w:val="24"/>
              </w:rPr>
              <w:fldChar w:fldCharType="end"/>
            </w:r>
          </w:p>
        </w:tc>
        <w:tc>
          <w:tcPr>
            <w:tcW w:w="1559"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本项目</w:t>
            </w:r>
          </w:p>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排放量（固体废物产生量）</w:t>
            </w:r>
            <w:r>
              <w:rPr>
                <w:rFonts w:ascii="Times New Roman" w:hAnsi="Times New Roman" w:eastAsia="宋体"/>
                <w:snapToGrid w:val="0"/>
                <w:color w:val="000000"/>
                <w:spacing w:val="-6"/>
                <w:kern w:val="21"/>
                <w:sz w:val="24"/>
                <w:szCs w:val="24"/>
              </w:rPr>
              <w:fldChar w:fldCharType="begin"/>
            </w:r>
            <w:r>
              <w:rPr>
                <w:rFonts w:ascii="Times New Roman" w:hAnsi="Times New Roman" w:eastAsia="宋体"/>
                <w:snapToGrid w:val="0"/>
                <w:color w:val="000000"/>
                <w:spacing w:val="-6"/>
                <w:kern w:val="21"/>
                <w:sz w:val="24"/>
                <w:szCs w:val="24"/>
              </w:rPr>
              <w:instrText xml:space="preserve"> = 4 \* GB3 \* MERGEFORMAT </w:instrText>
            </w:r>
            <w:r>
              <w:rPr>
                <w:rFonts w:ascii="Times New Roman" w:hAnsi="Times New Roman" w:eastAsia="宋体"/>
                <w:snapToGrid w:val="0"/>
                <w:color w:val="000000"/>
                <w:spacing w:val="-6"/>
                <w:kern w:val="21"/>
                <w:sz w:val="24"/>
                <w:szCs w:val="24"/>
              </w:rPr>
              <w:fldChar w:fldCharType="separate"/>
            </w:r>
            <w:r>
              <w:rPr>
                <w:rFonts w:hint="eastAsia" w:ascii="Times New Roman" w:hAnsi="Times New Roman" w:eastAsia="宋体" w:cs="宋体"/>
                <w:kern w:val="2"/>
                <w:sz w:val="24"/>
                <w:szCs w:val="24"/>
              </w:rPr>
              <w:t>④</w:t>
            </w:r>
            <w:r>
              <w:rPr>
                <w:rFonts w:ascii="Times New Roman" w:hAnsi="Times New Roman" w:eastAsia="宋体"/>
                <w:snapToGrid w:val="0"/>
                <w:color w:val="000000"/>
                <w:spacing w:val="-6"/>
                <w:kern w:val="21"/>
                <w:sz w:val="24"/>
                <w:szCs w:val="24"/>
              </w:rPr>
              <w:fldChar w:fldCharType="end"/>
            </w:r>
          </w:p>
        </w:tc>
        <w:tc>
          <w:tcPr>
            <w:tcW w:w="1761"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16"/>
                <w:kern w:val="21"/>
                <w:sz w:val="24"/>
                <w:szCs w:val="24"/>
              </w:rPr>
            </w:pPr>
            <w:r>
              <w:rPr>
                <w:rFonts w:ascii="Times New Roman" w:hAnsi="Times New Roman" w:eastAsia="宋体"/>
                <w:snapToGrid w:val="0"/>
                <w:color w:val="000000"/>
                <w:spacing w:val="-16"/>
                <w:kern w:val="21"/>
                <w:sz w:val="24"/>
                <w:szCs w:val="24"/>
              </w:rPr>
              <w:t>以新带老削减量</w:t>
            </w:r>
          </w:p>
          <w:p>
            <w:pPr>
              <w:pStyle w:val="40"/>
              <w:spacing w:beforeLines="0" w:afterLines="0" w:line="240" w:lineRule="auto"/>
              <w:rPr>
                <w:rFonts w:ascii="Times New Roman" w:hAnsi="Times New Roman" w:eastAsia="宋体"/>
                <w:snapToGrid w:val="0"/>
                <w:color w:val="000000"/>
                <w:spacing w:val="-16"/>
                <w:kern w:val="21"/>
                <w:sz w:val="24"/>
                <w:szCs w:val="24"/>
              </w:rPr>
            </w:pPr>
            <w:r>
              <w:rPr>
                <w:rFonts w:ascii="Times New Roman" w:hAnsi="Times New Roman" w:eastAsia="宋体"/>
                <w:snapToGrid w:val="0"/>
                <w:color w:val="000000"/>
                <w:spacing w:val="-16"/>
                <w:kern w:val="21"/>
                <w:sz w:val="24"/>
                <w:szCs w:val="24"/>
              </w:rPr>
              <w:t>（新建项目不填）</w:t>
            </w:r>
            <w:r>
              <w:rPr>
                <w:rFonts w:ascii="Times New Roman" w:hAnsi="Times New Roman" w:eastAsia="宋体"/>
                <w:snapToGrid w:val="0"/>
                <w:color w:val="000000"/>
                <w:spacing w:val="-16"/>
                <w:kern w:val="21"/>
                <w:sz w:val="24"/>
                <w:szCs w:val="24"/>
              </w:rPr>
              <w:fldChar w:fldCharType="begin"/>
            </w:r>
            <w:r>
              <w:rPr>
                <w:rFonts w:ascii="Times New Roman" w:hAnsi="Times New Roman" w:eastAsia="宋体"/>
                <w:snapToGrid w:val="0"/>
                <w:color w:val="000000"/>
                <w:spacing w:val="-16"/>
                <w:kern w:val="21"/>
                <w:sz w:val="24"/>
                <w:szCs w:val="24"/>
              </w:rPr>
              <w:instrText xml:space="preserve"> = 5 \* GB3 \* MERGEFORMAT </w:instrText>
            </w:r>
            <w:r>
              <w:rPr>
                <w:rFonts w:ascii="Times New Roman" w:hAnsi="Times New Roman" w:eastAsia="宋体"/>
                <w:snapToGrid w:val="0"/>
                <w:color w:val="000000"/>
                <w:spacing w:val="-16"/>
                <w:kern w:val="21"/>
                <w:sz w:val="24"/>
                <w:szCs w:val="24"/>
              </w:rPr>
              <w:fldChar w:fldCharType="separate"/>
            </w:r>
            <w:r>
              <w:rPr>
                <w:rFonts w:hint="eastAsia" w:ascii="Times New Roman" w:hAnsi="Times New Roman" w:eastAsia="宋体" w:cs="宋体"/>
                <w:kern w:val="2"/>
                <w:sz w:val="24"/>
                <w:szCs w:val="24"/>
              </w:rPr>
              <w:t>⑤</w:t>
            </w:r>
            <w:r>
              <w:rPr>
                <w:rFonts w:ascii="Times New Roman" w:hAnsi="Times New Roman" w:eastAsia="宋体"/>
                <w:snapToGrid w:val="0"/>
                <w:color w:val="000000"/>
                <w:spacing w:val="-16"/>
                <w:kern w:val="21"/>
                <w:sz w:val="24"/>
                <w:szCs w:val="24"/>
              </w:rPr>
              <w:fldChar w:fldCharType="end"/>
            </w:r>
          </w:p>
        </w:tc>
        <w:tc>
          <w:tcPr>
            <w:tcW w:w="1641"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16"/>
                <w:kern w:val="21"/>
                <w:sz w:val="24"/>
                <w:szCs w:val="24"/>
              </w:rPr>
            </w:pPr>
            <w:r>
              <w:rPr>
                <w:rFonts w:ascii="Times New Roman" w:hAnsi="Times New Roman" w:eastAsia="宋体"/>
                <w:snapToGrid w:val="0"/>
                <w:color w:val="000000"/>
                <w:spacing w:val="-16"/>
                <w:kern w:val="21"/>
                <w:sz w:val="24"/>
                <w:szCs w:val="24"/>
              </w:rPr>
              <w:t>本项目建成后</w:t>
            </w:r>
          </w:p>
          <w:p>
            <w:pPr>
              <w:pStyle w:val="40"/>
              <w:spacing w:beforeLines="0" w:afterLines="0" w:line="240" w:lineRule="auto"/>
              <w:rPr>
                <w:rFonts w:ascii="Times New Roman" w:hAnsi="Times New Roman" w:eastAsia="宋体"/>
                <w:snapToGrid w:val="0"/>
                <w:color w:val="000000"/>
                <w:spacing w:val="-16"/>
                <w:kern w:val="21"/>
                <w:sz w:val="24"/>
                <w:szCs w:val="24"/>
              </w:rPr>
            </w:pPr>
            <w:r>
              <w:rPr>
                <w:rFonts w:ascii="Times New Roman" w:hAnsi="Times New Roman" w:eastAsia="宋体"/>
                <w:snapToGrid w:val="0"/>
                <w:color w:val="000000"/>
                <w:spacing w:val="-16"/>
                <w:kern w:val="21"/>
                <w:sz w:val="24"/>
                <w:szCs w:val="24"/>
              </w:rPr>
              <w:t>全厂排放量（固体废物产生量）</w:t>
            </w:r>
            <w:r>
              <w:rPr>
                <w:rFonts w:ascii="Times New Roman" w:hAnsi="Times New Roman" w:eastAsia="宋体"/>
                <w:snapToGrid w:val="0"/>
                <w:color w:val="000000"/>
                <w:spacing w:val="-16"/>
                <w:kern w:val="21"/>
                <w:sz w:val="24"/>
                <w:szCs w:val="24"/>
              </w:rPr>
              <w:fldChar w:fldCharType="begin"/>
            </w:r>
            <w:r>
              <w:rPr>
                <w:rFonts w:ascii="Times New Roman" w:hAnsi="Times New Roman" w:eastAsia="宋体"/>
                <w:snapToGrid w:val="0"/>
                <w:color w:val="000000"/>
                <w:spacing w:val="-16"/>
                <w:kern w:val="21"/>
                <w:sz w:val="24"/>
                <w:szCs w:val="24"/>
              </w:rPr>
              <w:instrText xml:space="preserve"> = 6 \* GB3 \* MERGEFORMAT </w:instrText>
            </w:r>
            <w:r>
              <w:rPr>
                <w:rFonts w:ascii="Times New Roman" w:hAnsi="Times New Roman" w:eastAsia="宋体"/>
                <w:snapToGrid w:val="0"/>
                <w:color w:val="000000"/>
                <w:spacing w:val="-16"/>
                <w:kern w:val="21"/>
                <w:sz w:val="24"/>
                <w:szCs w:val="24"/>
              </w:rPr>
              <w:fldChar w:fldCharType="separate"/>
            </w:r>
            <w:r>
              <w:rPr>
                <w:rFonts w:hint="eastAsia" w:ascii="Times New Roman" w:hAnsi="Times New Roman" w:eastAsia="宋体" w:cs="宋体"/>
                <w:kern w:val="2"/>
                <w:sz w:val="24"/>
                <w:szCs w:val="24"/>
              </w:rPr>
              <w:t>⑥</w:t>
            </w:r>
            <w:r>
              <w:rPr>
                <w:rFonts w:ascii="Times New Roman" w:hAnsi="Times New Roman" w:eastAsia="宋体"/>
                <w:snapToGrid w:val="0"/>
                <w:color w:val="000000"/>
                <w:spacing w:val="-16"/>
                <w:kern w:val="21"/>
                <w:sz w:val="24"/>
                <w:szCs w:val="24"/>
              </w:rPr>
              <w:fldChar w:fldCharType="end"/>
            </w:r>
          </w:p>
        </w:tc>
        <w:tc>
          <w:tcPr>
            <w:tcW w:w="1418" w:type="dxa"/>
            <w:tcMar>
              <w:left w:w="28" w:type="dxa"/>
              <w:right w:w="28" w:type="dxa"/>
            </w:tcMar>
            <w:vAlign w:val="center"/>
          </w:tcPr>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t>变化量</w:t>
            </w:r>
          </w:p>
          <w:p>
            <w:pPr>
              <w:pStyle w:val="40"/>
              <w:spacing w:beforeLines="0" w:afterLines="0" w:line="240" w:lineRule="auto"/>
              <w:rPr>
                <w:rFonts w:ascii="Times New Roman" w:hAnsi="Times New Roman" w:eastAsia="宋体"/>
                <w:snapToGrid w:val="0"/>
                <w:color w:val="000000"/>
                <w:spacing w:val="-6"/>
                <w:kern w:val="21"/>
                <w:sz w:val="24"/>
                <w:szCs w:val="24"/>
              </w:rPr>
            </w:pPr>
            <w:r>
              <w:rPr>
                <w:rFonts w:ascii="Times New Roman" w:hAnsi="Times New Roman" w:eastAsia="宋体"/>
                <w:snapToGrid w:val="0"/>
                <w:color w:val="000000"/>
                <w:spacing w:val="-6"/>
                <w:kern w:val="21"/>
                <w:sz w:val="24"/>
                <w:szCs w:val="24"/>
              </w:rPr>
              <w:fldChar w:fldCharType="begin"/>
            </w:r>
            <w:r>
              <w:rPr>
                <w:rFonts w:ascii="Times New Roman" w:hAnsi="Times New Roman" w:eastAsia="宋体"/>
                <w:snapToGrid w:val="0"/>
                <w:color w:val="000000"/>
                <w:spacing w:val="-6"/>
                <w:kern w:val="21"/>
                <w:sz w:val="24"/>
                <w:szCs w:val="24"/>
              </w:rPr>
              <w:instrText xml:space="preserve"> = 7 \* GB3 \* MERGEFORMAT </w:instrText>
            </w:r>
            <w:r>
              <w:rPr>
                <w:rFonts w:ascii="Times New Roman" w:hAnsi="Times New Roman" w:eastAsia="宋体"/>
                <w:snapToGrid w:val="0"/>
                <w:color w:val="000000"/>
                <w:spacing w:val="-6"/>
                <w:kern w:val="21"/>
                <w:sz w:val="24"/>
                <w:szCs w:val="24"/>
              </w:rPr>
              <w:fldChar w:fldCharType="separate"/>
            </w:r>
            <w:r>
              <w:rPr>
                <w:rFonts w:hint="eastAsia" w:ascii="Times New Roman" w:hAnsi="Times New Roman" w:eastAsia="宋体" w:cs="宋体"/>
                <w:kern w:val="2"/>
                <w:sz w:val="24"/>
                <w:szCs w:val="24"/>
              </w:rPr>
              <w:t>⑦</w:t>
            </w:r>
            <w:r>
              <w:rPr>
                <w:rFonts w:ascii="Times New Roman" w:hAnsi="Times New Roman" w:eastAsia="宋体"/>
                <w:snapToGrid w:val="0"/>
                <w:color w:val="000000"/>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99"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ascii="Times New Roman" w:hAnsi="Times New Roman" w:eastAsia="宋体"/>
                <w:snapToGrid w:val="0"/>
                <w:color w:val="000000"/>
                <w:kern w:val="21"/>
                <w:sz w:val="24"/>
                <w:szCs w:val="24"/>
              </w:rPr>
              <w:t>废气</w:t>
            </w:r>
          </w:p>
        </w:tc>
        <w:tc>
          <w:tcPr>
            <w:tcW w:w="984" w:type="dxa"/>
            <w:vAlign w:val="center"/>
          </w:tcPr>
          <w:p>
            <w:pPr>
              <w:jc w:val="center"/>
              <w:rPr>
                <w:rFonts w:hint="default" w:ascii="Times New Roman" w:hAnsi="Times New Roman" w:eastAsia="宋体"/>
                <w:sz w:val="24"/>
                <w:szCs w:val="24"/>
                <w:lang w:val="en-US" w:eastAsia="zh-CN"/>
              </w:rPr>
            </w:pPr>
            <w:r>
              <w:rPr>
                <w:rFonts w:hint="eastAsia"/>
                <w:sz w:val="24"/>
                <w:szCs w:val="24"/>
                <w:lang w:val="en-US" w:eastAsia="zh-CN"/>
              </w:rPr>
              <w:t>锅炉烟气</w:t>
            </w:r>
          </w:p>
        </w:tc>
        <w:tc>
          <w:tcPr>
            <w:tcW w:w="1322"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ascii="Times New Roman" w:hAnsi="Times New Roman" w:eastAsia="宋体"/>
                <w:snapToGrid w:val="0"/>
                <w:color w:val="000000"/>
                <w:kern w:val="21"/>
                <w:sz w:val="24"/>
                <w:szCs w:val="24"/>
              </w:rPr>
              <w:t>颗粒物</w:t>
            </w:r>
          </w:p>
          <w:p>
            <w:pPr>
              <w:jc w:val="center"/>
              <w:rPr>
                <w:rFonts w:ascii="Times New Roman" w:hAnsi="Times New Roman" w:eastAsia="宋体"/>
                <w:sz w:val="24"/>
                <w:szCs w:val="24"/>
              </w:rPr>
            </w:pPr>
            <w:r>
              <w:rPr>
                <w:rFonts w:ascii="Times New Roman" w:hAnsi="Times New Roman" w:eastAsia="宋体"/>
                <w:sz w:val="24"/>
                <w:szCs w:val="24"/>
              </w:rPr>
              <w:t>二氧化硫</w:t>
            </w:r>
          </w:p>
          <w:p>
            <w:pPr>
              <w:jc w:val="center"/>
              <w:rPr>
                <w:rFonts w:ascii="Times New Roman" w:hAnsi="Times New Roman" w:eastAsia="宋体"/>
                <w:sz w:val="24"/>
                <w:szCs w:val="24"/>
              </w:rPr>
            </w:pPr>
            <w:r>
              <w:rPr>
                <w:rFonts w:ascii="Times New Roman" w:hAnsi="Times New Roman" w:eastAsia="宋体"/>
                <w:sz w:val="24"/>
                <w:szCs w:val="24"/>
              </w:rPr>
              <w:t>氮氧化物</w:t>
            </w:r>
          </w:p>
        </w:tc>
        <w:tc>
          <w:tcPr>
            <w:tcW w:w="1701" w:type="dxa"/>
            <w:vAlign w:val="center"/>
          </w:tcPr>
          <w:p>
            <w:pPr>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p>
        </w:tc>
        <w:tc>
          <w:tcPr>
            <w:tcW w:w="1276"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eastAsia="zh-CN"/>
              </w:rPr>
            </w:pPr>
            <w:r>
              <w:rPr>
                <w:rFonts w:hint="eastAsia" w:ascii="Times New Roman" w:hAnsi="Times New Roman" w:eastAsia="宋体"/>
                <w:sz w:val="24"/>
                <w:szCs w:val="24"/>
                <w:lang w:val="en-US" w:eastAsia="zh-CN"/>
              </w:rPr>
              <w:t>/</w:t>
            </w:r>
          </w:p>
        </w:tc>
        <w:tc>
          <w:tcPr>
            <w:tcW w:w="1701" w:type="dxa"/>
            <w:vAlign w:val="center"/>
          </w:tcPr>
          <w:p>
            <w:pPr>
              <w:pStyle w:val="40"/>
              <w:spacing w:beforeLines="0" w:afterLines="0" w:line="240" w:lineRule="auto"/>
              <w:rPr>
                <w:rFonts w:hint="default"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sz w:val="24"/>
                <w:szCs w:val="24"/>
                <w:lang w:val="en-US" w:eastAsia="zh-CN"/>
              </w:rPr>
              <w:t>/</w:t>
            </w:r>
          </w:p>
        </w:tc>
        <w:tc>
          <w:tcPr>
            <w:tcW w:w="1559" w:type="dxa"/>
            <w:vAlign w:val="center"/>
          </w:tcPr>
          <w:p>
            <w:pPr>
              <w:jc w:val="center"/>
              <w:rPr>
                <w:rFonts w:ascii="Times New Roman" w:hAnsi="Times New Roman" w:eastAsia="宋体"/>
                <w:sz w:val="24"/>
                <w:szCs w:val="24"/>
              </w:rPr>
            </w:pPr>
            <w:r>
              <w:rPr>
                <w:rFonts w:hint="eastAsia"/>
                <w:sz w:val="24"/>
                <w:szCs w:val="24"/>
                <w:lang w:val="en-US" w:eastAsia="zh-CN"/>
              </w:rPr>
              <w:t>0.0286</w:t>
            </w:r>
            <w:r>
              <w:rPr>
                <w:rFonts w:ascii="Times New Roman" w:hAnsi="Times New Roman" w:eastAsia="宋体"/>
                <w:sz w:val="24"/>
                <w:szCs w:val="24"/>
              </w:rPr>
              <w:t>t/a</w:t>
            </w:r>
          </w:p>
          <w:p>
            <w:pPr>
              <w:jc w:val="center"/>
              <w:rPr>
                <w:rFonts w:ascii="Times New Roman" w:hAnsi="Times New Roman" w:eastAsia="宋体"/>
                <w:sz w:val="24"/>
                <w:szCs w:val="24"/>
              </w:rPr>
            </w:pPr>
            <w:r>
              <w:rPr>
                <w:rFonts w:hint="eastAsia"/>
                <w:sz w:val="24"/>
                <w:szCs w:val="24"/>
                <w:lang w:val="en-US" w:eastAsia="zh-CN"/>
              </w:rPr>
              <w:t>0.04</w:t>
            </w:r>
            <w:r>
              <w:rPr>
                <w:rFonts w:ascii="Times New Roman" w:hAnsi="Times New Roman" w:eastAsia="宋体"/>
                <w:sz w:val="24"/>
                <w:szCs w:val="24"/>
              </w:rPr>
              <w:t>t/a</w:t>
            </w:r>
          </w:p>
          <w:p>
            <w:pPr>
              <w:jc w:val="center"/>
              <w:rPr>
                <w:rFonts w:ascii="Times New Roman" w:hAnsi="Times New Roman" w:eastAsia="宋体"/>
                <w:sz w:val="24"/>
                <w:szCs w:val="24"/>
              </w:rPr>
            </w:pPr>
            <w:r>
              <w:rPr>
                <w:rFonts w:hint="eastAsia"/>
                <w:sz w:val="24"/>
                <w:szCs w:val="24"/>
                <w:lang w:val="en-US" w:eastAsia="zh-CN"/>
              </w:rPr>
              <w:t>0.1871</w:t>
            </w:r>
            <w:r>
              <w:rPr>
                <w:rFonts w:ascii="Times New Roman" w:hAnsi="Times New Roman" w:eastAsia="宋体"/>
                <w:sz w:val="24"/>
                <w:szCs w:val="24"/>
              </w:rPr>
              <w:t>t/a</w:t>
            </w:r>
          </w:p>
        </w:tc>
        <w:tc>
          <w:tcPr>
            <w:tcW w:w="1761" w:type="dxa"/>
            <w:vAlign w:val="center"/>
          </w:tcPr>
          <w:p>
            <w:pPr>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p>
        </w:tc>
        <w:tc>
          <w:tcPr>
            <w:tcW w:w="1641" w:type="dxa"/>
            <w:vAlign w:val="center"/>
          </w:tcPr>
          <w:p>
            <w:pPr>
              <w:jc w:val="center"/>
              <w:rPr>
                <w:rFonts w:ascii="Times New Roman" w:hAnsi="Times New Roman" w:eastAsia="宋体"/>
                <w:sz w:val="24"/>
                <w:szCs w:val="24"/>
              </w:rPr>
            </w:pPr>
            <w:r>
              <w:rPr>
                <w:rFonts w:hint="eastAsia"/>
                <w:sz w:val="24"/>
                <w:szCs w:val="24"/>
                <w:lang w:val="en-US" w:eastAsia="zh-CN"/>
              </w:rPr>
              <w:t>0.0286</w:t>
            </w:r>
            <w:r>
              <w:rPr>
                <w:rFonts w:ascii="Times New Roman" w:hAnsi="Times New Roman" w:eastAsia="宋体"/>
                <w:sz w:val="24"/>
                <w:szCs w:val="24"/>
              </w:rPr>
              <w:t>t/a</w:t>
            </w:r>
          </w:p>
          <w:p>
            <w:pPr>
              <w:jc w:val="center"/>
              <w:rPr>
                <w:rFonts w:ascii="Times New Roman" w:hAnsi="Times New Roman" w:eastAsia="宋体"/>
                <w:sz w:val="24"/>
                <w:szCs w:val="24"/>
              </w:rPr>
            </w:pPr>
            <w:r>
              <w:rPr>
                <w:rFonts w:hint="eastAsia"/>
                <w:sz w:val="24"/>
                <w:szCs w:val="24"/>
                <w:lang w:val="en-US" w:eastAsia="zh-CN"/>
              </w:rPr>
              <w:t>0.04</w:t>
            </w:r>
            <w:r>
              <w:rPr>
                <w:rFonts w:ascii="Times New Roman" w:hAnsi="Times New Roman" w:eastAsia="宋体"/>
                <w:sz w:val="24"/>
                <w:szCs w:val="24"/>
              </w:rPr>
              <w:t>t/a</w:t>
            </w:r>
          </w:p>
          <w:p>
            <w:pPr>
              <w:jc w:val="center"/>
              <w:rPr>
                <w:rFonts w:ascii="Times New Roman" w:hAnsi="Times New Roman" w:eastAsia="宋体"/>
                <w:sz w:val="24"/>
                <w:szCs w:val="24"/>
              </w:rPr>
            </w:pPr>
            <w:r>
              <w:rPr>
                <w:rFonts w:hint="eastAsia"/>
                <w:sz w:val="24"/>
                <w:szCs w:val="24"/>
                <w:lang w:val="en-US" w:eastAsia="zh-CN"/>
              </w:rPr>
              <w:t>0.1871</w:t>
            </w:r>
            <w:r>
              <w:rPr>
                <w:rFonts w:ascii="Times New Roman" w:hAnsi="Times New Roman" w:eastAsia="宋体"/>
                <w:sz w:val="24"/>
                <w:szCs w:val="24"/>
              </w:rPr>
              <w:t>t/a</w:t>
            </w:r>
          </w:p>
        </w:tc>
        <w:tc>
          <w:tcPr>
            <w:tcW w:w="1418" w:type="dxa"/>
            <w:vAlign w:val="center"/>
          </w:tcPr>
          <w:p>
            <w:pPr>
              <w:jc w:val="center"/>
              <w:rPr>
                <w:rFonts w:ascii="Times New Roman" w:hAnsi="Times New Roman" w:eastAsia="宋体"/>
                <w:sz w:val="24"/>
                <w:szCs w:val="24"/>
              </w:rPr>
            </w:pPr>
            <w:r>
              <w:rPr>
                <w:rFonts w:hint="eastAsia"/>
                <w:sz w:val="24"/>
                <w:szCs w:val="24"/>
                <w:lang w:val="en-US" w:eastAsia="zh-CN"/>
              </w:rPr>
              <w:t>+0.0286</w:t>
            </w:r>
            <w:r>
              <w:rPr>
                <w:rFonts w:ascii="Times New Roman" w:hAnsi="Times New Roman" w:eastAsia="宋体"/>
                <w:sz w:val="24"/>
                <w:szCs w:val="24"/>
              </w:rPr>
              <w:t>t/a</w:t>
            </w:r>
          </w:p>
          <w:p>
            <w:pPr>
              <w:jc w:val="center"/>
              <w:rPr>
                <w:rFonts w:ascii="Times New Roman" w:hAnsi="Times New Roman" w:eastAsia="宋体"/>
                <w:sz w:val="24"/>
                <w:szCs w:val="24"/>
              </w:rPr>
            </w:pPr>
            <w:r>
              <w:rPr>
                <w:rFonts w:hint="eastAsia"/>
                <w:sz w:val="24"/>
                <w:szCs w:val="24"/>
                <w:lang w:val="en-US" w:eastAsia="zh-CN"/>
              </w:rPr>
              <w:t>+0.04</w:t>
            </w:r>
            <w:r>
              <w:rPr>
                <w:rFonts w:ascii="Times New Roman" w:hAnsi="Times New Roman" w:eastAsia="宋体"/>
                <w:sz w:val="24"/>
                <w:szCs w:val="24"/>
              </w:rPr>
              <w:t>t/a</w:t>
            </w:r>
          </w:p>
          <w:p>
            <w:pPr>
              <w:jc w:val="center"/>
              <w:rPr>
                <w:rFonts w:hint="eastAsia" w:ascii="Times New Roman" w:hAnsi="Times New Roman" w:eastAsia="宋体"/>
                <w:sz w:val="24"/>
                <w:szCs w:val="24"/>
                <w:lang w:val="en-US" w:eastAsia="zh-CN"/>
              </w:rPr>
            </w:pPr>
            <w:r>
              <w:rPr>
                <w:rFonts w:hint="eastAsia"/>
                <w:sz w:val="24"/>
                <w:szCs w:val="24"/>
                <w:lang w:val="en-US" w:eastAsia="zh-CN"/>
              </w:rPr>
              <w:t>+0.1871</w:t>
            </w:r>
            <w:r>
              <w:rPr>
                <w:rFonts w:ascii="Times New Roman" w:hAnsi="Times New Roman" w:eastAsia="宋体"/>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99" w:type="dxa"/>
            <w:vMerge w:val="restart"/>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ascii="Times New Roman" w:hAnsi="Times New Roman" w:eastAsia="宋体"/>
                <w:snapToGrid w:val="0"/>
                <w:color w:val="000000"/>
                <w:kern w:val="21"/>
                <w:sz w:val="24"/>
                <w:szCs w:val="24"/>
              </w:rPr>
              <w:t>废水</w:t>
            </w:r>
          </w:p>
        </w:tc>
        <w:tc>
          <w:tcPr>
            <w:tcW w:w="2306" w:type="dxa"/>
            <w:gridSpan w:val="2"/>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ascii="Times New Roman" w:hAnsi="Times New Roman" w:eastAsia="宋体"/>
                <w:snapToGrid w:val="0"/>
                <w:color w:val="000000"/>
                <w:kern w:val="21"/>
                <w:sz w:val="24"/>
                <w:szCs w:val="24"/>
              </w:rPr>
              <w:t>生活污水</w:t>
            </w:r>
          </w:p>
        </w:tc>
        <w:tc>
          <w:tcPr>
            <w:tcW w:w="1701"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val="en-US" w:eastAsia="zh-CN"/>
              </w:rPr>
            </w:pPr>
            <w:r>
              <w:rPr>
                <w:rFonts w:hint="eastAsia" w:ascii="Times New Roman" w:hAnsi="Times New Roman" w:eastAsia="宋体"/>
                <w:sz w:val="24"/>
                <w:szCs w:val="24"/>
                <w:lang w:val="en-US" w:eastAsia="zh-CN"/>
              </w:rPr>
              <w:t>/</w:t>
            </w:r>
          </w:p>
        </w:tc>
        <w:tc>
          <w:tcPr>
            <w:tcW w:w="1276"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val="en-US" w:eastAsia="zh-CN"/>
              </w:rPr>
            </w:pPr>
            <w:r>
              <w:rPr>
                <w:rFonts w:hint="eastAsia" w:ascii="Times New Roman" w:hAnsi="Times New Roman" w:eastAsia="宋体"/>
                <w:sz w:val="24"/>
                <w:szCs w:val="24"/>
                <w:lang w:val="en-US" w:eastAsia="zh-CN"/>
              </w:rPr>
              <w:t>/</w:t>
            </w:r>
          </w:p>
        </w:tc>
        <w:tc>
          <w:tcPr>
            <w:tcW w:w="1701" w:type="dxa"/>
            <w:vAlign w:val="center"/>
          </w:tcPr>
          <w:p>
            <w:pPr>
              <w:pStyle w:val="40"/>
              <w:spacing w:beforeLines="0" w:afterLines="0" w:line="240" w:lineRule="auto"/>
              <w:rPr>
                <w:rFonts w:hint="default"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sz w:val="24"/>
                <w:szCs w:val="24"/>
                <w:lang w:val="en-US" w:eastAsia="zh-CN"/>
              </w:rPr>
              <w:t>/</w:t>
            </w:r>
          </w:p>
        </w:tc>
        <w:tc>
          <w:tcPr>
            <w:tcW w:w="1559" w:type="dxa"/>
            <w:vAlign w:val="center"/>
          </w:tcPr>
          <w:p>
            <w:pPr>
              <w:pStyle w:val="40"/>
              <w:spacing w:beforeLines="0" w:afterLines="0" w:line="240" w:lineRule="auto"/>
              <w:rPr>
                <w:rFonts w:hint="default" w:ascii="Times New Roman" w:hAnsi="Times New Roman" w:eastAsia="宋体"/>
                <w:b/>
                <w:bCs/>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3.125</w:t>
            </w:r>
            <w:r>
              <w:rPr>
                <w:rFonts w:hint="eastAsia" w:ascii="Times New Roman" w:hAnsi="Times New Roman" w:eastAsia="宋体"/>
                <w:b w:val="0"/>
                <w:bCs w:val="0"/>
                <w:snapToGrid w:val="0"/>
                <w:color w:val="auto"/>
                <w:kern w:val="21"/>
                <w:sz w:val="24"/>
                <w:szCs w:val="24"/>
              </w:rPr>
              <w:t>t/a</w:t>
            </w:r>
          </w:p>
        </w:tc>
        <w:tc>
          <w:tcPr>
            <w:tcW w:w="1761" w:type="dxa"/>
            <w:vAlign w:val="center"/>
          </w:tcPr>
          <w:p>
            <w:pPr>
              <w:pStyle w:val="40"/>
              <w:spacing w:beforeLines="0" w:afterLines="0" w:line="240" w:lineRule="auto"/>
              <w:rPr>
                <w:rFonts w:hint="eastAsia" w:ascii="Times New Roman" w:hAnsi="Times New Roman" w:eastAsia="宋体"/>
                <w:b/>
                <w:bCs/>
                <w:snapToGrid w:val="0"/>
                <w:color w:val="auto"/>
                <w:kern w:val="21"/>
                <w:sz w:val="24"/>
                <w:szCs w:val="24"/>
                <w:lang w:val="en-US" w:eastAsia="zh-CN"/>
              </w:rPr>
            </w:pPr>
            <w:r>
              <w:rPr>
                <w:rFonts w:hint="eastAsia" w:ascii="Times New Roman" w:hAnsi="Times New Roman" w:eastAsia="宋体"/>
                <w:sz w:val="24"/>
                <w:szCs w:val="24"/>
                <w:lang w:val="en-US" w:eastAsia="zh-CN"/>
              </w:rPr>
              <w:t>/</w:t>
            </w:r>
          </w:p>
        </w:tc>
        <w:tc>
          <w:tcPr>
            <w:tcW w:w="1641" w:type="dxa"/>
            <w:vAlign w:val="center"/>
          </w:tcPr>
          <w:p>
            <w:pPr>
              <w:pStyle w:val="40"/>
              <w:spacing w:beforeLines="0" w:afterLines="0" w:line="240" w:lineRule="auto"/>
              <w:rPr>
                <w:rFonts w:hint="default" w:ascii="Times New Roman" w:hAnsi="Times New Roman" w:eastAsia="宋体"/>
                <w:b/>
                <w:bCs/>
                <w:snapToGrid w:val="0"/>
                <w:color w:val="auto"/>
                <w:kern w:val="21"/>
                <w:sz w:val="24"/>
                <w:szCs w:val="24"/>
                <w:lang w:val="en-US" w:eastAsia="zh-CN"/>
              </w:rPr>
            </w:pPr>
            <w:r>
              <w:rPr>
                <w:rFonts w:hint="eastAsia" w:ascii="Times New Roman"/>
                <w:b w:val="0"/>
                <w:bCs w:val="0"/>
                <w:snapToGrid w:val="0"/>
                <w:color w:val="auto"/>
                <w:kern w:val="21"/>
                <w:sz w:val="24"/>
                <w:szCs w:val="24"/>
                <w:lang w:val="en-US" w:eastAsia="zh-CN"/>
              </w:rPr>
              <w:t>3.125</w:t>
            </w:r>
            <w:r>
              <w:rPr>
                <w:rFonts w:hint="eastAsia" w:ascii="Times New Roman" w:hAnsi="Times New Roman" w:eastAsia="宋体"/>
                <w:b w:val="0"/>
                <w:bCs w:val="0"/>
                <w:snapToGrid w:val="0"/>
                <w:color w:val="auto"/>
                <w:kern w:val="21"/>
                <w:sz w:val="24"/>
                <w:szCs w:val="24"/>
              </w:rPr>
              <w:t>t/a</w:t>
            </w:r>
          </w:p>
        </w:tc>
        <w:tc>
          <w:tcPr>
            <w:tcW w:w="1418" w:type="dxa"/>
            <w:vAlign w:val="center"/>
          </w:tcPr>
          <w:p>
            <w:pPr>
              <w:pStyle w:val="40"/>
              <w:spacing w:beforeLines="0" w:afterLines="0" w:line="240" w:lineRule="auto"/>
              <w:rPr>
                <w:rFonts w:hint="default" w:ascii="Times New Roman" w:hAnsi="Times New Roman" w:eastAsia="宋体" w:cs="Times New Roman"/>
                <w:b/>
                <w:bCs/>
                <w:snapToGrid w:val="0"/>
                <w:color w:val="auto"/>
                <w:kern w:val="21"/>
                <w:sz w:val="24"/>
                <w:szCs w:val="24"/>
                <w:lang w:val="en-US" w:eastAsia="zh-CN" w:bidi="ar-SA"/>
              </w:rPr>
            </w:pPr>
            <w:r>
              <w:rPr>
                <w:rFonts w:hint="eastAsia" w:ascii="Times New Roman"/>
                <w:b w:val="0"/>
                <w:bCs w:val="0"/>
                <w:snapToGrid w:val="0"/>
                <w:color w:val="auto"/>
                <w:kern w:val="21"/>
                <w:sz w:val="24"/>
                <w:szCs w:val="24"/>
                <w:lang w:val="en-US" w:eastAsia="zh-CN"/>
              </w:rPr>
              <w:t>+3.125</w:t>
            </w:r>
            <w:r>
              <w:rPr>
                <w:rFonts w:hint="eastAsia" w:ascii="Times New Roman" w:hAnsi="Times New Roman" w:eastAsia="宋体"/>
                <w:b w:val="0"/>
                <w:bCs w:val="0"/>
                <w:snapToGrid w:val="0"/>
                <w:color w:val="auto"/>
                <w:kern w:val="21"/>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99" w:type="dxa"/>
            <w:vMerge w:val="continue"/>
            <w:vAlign w:val="center"/>
          </w:tcPr>
          <w:p>
            <w:pPr>
              <w:pStyle w:val="40"/>
              <w:spacing w:beforeLines="0" w:afterLines="0" w:line="240" w:lineRule="auto"/>
              <w:rPr>
                <w:rFonts w:ascii="Times New Roman" w:hAnsi="Times New Roman" w:eastAsia="宋体"/>
                <w:snapToGrid w:val="0"/>
                <w:color w:val="000000"/>
                <w:kern w:val="21"/>
                <w:sz w:val="24"/>
                <w:szCs w:val="24"/>
              </w:rPr>
            </w:pPr>
          </w:p>
        </w:tc>
        <w:tc>
          <w:tcPr>
            <w:tcW w:w="2306" w:type="dxa"/>
            <w:gridSpan w:val="2"/>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hAnsi="Times New Roman" w:eastAsia="宋体"/>
                <w:snapToGrid w:val="0"/>
                <w:color w:val="000000"/>
                <w:kern w:val="21"/>
                <w:sz w:val="24"/>
                <w:szCs w:val="24"/>
              </w:rPr>
              <w:t>锅炉排污水</w:t>
            </w:r>
          </w:p>
        </w:tc>
        <w:tc>
          <w:tcPr>
            <w:tcW w:w="1701"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eastAsia="zh-CN"/>
              </w:rPr>
            </w:pPr>
            <w:r>
              <w:rPr>
                <w:rFonts w:hint="eastAsia" w:ascii="Times New Roman" w:hAnsi="Times New Roman" w:eastAsia="宋体"/>
                <w:sz w:val="24"/>
                <w:szCs w:val="24"/>
                <w:lang w:val="en-US" w:eastAsia="zh-CN"/>
              </w:rPr>
              <w:t>/</w:t>
            </w:r>
          </w:p>
        </w:tc>
        <w:tc>
          <w:tcPr>
            <w:tcW w:w="1276"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eastAsia="zh-CN"/>
              </w:rPr>
            </w:pPr>
            <w:r>
              <w:rPr>
                <w:rFonts w:hint="eastAsia" w:ascii="Times New Roman" w:hAnsi="Times New Roman" w:eastAsia="宋体"/>
                <w:sz w:val="24"/>
                <w:szCs w:val="24"/>
                <w:lang w:val="en-US" w:eastAsia="zh-CN"/>
              </w:rPr>
              <w:t>/</w:t>
            </w:r>
          </w:p>
        </w:tc>
        <w:tc>
          <w:tcPr>
            <w:tcW w:w="1701" w:type="dxa"/>
            <w:vAlign w:val="center"/>
          </w:tcPr>
          <w:p>
            <w:pPr>
              <w:pStyle w:val="40"/>
              <w:spacing w:beforeLines="0" w:afterLines="0" w:line="240" w:lineRule="auto"/>
              <w:rPr>
                <w:rFonts w:hint="default"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sz w:val="24"/>
                <w:szCs w:val="24"/>
                <w:lang w:val="en-US" w:eastAsia="zh-CN"/>
              </w:rPr>
              <w:t>/</w:t>
            </w:r>
          </w:p>
        </w:tc>
        <w:tc>
          <w:tcPr>
            <w:tcW w:w="1559"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snapToGrid w:val="0"/>
                <w:color w:val="000000"/>
                <w:kern w:val="21"/>
                <w:sz w:val="24"/>
                <w:szCs w:val="24"/>
                <w:lang w:val="en-US" w:eastAsia="zh-CN"/>
              </w:rPr>
              <w:t>135.6</w:t>
            </w:r>
            <w:r>
              <w:rPr>
                <w:rFonts w:hint="eastAsia" w:ascii="Times New Roman" w:hAnsi="Times New Roman" w:eastAsia="宋体"/>
                <w:snapToGrid w:val="0"/>
                <w:color w:val="000000"/>
                <w:kern w:val="21"/>
                <w:sz w:val="24"/>
                <w:szCs w:val="24"/>
              </w:rPr>
              <w:t>t/a</w:t>
            </w:r>
          </w:p>
        </w:tc>
        <w:tc>
          <w:tcPr>
            <w:tcW w:w="1761"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val="en-US" w:eastAsia="zh-CN"/>
              </w:rPr>
            </w:pPr>
            <w:r>
              <w:rPr>
                <w:rFonts w:hint="eastAsia" w:ascii="Times New Roman" w:hAnsi="Times New Roman" w:eastAsia="宋体"/>
                <w:sz w:val="24"/>
                <w:szCs w:val="24"/>
                <w:lang w:val="en-US" w:eastAsia="zh-CN"/>
              </w:rPr>
              <w:t>/</w:t>
            </w:r>
          </w:p>
        </w:tc>
        <w:tc>
          <w:tcPr>
            <w:tcW w:w="1641"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snapToGrid w:val="0"/>
                <w:color w:val="000000"/>
                <w:kern w:val="21"/>
                <w:sz w:val="24"/>
                <w:szCs w:val="24"/>
                <w:lang w:val="en-US" w:eastAsia="zh-CN"/>
              </w:rPr>
              <w:t>135.6</w:t>
            </w:r>
            <w:r>
              <w:rPr>
                <w:rFonts w:hint="eastAsia" w:ascii="Times New Roman" w:hAnsi="Times New Roman" w:eastAsia="宋体"/>
                <w:snapToGrid w:val="0"/>
                <w:color w:val="000000"/>
                <w:kern w:val="21"/>
                <w:sz w:val="24"/>
                <w:szCs w:val="24"/>
              </w:rPr>
              <w:t>t/a</w:t>
            </w:r>
          </w:p>
        </w:tc>
        <w:tc>
          <w:tcPr>
            <w:tcW w:w="1418" w:type="dxa"/>
            <w:vAlign w:val="center"/>
          </w:tcPr>
          <w:p>
            <w:pPr>
              <w:pStyle w:val="40"/>
              <w:spacing w:beforeLines="0" w:afterLines="0" w:line="240" w:lineRule="auto"/>
              <w:rPr>
                <w:rFonts w:hint="eastAsia" w:ascii="Times New Roman" w:hAnsi="Times New Roman" w:eastAsia="宋体" w:cs="Times New Roman"/>
                <w:snapToGrid w:val="0"/>
                <w:color w:val="000000"/>
                <w:kern w:val="21"/>
                <w:sz w:val="24"/>
                <w:szCs w:val="24"/>
                <w:lang w:val="en-US" w:eastAsia="zh-CN" w:bidi="ar-SA"/>
              </w:rPr>
            </w:pPr>
            <w:r>
              <w:rPr>
                <w:rFonts w:hint="eastAsia" w:ascii="Times New Roman"/>
                <w:snapToGrid w:val="0"/>
                <w:color w:val="000000"/>
                <w:kern w:val="21"/>
                <w:sz w:val="24"/>
                <w:szCs w:val="24"/>
                <w:lang w:val="en-US" w:eastAsia="zh-CN"/>
              </w:rPr>
              <w:t>+135.6</w:t>
            </w:r>
            <w:r>
              <w:rPr>
                <w:rFonts w:hint="eastAsia" w:ascii="Times New Roman" w:hAnsi="Times New Roman" w:eastAsia="宋体"/>
                <w:snapToGrid w:val="0"/>
                <w:color w:val="000000"/>
                <w:kern w:val="21"/>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99" w:type="dxa"/>
            <w:vMerge w:val="restart"/>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ascii="Times New Roman" w:hAnsi="Times New Roman" w:eastAsia="宋体"/>
                <w:snapToGrid w:val="0"/>
                <w:color w:val="000000"/>
                <w:kern w:val="21"/>
                <w:sz w:val="24"/>
                <w:szCs w:val="24"/>
              </w:rPr>
              <w:t>一般工业</w:t>
            </w:r>
          </w:p>
          <w:p>
            <w:pPr>
              <w:pStyle w:val="40"/>
              <w:spacing w:before="24" w:after="24" w:line="240" w:lineRule="auto"/>
              <w:rPr>
                <w:rFonts w:ascii="Times New Roman" w:hAnsi="Times New Roman" w:eastAsia="宋体"/>
                <w:snapToGrid w:val="0"/>
                <w:color w:val="000000"/>
                <w:kern w:val="21"/>
                <w:sz w:val="24"/>
                <w:szCs w:val="24"/>
              </w:rPr>
            </w:pPr>
            <w:r>
              <w:rPr>
                <w:rFonts w:ascii="Times New Roman" w:hAnsi="Times New Roman" w:eastAsia="宋体"/>
                <w:snapToGrid w:val="0"/>
                <w:color w:val="000000"/>
                <w:kern w:val="21"/>
                <w:sz w:val="24"/>
                <w:szCs w:val="24"/>
              </w:rPr>
              <w:t>固体废物</w:t>
            </w:r>
          </w:p>
        </w:tc>
        <w:tc>
          <w:tcPr>
            <w:tcW w:w="2306" w:type="dxa"/>
            <w:gridSpan w:val="2"/>
            <w:vAlign w:val="center"/>
          </w:tcPr>
          <w:p>
            <w:pPr>
              <w:jc w:val="center"/>
              <w:rPr>
                <w:rFonts w:ascii="Times New Roman" w:hAnsi="Times New Roman" w:eastAsia="宋体"/>
                <w:sz w:val="24"/>
                <w:szCs w:val="24"/>
              </w:rPr>
            </w:pPr>
            <w:r>
              <w:rPr>
                <w:rFonts w:ascii="Times New Roman" w:hAnsi="Times New Roman" w:eastAsia="宋体"/>
                <w:sz w:val="24"/>
                <w:szCs w:val="24"/>
              </w:rPr>
              <w:t>生活垃圾</w:t>
            </w:r>
          </w:p>
        </w:tc>
        <w:tc>
          <w:tcPr>
            <w:tcW w:w="1701" w:type="dxa"/>
            <w:vAlign w:val="center"/>
          </w:tcPr>
          <w:p>
            <w:pPr>
              <w:jc w:val="center"/>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p>
        </w:tc>
        <w:tc>
          <w:tcPr>
            <w:tcW w:w="1276"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hAnsi="Times New Roman" w:eastAsia="宋体"/>
                <w:sz w:val="24"/>
                <w:szCs w:val="24"/>
                <w:lang w:val="en-US" w:eastAsia="zh-CN"/>
              </w:rPr>
              <w:t>/</w:t>
            </w:r>
          </w:p>
        </w:tc>
        <w:tc>
          <w:tcPr>
            <w:tcW w:w="1701" w:type="dxa"/>
            <w:vAlign w:val="center"/>
          </w:tcPr>
          <w:p>
            <w:pPr>
              <w:pStyle w:val="40"/>
              <w:spacing w:beforeLines="0" w:afterLines="0" w:line="240" w:lineRule="auto"/>
              <w:rPr>
                <w:rFonts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sz w:val="24"/>
                <w:szCs w:val="24"/>
                <w:lang w:val="en-US" w:eastAsia="zh-CN"/>
              </w:rPr>
              <w:t>/</w:t>
            </w:r>
          </w:p>
        </w:tc>
        <w:tc>
          <w:tcPr>
            <w:tcW w:w="1559"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cs="Times New Roman"/>
                <w:sz w:val="24"/>
                <w:szCs w:val="24"/>
                <w:lang w:val="en-US" w:eastAsia="zh-CN"/>
              </w:rPr>
              <w:t>3.125</w:t>
            </w:r>
            <w:r>
              <w:rPr>
                <w:rFonts w:hint="default" w:ascii="Times New Roman" w:hAnsi="Times New Roman" w:eastAsia="宋体" w:cs="Times New Roman"/>
                <w:sz w:val="24"/>
                <w:szCs w:val="24"/>
              </w:rPr>
              <w:t>t/a</w:t>
            </w:r>
          </w:p>
        </w:tc>
        <w:tc>
          <w:tcPr>
            <w:tcW w:w="1761"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val="en-US" w:eastAsia="zh-CN"/>
              </w:rPr>
            </w:pPr>
            <w:r>
              <w:rPr>
                <w:rFonts w:hint="eastAsia" w:ascii="Times New Roman" w:hAnsi="Times New Roman" w:eastAsia="宋体"/>
                <w:sz w:val="24"/>
                <w:szCs w:val="24"/>
                <w:lang w:val="en-US" w:eastAsia="zh-CN"/>
              </w:rPr>
              <w:t>/</w:t>
            </w:r>
          </w:p>
        </w:tc>
        <w:tc>
          <w:tcPr>
            <w:tcW w:w="1641" w:type="dxa"/>
            <w:vAlign w:val="center"/>
          </w:tcPr>
          <w:p>
            <w:pPr>
              <w:pStyle w:val="40"/>
              <w:spacing w:beforeLines="0" w:afterLines="0" w:line="240" w:lineRule="auto"/>
              <w:rPr>
                <w:rFonts w:hint="default" w:ascii="Times New Roman" w:hAnsi="Times New Roman" w:eastAsia="宋体"/>
                <w:sz w:val="24"/>
                <w:szCs w:val="24"/>
                <w:lang w:val="en-US" w:eastAsia="zh-CN"/>
              </w:rPr>
            </w:pPr>
            <w:r>
              <w:rPr>
                <w:rFonts w:hint="eastAsia" w:ascii="Times New Roman" w:cs="Times New Roman"/>
                <w:sz w:val="24"/>
                <w:szCs w:val="24"/>
                <w:lang w:val="en-US" w:eastAsia="zh-CN"/>
              </w:rPr>
              <w:t>3.125</w:t>
            </w:r>
            <w:r>
              <w:rPr>
                <w:rFonts w:hint="default" w:ascii="Times New Roman" w:hAnsi="Times New Roman" w:eastAsia="宋体" w:cs="Times New Roman"/>
                <w:sz w:val="24"/>
                <w:szCs w:val="24"/>
              </w:rPr>
              <w:t>t/a</w:t>
            </w:r>
          </w:p>
        </w:tc>
        <w:tc>
          <w:tcPr>
            <w:tcW w:w="1418" w:type="dxa"/>
            <w:vAlign w:val="center"/>
          </w:tcPr>
          <w:p>
            <w:pPr>
              <w:pStyle w:val="40"/>
              <w:spacing w:beforeLines="0" w:afterLines="0" w:line="240" w:lineRule="auto"/>
              <w:rPr>
                <w:rFonts w:ascii="Times New Roman" w:hAnsi="Times New Roman" w:eastAsia="宋体" w:cs="Times New Roman"/>
                <w:snapToGrid w:val="0"/>
                <w:color w:val="000000"/>
                <w:kern w:val="21"/>
                <w:sz w:val="24"/>
                <w:szCs w:val="24"/>
                <w:lang w:val="en-US" w:eastAsia="zh-CN" w:bidi="ar-SA"/>
              </w:rPr>
            </w:pPr>
            <w:r>
              <w:rPr>
                <w:rFonts w:hint="eastAsia" w:ascii="Times New Roman" w:cs="Times New Roman"/>
                <w:sz w:val="24"/>
                <w:szCs w:val="24"/>
                <w:lang w:val="en-US" w:eastAsia="zh-CN"/>
              </w:rPr>
              <w:t>+3.125</w:t>
            </w:r>
            <w:r>
              <w:rPr>
                <w:rFonts w:hint="default" w:ascii="Times New Roman" w:hAnsi="Times New Roman" w:eastAsia="宋体" w:cs="Times New Roman"/>
                <w:sz w:val="24"/>
                <w:szCs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99" w:type="dxa"/>
            <w:vMerge w:val="continue"/>
            <w:vAlign w:val="center"/>
          </w:tcPr>
          <w:p>
            <w:pPr>
              <w:pStyle w:val="40"/>
              <w:spacing w:beforeLines="0" w:afterLines="0" w:line="240" w:lineRule="auto"/>
              <w:rPr>
                <w:rFonts w:ascii="Times New Roman" w:hAnsi="Times New Roman" w:eastAsia="宋体"/>
                <w:snapToGrid w:val="0"/>
                <w:color w:val="000000"/>
                <w:kern w:val="21"/>
                <w:sz w:val="24"/>
                <w:szCs w:val="24"/>
              </w:rPr>
            </w:pPr>
          </w:p>
        </w:tc>
        <w:tc>
          <w:tcPr>
            <w:tcW w:w="2306" w:type="dxa"/>
            <w:gridSpan w:val="2"/>
            <w:vAlign w:val="center"/>
          </w:tcPr>
          <w:p>
            <w:pPr>
              <w:jc w:val="center"/>
              <w:rPr>
                <w:rFonts w:ascii="Times New Roman" w:hAnsi="Times New Roman" w:eastAsia="宋体"/>
                <w:sz w:val="24"/>
                <w:szCs w:val="24"/>
              </w:rPr>
            </w:pPr>
            <w:r>
              <w:rPr>
                <w:rFonts w:hint="eastAsia" w:ascii="Times New Roman" w:hAnsi="Times New Roman" w:eastAsia="宋体"/>
                <w:sz w:val="24"/>
                <w:szCs w:val="24"/>
              </w:rPr>
              <w:t>废弃</w:t>
            </w:r>
            <w:r>
              <w:rPr>
                <w:rFonts w:ascii="Times New Roman" w:hAnsi="Times New Roman" w:eastAsia="宋体"/>
                <w:sz w:val="24"/>
                <w:szCs w:val="24"/>
              </w:rPr>
              <w:t>离子交换树脂</w:t>
            </w:r>
          </w:p>
        </w:tc>
        <w:tc>
          <w:tcPr>
            <w:tcW w:w="1701" w:type="dxa"/>
            <w:vAlign w:val="center"/>
          </w:tcPr>
          <w:p>
            <w:pPr>
              <w:jc w:val="center"/>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w:t>
            </w:r>
          </w:p>
        </w:tc>
        <w:tc>
          <w:tcPr>
            <w:tcW w:w="1276"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hAnsi="Times New Roman" w:eastAsia="宋体"/>
                <w:sz w:val="24"/>
                <w:szCs w:val="24"/>
                <w:lang w:val="en-US" w:eastAsia="zh-CN"/>
              </w:rPr>
              <w:t>/</w:t>
            </w:r>
          </w:p>
        </w:tc>
        <w:tc>
          <w:tcPr>
            <w:tcW w:w="1701" w:type="dxa"/>
            <w:vAlign w:val="center"/>
          </w:tcPr>
          <w:p>
            <w:pPr>
              <w:pStyle w:val="40"/>
              <w:spacing w:beforeLines="0" w:afterLines="0" w:line="240" w:lineRule="auto"/>
              <w:rPr>
                <w:rFonts w:hint="eastAsia"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sz w:val="24"/>
                <w:szCs w:val="24"/>
                <w:lang w:val="en-US" w:eastAsia="zh-CN"/>
              </w:rPr>
              <w:t>/</w:t>
            </w:r>
          </w:p>
        </w:tc>
        <w:tc>
          <w:tcPr>
            <w:tcW w:w="1559" w:type="dxa"/>
            <w:vAlign w:val="center"/>
          </w:tcPr>
          <w:p>
            <w:pPr>
              <w:pStyle w:val="40"/>
              <w:spacing w:beforeLines="0" w:afterLines="0" w:line="240" w:lineRule="auto"/>
              <w:rPr>
                <w:rFonts w:ascii="Times New Roman" w:hAnsi="Times New Roman" w:eastAsia="宋体"/>
                <w:snapToGrid w:val="0"/>
                <w:color w:val="000000"/>
                <w:kern w:val="21"/>
                <w:sz w:val="24"/>
                <w:szCs w:val="24"/>
              </w:rPr>
            </w:pPr>
            <w:r>
              <w:rPr>
                <w:rFonts w:hint="eastAsia" w:ascii="Times New Roman" w:hAnsi="Times New Roman" w:eastAsia="宋体"/>
                <w:snapToGrid w:val="0"/>
                <w:color w:val="000000"/>
                <w:kern w:val="21"/>
                <w:sz w:val="24"/>
                <w:szCs w:val="24"/>
              </w:rPr>
              <w:t>0</w:t>
            </w:r>
            <w:r>
              <w:rPr>
                <w:rFonts w:ascii="Times New Roman" w:hAnsi="Times New Roman" w:eastAsia="宋体"/>
                <w:snapToGrid w:val="0"/>
                <w:color w:val="000000"/>
                <w:kern w:val="21"/>
                <w:sz w:val="24"/>
                <w:szCs w:val="24"/>
              </w:rPr>
              <w:t>.</w:t>
            </w:r>
            <w:r>
              <w:rPr>
                <w:rFonts w:hint="eastAsia" w:ascii="Times New Roman" w:hAnsi="Times New Roman" w:eastAsia="宋体"/>
                <w:snapToGrid w:val="0"/>
                <w:color w:val="000000"/>
                <w:kern w:val="21"/>
                <w:sz w:val="24"/>
                <w:szCs w:val="24"/>
                <w:lang w:val="en-US" w:eastAsia="zh-CN"/>
              </w:rPr>
              <w:t>2</w:t>
            </w:r>
            <w:r>
              <w:rPr>
                <w:rFonts w:ascii="Times New Roman" w:hAnsi="Times New Roman" w:eastAsia="宋体"/>
                <w:snapToGrid w:val="0"/>
                <w:color w:val="000000"/>
                <w:kern w:val="21"/>
                <w:sz w:val="24"/>
                <w:szCs w:val="24"/>
              </w:rPr>
              <w:t>t/a</w:t>
            </w:r>
          </w:p>
        </w:tc>
        <w:tc>
          <w:tcPr>
            <w:tcW w:w="1761" w:type="dxa"/>
            <w:vAlign w:val="center"/>
          </w:tcPr>
          <w:p>
            <w:pPr>
              <w:pStyle w:val="40"/>
              <w:spacing w:beforeLines="0" w:afterLines="0" w:line="240" w:lineRule="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w:t>
            </w:r>
          </w:p>
        </w:tc>
        <w:tc>
          <w:tcPr>
            <w:tcW w:w="1641" w:type="dxa"/>
            <w:vAlign w:val="center"/>
          </w:tcPr>
          <w:p>
            <w:pPr>
              <w:pStyle w:val="40"/>
              <w:spacing w:beforeLines="0" w:afterLines="0" w:line="240" w:lineRule="auto"/>
              <w:rPr>
                <w:rFonts w:hint="default" w:ascii="Times New Roman" w:hAnsi="Times New Roman" w:eastAsia="宋体"/>
                <w:sz w:val="24"/>
                <w:szCs w:val="24"/>
                <w:lang w:val="en-US" w:eastAsia="zh-CN"/>
              </w:rPr>
            </w:pPr>
            <w:r>
              <w:rPr>
                <w:rFonts w:hint="eastAsia" w:ascii="Times New Roman" w:hAnsi="Times New Roman" w:eastAsia="宋体"/>
                <w:snapToGrid w:val="0"/>
                <w:color w:val="000000"/>
                <w:kern w:val="21"/>
                <w:sz w:val="24"/>
                <w:szCs w:val="24"/>
              </w:rPr>
              <w:t>0</w:t>
            </w:r>
            <w:r>
              <w:rPr>
                <w:rFonts w:ascii="Times New Roman" w:hAnsi="Times New Roman" w:eastAsia="宋体"/>
                <w:snapToGrid w:val="0"/>
                <w:color w:val="000000"/>
                <w:kern w:val="21"/>
                <w:sz w:val="24"/>
                <w:szCs w:val="24"/>
              </w:rPr>
              <w:t>.</w:t>
            </w:r>
            <w:r>
              <w:rPr>
                <w:rFonts w:hint="eastAsia" w:ascii="Times New Roman" w:hAnsi="Times New Roman" w:eastAsia="宋体"/>
                <w:snapToGrid w:val="0"/>
                <w:color w:val="000000"/>
                <w:kern w:val="21"/>
                <w:sz w:val="24"/>
                <w:szCs w:val="24"/>
                <w:lang w:val="en-US" w:eastAsia="zh-CN"/>
              </w:rPr>
              <w:t>2</w:t>
            </w:r>
            <w:r>
              <w:rPr>
                <w:rFonts w:ascii="Times New Roman" w:hAnsi="Times New Roman" w:eastAsia="宋体"/>
                <w:snapToGrid w:val="0"/>
                <w:color w:val="000000"/>
                <w:kern w:val="21"/>
                <w:sz w:val="24"/>
                <w:szCs w:val="24"/>
              </w:rPr>
              <w:t>t/a</w:t>
            </w:r>
          </w:p>
        </w:tc>
        <w:tc>
          <w:tcPr>
            <w:tcW w:w="1418" w:type="dxa"/>
            <w:vAlign w:val="center"/>
          </w:tcPr>
          <w:p>
            <w:pPr>
              <w:pStyle w:val="40"/>
              <w:spacing w:beforeLines="0" w:afterLines="0" w:line="240" w:lineRule="auto"/>
              <w:rPr>
                <w:rFonts w:hint="eastAsia" w:ascii="Times New Roman" w:hAnsi="Times New Roman" w:eastAsia="宋体"/>
                <w:snapToGrid w:val="0"/>
                <w:color w:val="000000"/>
                <w:kern w:val="21"/>
                <w:sz w:val="24"/>
                <w:szCs w:val="24"/>
                <w:lang w:eastAsia="zh-CN"/>
              </w:rPr>
            </w:pPr>
            <w:r>
              <w:rPr>
                <w:rFonts w:hint="eastAsia" w:ascii="Times New Roman"/>
                <w:snapToGrid w:val="0"/>
                <w:color w:val="000000"/>
                <w:kern w:val="21"/>
                <w:sz w:val="24"/>
                <w:szCs w:val="24"/>
                <w:lang w:val="en-US" w:eastAsia="zh-CN"/>
              </w:rPr>
              <w:t>+</w:t>
            </w:r>
            <w:r>
              <w:rPr>
                <w:rFonts w:hint="eastAsia" w:ascii="Times New Roman" w:hAnsi="Times New Roman" w:eastAsia="宋体"/>
                <w:snapToGrid w:val="0"/>
                <w:color w:val="000000"/>
                <w:kern w:val="21"/>
                <w:sz w:val="24"/>
                <w:szCs w:val="24"/>
              </w:rPr>
              <w:t>0</w:t>
            </w:r>
            <w:r>
              <w:rPr>
                <w:rFonts w:ascii="Times New Roman" w:hAnsi="Times New Roman" w:eastAsia="宋体"/>
                <w:snapToGrid w:val="0"/>
                <w:color w:val="000000"/>
                <w:kern w:val="21"/>
                <w:sz w:val="24"/>
                <w:szCs w:val="24"/>
              </w:rPr>
              <w:t>.</w:t>
            </w:r>
            <w:r>
              <w:rPr>
                <w:rFonts w:hint="eastAsia" w:ascii="Times New Roman" w:hAnsi="Times New Roman" w:eastAsia="宋体"/>
                <w:snapToGrid w:val="0"/>
                <w:color w:val="000000"/>
                <w:kern w:val="21"/>
                <w:sz w:val="24"/>
                <w:szCs w:val="24"/>
                <w:lang w:val="en-US" w:eastAsia="zh-CN"/>
              </w:rPr>
              <w:t>2</w:t>
            </w:r>
            <w:r>
              <w:rPr>
                <w:rFonts w:ascii="Times New Roman" w:hAnsi="Times New Roman" w:eastAsia="宋体"/>
                <w:snapToGrid w:val="0"/>
                <w:color w:val="000000"/>
                <w:kern w:val="21"/>
                <w:sz w:val="24"/>
                <w:szCs w:val="24"/>
              </w:rPr>
              <w:t>t/a</w:t>
            </w:r>
          </w:p>
        </w:tc>
      </w:tr>
    </w:tbl>
    <w:p>
      <w:pPr>
        <w:pStyle w:val="40"/>
        <w:spacing w:before="192" w:beforeLines="80" w:after="24"/>
        <w:jc w:val="left"/>
        <w:rPr>
          <w:rFonts w:ascii="Times New Roman" w:hAnsi="Times New Roman" w:eastAsia="宋体"/>
          <w:snapToGrid w:val="0"/>
          <w:color w:val="000000"/>
          <w:spacing w:val="-6"/>
          <w:kern w:val="21"/>
          <w:szCs w:val="21"/>
        </w:rPr>
      </w:pPr>
      <w:r>
        <w:rPr>
          <w:rFonts w:ascii="Times New Roman" w:hAnsi="Times New Roman" w:eastAsia="宋体"/>
          <w:snapToGrid w:val="0"/>
          <w:color w:val="000000"/>
          <w:kern w:val="21"/>
          <w:szCs w:val="21"/>
        </w:rPr>
        <w:t>注：</w:t>
      </w:r>
      <w:r>
        <w:rPr>
          <w:rFonts w:ascii="Times New Roman" w:hAnsi="Times New Roman" w:eastAsia="宋体"/>
          <w:snapToGrid w:val="0"/>
          <w:color w:val="000000"/>
          <w:spacing w:val="-16"/>
          <w:kern w:val="21"/>
          <w:szCs w:val="21"/>
        </w:rPr>
        <w:fldChar w:fldCharType="begin"/>
      </w:r>
      <w:r>
        <w:rPr>
          <w:rFonts w:ascii="Times New Roman" w:hAnsi="Times New Roman" w:eastAsia="宋体"/>
          <w:snapToGrid w:val="0"/>
          <w:color w:val="000000"/>
          <w:spacing w:val="-16"/>
          <w:kern w:val="21"/>
          <w:szCs w:val="21"/>
        </w:rPr>
        <w:instrText xml:space="preserve"> = 6 \* GB3 \* MERGEFORMAT </w:instrText>
      </w:r>
      <w:r>
        <w:rPr>
          <w:rFonts w:ascii="Times New Roman" w:hAnsi="Times New Roman" w:eastAsia="宋体"/>
          <w:snapToGrid w:val="0"/>
          <w:color w:val="000000"/>
          <w:spacing w:val="-16"/>
          <w:kern w:val="21"/>
          <w:szCs w:val="21"/>
        </w:rPr>
        <w:fldChar w:fldCharType="separate"/>
      </w:r>
      <w:r>
        <w:rPr>
          <w:rFonts w:hint="eastAsia" w:ascii="Times New Roman" w:hAnsi="Times New Roman" w:eastAsia="宋体" w:cs="宋体"/>
          <w:szCs w:val="21"/>
        </w:rPr>
        <w:t>⑥</w:t>
      </w:r>
      <w:r>
        <w:rPr>
          <w:rFonts w:ascii="Times New Roman" w:hAnsi="Times New Roman" w:eastAsia="宋体"/>
          <w:snapToGrid w:val="0"/>
          <w:color w:val="000000"/>
          <w:spacing w:val="-16"/>
          <w:kern w:val="21"/>
          <w:szCs w:val="21"/>
        </w:rPr>
        <w:fldChar w:fldCharType="end"/>
      </w:r>
      <w:r>
        <w:rPr>
          <w:rFonts w:ascii="Times New Roman" w:hAnsi="Times New Roman" w:eastAsia="宋体"/>
          <w:snapToGrid w:val="0"/>
          <w:color w:val="000000"/>
          <w:spacing w:val="-1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1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①</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3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③</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4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④</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16"/>
          <w:kern w:val="21"/>
          <w:szCs w:val="21"/>
        </w:rPr>
        <w:fldChar w:fldCharType="begin"/>
      </w:r>
      <w:r>
        <w:rPr>
          <w:rFonts w:ascii="Times New Roman" w:hAnsi="Times New Roman" w:eastAsia="宋体"/>
          <w:snapToGrid w:val="0"/>
          <w:color w:val="000000"/>
          <w:spacing w:val="-16"/>
          <w:kern w:val="21"/>
          <w:szCs w:val="21"/>
        </w:rPr>
        <w:instrText xml:space="preserve"> = 5 \* GB3 \* MERGEFORMAT </w:instrText>
      </w:r>
      <w:r>
        <w:rPr>
          <w:rFonts w:ascii="Times New Roman" w:hAnsi="Times New Roman" w:eastAsia="宋体"/>
          <w:snapToGrid w:val="0"/>
          <w:color w:val="000000"/>
          <w:spacing w:val="-16"/>
          <w:kern w:val="21"/>
          <w:szCs w:val="21"/>
        </w:rPr>
        <w:fldChar w:fldCharType="separate"/>
      </w:r>
      <w:r>
        <w:rPr>
          <w:rFonts w:hint="eastAsia" w:ascii="Times New Roman" w:hAnsi="Times New Roman" w:eastAsia="宋体" w:cs="宋体"/>
          <w:szCs w:val="21"/>
        </w:rPr>
        <w:t>⑤</w:t>
      </w:r>
      <w:r>
        <w:rPr>
          <w:rFonts w:ascii="Times New Roman" w:hAnsi="Times New Roman" w:eastAsia="宋体"/>
          <w:snapToGrid w:val="0"/>
          <w:color w:val="000000"/>
          <w:spacing w:val="-16"/>
          <w:kern w:val="21"/>
          <w:szCs w:val="21"/>
        </w:rPr>
        <w:fldChar w:fldCharType="end"/>
      </w:r>
      <w:r>
        <w:rPr>
          <w:rFonts w:ascii="Times New Roman" w:hAnsi="Times New Roman" w:eastAsia="宋体"/>
          <w:snapToGrid w:val="0"/>
          <w:color w:val="000000"/>
          <w:spacing w:val="-1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7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⑦</w:t>
      </w:r>
      <w:r>
        <w:rPr>
          <w:rFonts w:ascii="Times New Roman" w:hAnsi="Times New Roman" w:eastAsia="宋体"/>
          <w:snapToGrid w:val="0"/>
          <w:color w:val="000000"/>
          <w:spacing w:val="-6"/>
          <w:kern w:val="21"/>
          <w:szCs w:val="21"/>
        </w:rPr>
        <w:fldChar w:fldCharType="end"/>
      </w:r>
      <w:r>
        <w:rPr>
          <w:rFonts w:ascii="Times New Roman" w:hAnsi="Times New Roman" w:eastAsia="宋体"/>
          <w:snapToGrid w:val="0"/>
          <w:color w:val="000000"/>
          <w:spacing w:val="-6"/>
          <w:kern w:val="21"/>
          <w:szCs w:val="21"/>
        </w:rPr>
        <w:t>=</w:t>
      </w:r>
      <w:r>
        <w:rPr>
          <w:rFonts w:ascii="Times New Roman" w:hAnsi="Times New Roman" w:eastAsia="宋体"/>
          <w:snapToGrid w:val="0"/>
          <w:color w:val="000000"/>
          <w:spacing w:val="-16"/>
          <w:kern w:val="21"/>
          <w:szCs w:val="21"/>
        </w:rPr>
        <w:fldChar w:fldCharType="begin"/>
      </w:r>
      <w:r>
        <w:rPr>
          <w:rFonts w:ascii="Times New Roman" w:hAnsi="Times New Roman" w:eastAsia="宋体"/>
          <w:snapToGrid w:val="0"/>
          <w:color w:val="000000"/>
          <w:spacing w:val="-16"/>
          <w:kern w:val="21"/>
          <w:szCs w:val="21"/>
        </w:rPr>
        <w:instrText xml:space="preserve"> = 6 \* GB3 \* MERGEFORMAT </w:instrText>
      </w:r>
      <w:r>
        <w:rPr>
          <w:rFonts w:ascii="Times New Roman" w:hAnsi="Times New Roman" w:eastAsia="宋体"/>
          <w:snapToGrid w:val="0"/>
          <w:color w:val="000000"/>
          <w:spacing w:val="-16"/>
          <w:kern w:val="21"/>
          <w:szCs w:val="21"/>
        </w:rPr>
        <w:fldChar w:fldCharType="separate"/>
      </w:r>
      <w:r>
        <w:rPr>
          <w:rFonts w:hint="eastAsia" w:ascii="Times New Roman" w:hAnsi="Times New Roman" w:eastAsia="宋体" w:cs="宋体"/>
          <w:szCs w:val="21"/>
        </w:rPr>
        <w:t>⑥</w:t>
      </w:r>
      <w:r>
        <w:rPr>
          <w:rFonts w:ascii="Times New Roman" w:hAnsi="Times New Roman" w:eastAsia="宋体"/>
          <w:snapToGrid w:val="0"/>
          <w:color w:val="000000"/>
          <w:spacing w:val="-16"/>
          <w:kern w:val="21"/>
          <w:szCs w:val="21"/>
        </w:rPr>
        <w:fldChar w:fldCharType="end"/>
      </w:r>
      <w:r>
        <w:rPr>
          <w:rFonts w:ascii="Times New Roman" w:hAnsi="Times New Roman" w:eastAsia="宋体"/>
          <w:snapToGrid w:val="0"/>
          <w:color w:val="000000"/>
          <w:spacing w:val="-16"/>
          <w:kern w:val="21"/>
          <w:szCs w:val="21"/>
        </w:rPr>
        <w:t>-</w:t>
      </w:r>
      <w:r>
        <w:rPr>
          <w:rFonts w:ascii="Times New Roman" w:hAnsi="Times New Roman" w:eastAsia="宋体"/>
          <w:snapToGrid w:val="0"/>
          <w:color w:val="000000"/>
          <w:spacing w:val="-6"/>
          <w:kern w:val="21"/>
          <w:szCs w:val="21"/>
        </w:rPr>
        <w:fldChar w:fldCharType="begin"/>
      </w:r>
      <w:r>
        <w:rPr>
          <w:rFonts w:ascii="Times New Roman" w:hAnsi="Times New Roman" w:eastAsia="宋体"/>
          <w:snapToGrid w:val="0"/>
          <w:color w:val="000000"/>
          <w:spacing w:val="-6"/>
          <w:kern w:val="21"/>
          <w:szCs w:val="21"/>
        </w:rPr>
        <w:instrText xml:space="preserve"> = 1 \* GB3 \* MERGEFORMAT </w:instrText>
      </w:r>
      <w:r>
        <w:rPr>
          <w:rFonts w:ascii="Times New Roman" w:hAnsi="Times New Roman" w:eastAsia="宋体"/>
          <w:snapToGrid w:val="0"/>
          <w:color w:val="000000"/>
          <w:spacing w:val="-6"/>
          <w:kern w:val="21"/>
          <w:szCs w:val="21"/>
        </w:rPr>
        <w:fldChar w:fldCharType="separate"/>
      </w:r>
      <w:r>
        <w:rPr>
          <w:rFonts w:hint="eastAsia" w:ascii="Times New Roman" w:hAnsi="Times New Roman" w:eastAsia="宋体" w:cs="宋体"/>
          <w:szCs w:val="21"/>
        </w:rPr>
        <w:t>①</w:t>
      </w:r>
      <w:r>
        <w:rPr>
          <w:rFonts w:ascii="Times New Roman" w:hAnsi="Times New Roman" w:eastAsia="宋体"/>
          <w:snapToGrid w:val="0"/>
          <w:color w:val="000000"/>
          <w:spacing w:val="-6"/>
          <w:kern w:val="21"/>
          <w:szCs w:val="21"/>
        </w:rPr>
        <w:fldChar w:fldCharType="end"/>
      </w:r>
    </w:p>
    <w:sectPr>
      <w:footerReference r:id="rId6"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23</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23</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33</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rFonts w:ascii="宋体" w:hAnsi="宋体"/>
                        <w:sz w:val="26"/>
                        <w:szCs w:val="26"/>
                      </w:rPr>
                      <w:fldChar w:fldCharType="begin"/>
                    </w:r>
                    <w:r>
                      <w:rPr>
                        <w:rStyle w:val="26"/>
                        <w:rFonts w:ascii="宋体" w:hAnsi="宋体"/>
                        <w:sz w:val="26"/>
                        <w:szCs w:val="26"/>
                      </w:rPr>
                      <w:instrText xml:space="preserve">PAGE  </w:instrText>
                    </w:r>
                    <w:r>
                      <w:rPr>
                        <w:rStyle w:val="26"/>
                        <w:rFonts w:ascii="宋体" w:hAnsi="宋体"/>
                        <w:sz w:val="26"/>
                        <w:szCs w:val="26"/>
                      </w:rPr>
                      <w:fldChar w:fldCharType="separate"/>
                    </w:r>
                    <w:r>
                      <w:rPr>
                        <w:rStyle w:val="26"/>
                        <w:rFonts w:ascii="宋体" w:hAnsi="宋体"/>
                        <w:sz w:val="26"/>
                        <w:szCs w:val="26"/>
                      </w:rPr>
                      <w:t>33</w:t>
                    </w:r>
                    <w:r>
                      <w:rPr>
                        <w:rStyle w:val="26"/>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A1549"/>
    <w:multiLevelType w:val="singleLevel"/>
    <w:tmpl w:val="EEBA1549"/>
    <w:lvl w:ilvl="0" w:tentative="0">
      <w:start w:val="2"/>
      <w:numFmt w:val="decimal"/>
      <w:suff w:val="nothing"/>
      <w:lvlText w:val="%1、"/>
      <w:lvlJc w:val="left"/>
    </w:lvl>
  </w:abstractNum>
  <w:abstractNum w:abstractNumId="1">
    <w:nsid w:val="FA9BCBAE"/>
    <w:multiLevelType w:val="singleLevel"/>
    <w:tmpl w:val="FA9BCBA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WMzY2U3YWJiYjNhYThlOTg3NTQ2MjQxNmI2YjEifQ=="/>
  </w:docVars>
  <w:rsids>
    <w:rsidRoot w:val="00A14947"/>
    <w:rsid w:val="000060B3"/>
    <w:rsid w:val="00013FCF"/>
    <w:rsid w:val="000149D3"/>
    <w:rsid w:val="00026D6B"/>
    <w:rsid w:val="00036E86"/>
    <w:rsid w:val="00043144"/>
    <w:rsid w:val="0004364B"/>
    <w:rsid w:val="00060AD1"/>
    <w:rsid w:val="00061B1F"/>
    <w:rsid w:val="00064B38"/>
    <w:rsid w:val="00065C9D"/>
    <w:rsid w:val="00066CFF"/>
    <w:rsid w:val="000733C4"/>
    <w:rsid w:val="00074783"/>
    <w:rsid w:val="0008070B"/>
    <w:rsid w:val="00080D71"/>
    <w:rsid w:val="000810AC"/>
    <w:rsid w:val="00081A02"/>
    <w:rsid w:val="00082231"/>
    <w:rsid w:val="00083883"/>
    <w:rsid w:val="00092D38"/>
    <w:rsid w:val="000932B1"/>
    <w:rsid w:val="0009359F"/>
    <w:rsid w:val="0009377B"/>
    <w:rsid w:val="00094BEF"/>
    <w:rsid w:val="000A20C9"/>
    <w:rsid w:val="000A299F"/>
    <w:rsid w:val="000A4C03"/>
    <w:rsid w:val="000B058F"/>
    <w:rsid w:val="000B4467"/>
    <w:rsid w:val="000B4DB9"/>
    <w:rsid w:val="000C09AC"/>
    <w:rsid w:val="000C767F"/>
    <w:rsid w:val="000D3A94"/>
    <w:rsid w:val="000D5A44"/>
    <w:rsid w:val="000E3ED2"/>
    <w:rsid w:val="000E4024"/>
    <w:rsid w:val="000E7A53"/>
    <w:rsid w:val="000F1E4E"/>
    <w:rsid w:val="0010591F"/>
    <w:rsid w:val="00112F4C"/>
    <w:rsid w:val="001135F1"/>
    <w:rsid w:val="00131F42"/>
    <w:rsid w:val="001357F1"/>
    <w:rsid w:val="00140FA8"/>
    <w:rsid w:val="00142FEB"/>
    <w:rsid w:val="00143A2D"/>
    <w:rsid w:val="00145A41"/>
    <w:rsid w:val="0014723D"/>
    <w:rsid w:val="00151675"/>
    <w:rsid w:val="001551B0"/>
    <w:rsid w:val="00155B78"/>
    <w:rsid w:val="00157435"/>
    <w:rsid w:val="00163EF3"/>
    <w:rsid w:val="00164247"/>
    <w:rsid w:val="0016648A"/>
    <w:rsid w:val="00166FEF"/>
    <w:rsid w:val="001740A6"/>
    <w:rsid w:val="0017504D"/>
    <w:rsid w:val="0017671A"/>
    <w:rsid w:val="00177422"/>
    <w:rsid w:val="00184590"/>
    <w:rsid w:val="001870D1"/>
    <w:rsid w:val="0018781E"/>
    <w:rsid w:val="001878C5"/>
    <w:rsid w:val="001922C6"/>
    <w:rsid w:val="0019262D"/>
    <w:rsid w:val="00197D7B"/>
    <w:rsid w:val="001A0AE3"/>
    <w:rsid w:val="001A1B35"/>
    <w:rsid w:val="001A48A2"/>
    <w:rsid w:val="001A67DA"/>
    <w:rsid w:val="001A6F61"/>
    <w:rsid w:val="001B6487"/>
    <w:rsid w:val="001B72B8"/>
    <w:rsid w:val="001C02FE"/>
    <w:rsid w:val="001C32AB"/>
    <w:rsid w:val="001C3397"/>
    <w:rsid w:val="001C69B3"/>
    <w:rsid w:val="001D0412"/>
    <w:rsid w:val="001D5595"/>
    <w:rsid w:val="001D7874"/>
    <w:rsid w:val="001D7F22"/>
    <w:rsid w:val="001F0F17"/>
    <w:rsid w:val="001F3347"/>
    <w:rsid w:val="001F69E4"/>
    <w:rsid w:val="0020387C"/>
    <w:rsid w:val="0020596A"/>
    <w:rsid w:val="002125B4"/>
    <w:rsid w:val="002155B8"/>
    <w:rsid w:val="00220FBA"/>
    <w:rsid w:val="00224839"/>
    <w:rsid w:val="002249B2"/>
    <w:rsid w:val="00226574"/>
    <w:rsid w:val="002278EC"/>
    <w:rsid w:val="0023280E"/>
    <w:rsid w:val="002377D1"/>
    <w:rsid w:val="00243AF0"/>
    <w:rsid w:val="00247798"/>
    <w:rsid w:val="002506BC"/>
    <w:rsid w:val="00254345"/>
    <w:rsid w:val="00264557"/>
    <w:rsid w:val="0027453D"/>
    <w:rsid w:val="002805AB"/>
    <w:rsid w:val="00284204"/>
    <w:rsid w:val="00291773"/>
    <w:rsid w:val="00295029"/>
    <w:rsid w:val="002A168C"/>
    <w:rsid w:val="002A3DC7"/>
    <w:rsid w:val="002B1381"/>
    <w:rsid w:val="002B49E2"/>
    <w:rsid w:val="002B7B00"/>
    <w:rsid w:val="002B7C44"/>
    <w:rsid w:val="002C074B"/>
    <w:rsid w:val="002C1668"/>
    <w:rsid w:val="002C2B17"/>
    <w:rsid w:val="002C778B"/>
    <w:rsid w:val="002D3DD0"/>
    <w:rsid w:val="002E1F3A"/>
    <w:rsid w:val="002E298A"/>
    <w:rsid w:val="002F12C0"/>
    <w:rsid w:val="00301978"/>
    <w:rsid w:val="0030332C"/>
    <w:rsid w:val="003051C2"/>
    <w:rsid w:val="003078DD"/>
    <w:rsid w:val="003104E8"/>
    <w:rsid w:val="00312296"/>
    <w:rsid w:val="00314F0E"/>
    <w:rsid w:val="00321B66"/>
    <w:rsid w:val="00321D8E"/>
    <w:rsid w:val="003233FB"/>
    <w:rsid w:val="00325928"/>
    <w:rsid w:val="00332863"/>
    <w:rsid w:val="0033684D"/>
    <w:rsid w:val="00337B42"/>
    <w:rsid w:val="00341B42"/>
    <w:rsid w:val="0034348F"/>
    <w:rsid w:val="00344DD8"/>
    <w:rsid w:val="00347121"/>
    <w:rsid w:val="00352A8A"/>
    <w:rsid w:val="00352C2D"/>
    <w:rsid w:val="003539AB"/>
    <w:rsid w:val="00355489"/>
    <w:rsid w:val="00356653"/>
    <w:rsid w:val="0035743F"/>
    <w:rsid w:val="00357BE2"/>
    <w:rsid w:val="0036170C"/>
    <w:rsid w:val="003644B4"/>
    <w:rsid w:val="0036678D"/>
    <w:rsid w:val="00366E0F"/>
    <w:rsid w:val="00374188"/>
    <w:rsid w:val="00381040"/>
    <w:rsid w:val="00381A72"/>
    <w:rsid w:val="00384676"/>
    <w:rsid w:val="00390857"/>
    <w:rsid w:val="003936F8"/>
    <w:rsid w:val="0039454A"/>
    <w:rsid w:val="003A1EC8"/>
    <w:rsid w:val="003A314B"/>
    <w:rsid w:val="003A4BF3"/>
    <w:rsid w:val="003A6C94"/>
    <w:rsid w:val="003B0569"/>
    <w:rsid w:val="003B420D"/>
    <w:rsid w:val="003B570B"/>
    <w:rsid w:val="003B647C"/>
    <w:rsid w:val="003C48FA"/>
    <w:rsid w:val="003C6353"/>
    <w:rsid w:val="003C6C16"/>
    <w:rsid w:val="003D3750"/>
    <w:rsid w:val="003D794D"/>
    <w:rsid w:val="003E3058"/>
    <w:rsid w:val="003E4465"/>
    <w:rsid w:val="003E76A9"/>
    <w:rsid w:val="003F0809"/>
    <w:rsid w:val="003F6A8C"/>
    <w:rsid w:val="003F7369"/>
    <w:rsid w:val="003F755C"/>
    <w:rsid w:val="00404BE2"/>
    <w:rsid w:val="00406F01"/>
    <w:rsid w:val="00413881"/>
    <w:rsid w:val="00416D50"/>
    <w:rsid w:val="00416FD5"/>
    <w:rsid w:val="00417772"/>
    <w:rsid w:val="00420E6A"/>
    <w:rsid w:val="00425A9E"/>
    <w:rsid w:val="00426D6B"/>
    <w:rsid w:val="00426EB4"/>
    <w:rsid w:val="00431E6C"/>
    <w:rsid w:val="00433CE7"/>
    <w:rsid w:val="004359DF"/>
    <w:rsid w:val="00437444"/>
    <w:rsid w:val="004426FB"/>
    <w:rsid w:val="00444476"/>
    <w:rsid w:val="00446052"/>
    <w:rsid w:val="00446738"/>
    <w:rsid w:val="00452738"/>
    <w:rsid w:val="004552CD"/>
    <w:rsid w:val="00456091"/>
    <w:rsid w:val="00464F13"/>
    <w:rsid w:val="00466321"/>
    <w:rsid w:val="00484B9B"/>
    <w:rsid w:val="004855F6"/>
    <w:rsid w:val="0048661E"/>
    <w:rsid w:val="004915FB"/>
    <w:rsid w:val="00493583"/>
    <w:rsid w:val="00494670"/>
    <w:rsid w:val="004A3823"/>
    <w:rsid w:val="004A6C89"/>
    <w:rsid w:val="004B3A4E"/>
    <w:rsid w:val="004C0179"/>
    <w:rsid w:val="004C0DDE"/>
    <w:rsid w:val="004C1403"/>
    <w:rsid w:val="004D56A7"/>
    <w:rsid w:val="004E4618"/>
    <w:rsid w:val="004E6946"/>
    <w:rsid w:val="004F0413"/>
    <w:rsid w:val="004F1AD8"/>
    <w:rsid w:val="005039CB"/>
    <w:rsid w:val="0050558F"/>
    <w:rsid w:val="005061EC"/>
    <w:rsid w:val="00506286"/>
    <w:rsid w:val="00510813"/>
    <w:rsid w:val="00511990"/>
    <w:rsid w:val="00511DE0"/>
    <w:rsid w:val="00514870"/>
    <w:rsid w:val="00514B9B"/>
    <w:rsid w:val="00515A85"/>
    <w:rsid w:val="00517EC3"/>
    <w:rsid w:val="00517F02"/>
    <w:rsid w:val="00524303"/>
    <w:rsid w:val="005258A2"/>
    <w:rsid w:val="00527280"/>
    <w:rsid w:val="00537C81"/>
    <w:rsid w:val="005401AE"/>
    <w:rsid w:val="00542E07"/>
    <w:rsid w:val="00545424"/>
    <w:rsid w:val="005462BA"/>
    <w:rsid w:val="0054630D"/>
    <w:rsid w:val="00551B21"/>
    <w:rsid w:val="005525D8"/>
    <w:rsid w:val="00554A7B"/>
    <w:rsid w:val="0055572C"/>
    <w:rsid w:val="0056106A"/>
    <w:rsid w:val="00564299"/>
    <w:rsid w:val="005720AE"/>
    <w:rsid w:val="00572227"/>
    <w:rsid w:val="00580362"/>
    <w:rsid w:val="00582AC5"/>
    <w:rsid w:val="00593474"/>
    <w:rsid w:val="00594D77"/>
    <w:rsid w:val="00595930"/>
    <w:rsid w:val="005969E4"/>
    <w:rsid w:val="005A06B7"/>
    <w:rsid w:val="005A1759"/>
    <w:rsid w:val="005A54A2"/>
    <w:rsid w:val="005A68A7"/>
    <w:rsid w:val="005B20BF"/>
    <w:rsid w:val="005C6A2C"/>
    <w:rsid w:val="005D1B2D"/>
    <w:rsid w:val="005D36AB"/>
    <w:rsid w:val="005E5FB9"/>
    <w:rsid w:val="005E70AB"/>
    <w:rsid w:val="005F6D06"/>
    <w:rsid w:val="00616769"/>
    <w:rsid w:val="00617CC3"/>
    <w:rsid w:val="00633A09"/>
    <w:rsid w:val="006377A6"/>
    <w:rsid w:val="00637A3D"/>
    <w:rsid w:val="006407AD"/>
    <w:rsid w:val="006411EF"/>
    <w:rsid w:val="00643B3B"/>
    <w:rsid w:val="00644DE8"/>
    <w:rsid w:val="00650D42"/>
    <w:rsid w:val="006631A0"/>
    <w:rsid w:val="00670CE9"/>
    <w:rsid w:val="00672FEF"/>
    <w:rsid w:val="006748B8"/>
    <w:rsid w:val="006775C3"/>
    <w:rsid w:val="0069290A"/>
    <w:rsid w:val="00692F9B"/>
    <w:rsid w:val="0069775A"/>
    <w:rsid w:val="00697813"/>
    <w:rsid w:val="006A26FB"/>
    <w:rsid w:val="006A3EE8"/>
    <w:rsid w:val="006A72BF"/>
    <w:rsid w:val="006B03F2"/>
    <w:rsid w:val="006B37DC"/>
    <w:rsid w:val="006B4F68"/>
    <w:rsid w:val="006C0592"/>
    <w:rsid w:val="006C272E"/>
    <w:rsid w:val="006C5479"/>
    <w:rsid w:val="006D13B5"/>
    <w:rsid w:val="006D500F"/>
    <w:rsid w:val="006E12FF"/>
    <w:rsid w:val="006E607E"/>
    <w:rsid w:val="006F423C"/>
    <w:rsid w:val="0070378A"/>
    <w:rsid w:val="00706C5D"/>
    <w:rsid w:val="00714318"/>
    <w:rsid w:val="0071558B"/>
    <w:rsid w:val="00725CFC"/>
    <w:rsid w:val="007265DC"/>
    <w:rsid w:val="00730362"/>
    <w:rsid w:val="00732922"/>
    <w:rsid w:val="0073707C"/>
    <w:rsid w:val="0074342E"/>
    <w:rsid w:val="00745886"/>
    <w:rsid w:val="00747743"/>
    <w:rsid w:val="0075162E"/>
    <w:rsid w:val="007532F6"/>
    <w:rsid w:val="0075357C"/>
    <w:rsid w:val="00754034"/>
    <w:rsid w:val="00756556"/>
    <w:rsid w:val="00757059"/>
    <w:rsid w:val="00761138"/>
    <w:rsid w:val="007618C4"/>
    <w:rsid w:val="00767980"/>
    <w:rsid w:val="0077028C"/>
    <w:rsid w:val="00770B19"/>
    <w:rsid w:val="0077463F"/>
    <w:rsid w:val="007836EA"/>
    <w:rsid w:val="00784CDA"/>
    <w:rsid w:val="007875E4"/>
    <w:rsid w:val="007877F1"/>
    <w:rsid w:val="007906C4"/>
    <w:rsid w:val="007940EA"/>
    <w:rsid w:val="007967E8"/>
    <w:rsid w:val="007A2170"/>
    <w:rsid w:val="007A22BF"/>
    <w:rsid w:val="007A268F"/>
    <w:rsid w:val="007A3323"/>
    <w:rsid w:val="007A5592"/>
    <w:rsid w:val="007B08A8"/>
    <w:rsid w:val="007B3AB6"/>
    <w:rsid w:val="007B72B8"/>
    <w:rsid w:val="007B7913"/>
    <w:rsid w:val="007B7A58"/>
    <w:rsid w:val="007C21B5"/>
    <w:rsid w:val="007D6E92"/>
    <w:rsid w:val="007D72F4"/>
    <w:rsid w:val="007E4BD2"/>
    <w:rsid w:val="00801393"/>
    <w:rsid w:val="00802F88"/>
    <w:rsid w:val="00805211"/>
    <w:rsid w:val="0081293E"/>
    <w:rsid w:val="00815465"/>
    <w:rsid w:val="00815AD3"/>
    <w:rsid w:val="00817E9A"/>
    <w:rsid w:val="008257FA"/>
    <w:rsid w:val="00827564"/>
    <w:rsid w:val="008306BD"/>
    <w:rsid w:val="00831A80"/>
    <w:rsid w:val="00832BAF"/>
    <w:rsid w:val="00833743"/>
    <w:rsid w:val="008340A4"/>
    <w:rsid w:val="00842559"/>
    <w:rsid w:val="00846977"/>
    <w:rsid w:val="00847AEA"/>
    <w:rsid w:val="00852462"/>
    <w:rsid w:val="00855C89"/>
    <w:rsid w:val="008601AB"/>
    <w:rsid w:val="00863D69"/>
    <w:rsid w:val="0087135F"/>
    <w:rsid w:val="00872D94"/>
    <w:rsid w:val="00875720"/>
    <w:rsid w:val="00880364"/>
    <w:rsid w:val="0088085E"/>
    <w:rsid w:val="00881689"/>
    <w:rsid w:val="0088247E"/>
    <w:rsid w:val="00887988"/>
    <w:rsid w:val="00891592"/>
    <w:rsid w:val="00891E9E"/>
    <w:rsid w:val="00892F74"/>
    <w:rsid w:val="008933C1"/>
    <w:rsid w:val="008942B6"/>
    <w:rsid w:val="008A17B1"/>
    <w:rsid w:val="008A2F68"/>
    <w:rsid w:val="008B2A52"/>
    <w:rsid w:val="008B2D43"/>
    <w:rsid w:val="008B4FA6"/>
    <w:rsid w:val="008B5282"/>
    <w:rsid w:val="008B6CF2"/>
    <w:rsid w:val="008B7C17"/>
    <w:rsid w:val="008C2D01"/>
    <w:rsid w:val="008C40E6"/>
    <w:rsid w:val="008D0F7A"/>
    <w:rsid w:val="008D12B2"/>
    <w:rsid w:val="008D68E4"/>
    <w:rsid w:val="008E0506"/>
    <w:rsid w:val="008E0CFF"/>
    <w:rsid w:val="008E2F90"/>
    <w:rsid w:val="008E4DB1"/>
    <w:rsid w:val="008E5A91"/>
    <w:rsid w:val="008E5D6B"/>
    <w:rsid w:val="008E76F0"/>
    <w:rsid w:val="008F15FE"/>
    <w:rsid w:val="008F2D29"/>
    <w:rsid w:val="008F42D2"/>
    <w:rsid w:val="008F5187"/>
    <w:rsid w:val="008F6036"/>
    <w:rsid w:val="008F60D8"/>
    <w:rsid w:val="00902727"/>
    <w:rsid w:val="0090312B"/>
    <w:rsid w:val="00903F83"/>
    <w:rsid w:val="009154B4"/>
    <w:rsid w:val="0091736D"/>
    <w:rsid w:val="00926184"/>
    <w:rsid w:val="0093037A"/>
    <w:rsid w:val="009342EA"/>
    <w:rsid w:val="0094154D"/>
    <w:rsid w:val="0095155F"/>
    <w:rsid w:val="00951B07"/>
    <w:rsid w:val="00951E2F"/>
    <w:rsid w:val="00954429"/>
    <w:rsid w:val="009563CE"/>
    <w:rsid w:val="00961721"/>
    <w:rsid w:val="009625FF"/>
    <w:rsid w:val="00970586"/>
    <w:rsid w:val="00974A32"/>
    <w:rsid w:val="00976328"/>
    <w:rsid w:val="0097680D"/>
    <w:rsid w:val="00982438"/>
    <w:rsid w:val="0098404C"/>
    <w:rsid w:val="00985283"/>
    <w:rsid w:val="00995992"/>
    <w:rsid w:val="009A03E5"/>
    <w:rsid w:val="009A0C59"/>
    <w:rsid w:val="009A0F3B"/>
    <w:rsid w:val="009A1BB4"/>
    <w:rsid w:val="009A2628"/>
    <w:rsid w:val="009A3200"/>
    <w:rsid w:val="009A4D94"/>
    <w:rsid w:val="009A5FBD"/>
    <w:rsid w:val="009A766A"/>
    <w:rsid w:val="009B0897"/>
    <w:rsid w:val="009B7BD9"/>
    <w:rsid w:val="009C337D"/>
    <w:rsid w:val="009C3DCF"/>
    <w:rsid w:val="009C5C20"/>
    <w:rsid w:val="009C6E51"/>
    <w:rsid w:val="009C7DD5"/>
    <w:rsid w:val="009D2AF1"/>
    <w:rsid w:val="009D73E3"/>
    <w:rsid w:val="009E227D"/>
    <w:rsid w:val="009E5019"/>
    <w:rsid w:val="00A03C97"/>
    <w:rsid w:val="00A04F1B"/>
    <w:rsid w:val="00A0501B"/>
    <w:rsid w:val="00A079AF"/>
    <w:rsid w:val="00A11343"/>
    <w:rsid w:val="00A14947"/>
    <w:rsid w:val="00A21A12"/>
    <w:rsid w:val="00A2396B"/>
    <w:rsid w:val="00A32A83"/>
    <w:rsid w:val="00A356CB"/>
    <w:rsid w:val="00A35EDE"/>
    <w:rsid w:val="00A368DB"/>
    <w:rsid w:val="00A423AA"/>
    <w:rsid w:val="00A4490B"/>
    <w:rsid w:val="00A53EC6"/>
    <w:rsid w:val="00A55C0F"/>
    <w:rsid w:val="00A61B22"/>
    <w:rsid w:val="00A705AC"/>
    <w:rsid w:val="00A8713F"/>
    <w:rsid w:val="00A87F05"/>
    <w:rsid w:val="00A9063A"/>
    <w:rsid w:val="00A90BA1"/>
    <w:rsid w:val="00A96689"/>
    <w:rsid w:val="00A97848"/>
    <w:rsid w:val="00A97A9A"/>
    <w:rsid w:val="00AA0671"/>
    <w:rsid w:val="00AA2531"/>
    <w:rsid w:val="00AB05F0"/>
    <w:rsid w:val="00AB0897"/>
    <w:rsid w:val="00AB1E09"/>
    <w:rsid w:val="00AB5330"/>
    <w:rsid w:val="00AB6399"/>
    <w:rsid w:val="00AB7747"/>
    <w:rsid w:val="00AC14CE"/>
    <w:rsid w:val="00AC2A56"/>
    <w:rsid w:val="00AD055E"/>
    <w:rsid w:val="00AD47A7"/>
    <w:rsid w:val="00AE384E"/>
    <w:rsid w:val="00AF0CBF"/>
    <w:rsid w:val="00AF257F"/>
    <w:rsid w:val="00AF33CF"/>
    <w:rsid w:val="00AF4D50"/>
    <w:rsid w:val="00AF6179"/>
    <w:rsid w:val="00AF77B1"/>
    <w:rsid w:val="00AF7848"/>
    <w:rsid w:val="00AF7F07"/>
    <w:rsid w:val="00AF7F6A"/>
    <w:rsid w:val="00B00D35"/>
    <w:rsid w:val="00B1295A"/>
    <w:rsid w:val="00B20A45"/>
    <w:rsid w:val="00B22C5C"/>
    <w:rsid w:val="00B24F30"/>
    <w:rsid w:val="00B300EB"/>
    <w:rsid w:val="00B31ABF"/>
    <w:rsid w:val="00B33BE3"/>
    <w:rsid w:val="00B40163"/>
    <w:rsid w:val="00B41CD9"/>
    <w:rsid w:val="00B53B5D"/>
    <w:rsid w:val="00B6055E"/>
    <w:rsid w:val="00B6317D"/>
    <w:rsid w:val="00B67325"/>
    <w:rsid w:val="00B679C1"/>
    <w:rsid w:val="00B73D7C"/>
    <w:rsid w:val="00B75EE2"/>
    <w:rsid w:val="00B76DEE"/>
    <w:rsid w:val="00B7723F"/>
    <w:rsid w:val="00B80534"/>
    <w:rsid w:val="00B8433C"/>
    <w:rsid w:val="00B84EF8"/>
    <w:rsid w:val="00B87491"/>
    <w:rsid w:val="00B920C5"/>
    <w:rsid w:val="00B9769D"/>
    <w:rsid w:val="00BA12D3"/>
    <w:rsid w:val="00BA29E9"/>
    <w:rsid w:val="00BA3262"/>
    <w:rsid w:val="00BA7142"/>
    <w:rsid w:val="00BB1DA2"/>
    <w:rsid w:val="00BB237C"/>
    <w:rsid w:val="00BB41A3"/>
    <w:rsid w:val="00BB5FD3"/>
    <w:rsid w:val="00BB7C66"/>
    <w:rsid w:val="00BC1A85"/>
    <w:rsid w:val="00BC32DC"/>
    <w:rsid w:val="00BC35B6"/>
    <w:rsid w:val="00BC4508"/>
    <w:rsid w:val="00BC56A6"/>
    <w:rsid w:val="00BD1B51"/>
    <w:rsid w:val="00BD277E"/>
    <w:rsid w:val="00BD366C"/>
    <w:rsid w:val="00BD4596"/>
    <w:rsid w:val="00BE1405"/>
    <w:rsid w:val="00BE312D"/>
    <w:rsid w:val="00BF0CEA"/>
    <w:rsid w:val="00BF1C20"/>
    <w:rsid w:val="00BF1D61"/>
    <w:rsid w:val="00BF2196"/>
    <w:rsid w:val="00BF6AC5"/>
    <w:rsid w:val="00C02D6A"/>
    <w:rsid w:val="00C10578"/>
    <w:rsid w:val="00C122C3"/>
    <w:rsid w:val="00C135BC"/>
    <w:rsid w:val="00C15C95"/>
    <w:rsid w:val="00C21253"/>
    <w:rsid w:val="00C2596A"/>
    <w:rsid w:val="00C26A4C"/>
    <w:rsid w:val="00C27537"/>
    <w:rsid w:val="00C31C23"/>
    <w:rsid w:val="00C31C37"/>
    <w:rsid w:val="00C328FE"/>
    <w:rsid w:val="00C33507"/>
    <w:rsid w:val="00C3654A"/>
    <w:rsid w:val="00C422DC"/>
    <w:rsid w:val="00C4409D"/>
    <w:rsid w:val="00C44E72"/>
    <w:rsid w:val="00C45A06"/>
    <w:rsid w:val="00C47E5B"/>
    <w:rsid w:val="00C6051C"/>
    <w:rsid w:val="00C61E4B"/>
    <w:rsid w:val="00C64BFF"/>
    <w:rsid w:val="00C65106"/>
    <w:rsid w:val="00C65B8D"/>
    <w:rsid w:val="00C66E89"/>
    <w:rsid w:val="00C704E9"/>
    <w:rsid w:val="00C763C9"/>
    <w:rsid w:val="00C765E3"/>
    <w:rsid w:val="00C76CDF"/>
    <w:rsid w:val="00C80057"/>
    <w:rsid w:val="00C80EB9"/>
    <w:rsid w:val="00C82232"/>
    <w:rsid w:val="00C82913"/>
    <w:rsid w:val="00C87590"/>
    <w:rsid w:val="00C93E73"/>
    <w:rsid w:val="00C972B1"/>
    <w:rsid w:val="00C97D74"/>
    <w:rsid w:val="00CA2CCE"/>
    <w:rsid w:val="00CA43FD"/>
    <w:rsid w:val="00CA6554"/>
    <w:rsid w:val="00CA7631"/>
    <w:rsid w:val="00CA7EF8"/>
    <w:rsid w:val="00CA7F45"/>
    <w:rsid w:val="00CB579A"/>
    <w:rsid w:val="00CC489B"/>
    <w:rsid w:val="00CD154E"/>
    <w:rsid w:val="00CD2BCD"/>
    <w:rsid w:val="00CD398F"/>
    <w:rsid w:val="00CD3A4C"/>
    <w:rsid w:val="00CD7D36"/>
    <w:rsid w:val="00CE10E9"/>
    <w:rsid w:val="00CE2910"/>
    <w:rsid w:val="00CE5393"/>
    <w:rsid w:val="00CF1769"/>
    <w:rsid w:val="00CF36BE"/>
    <w:rsid w:val="00CF4E59"/>
    <w:rsid w:val="00CF5AB4"/>
    <w:rsid w:val="00CF6000"/>
    <w:rsid w:val="00CF7837"/>
    <w:rsid w:val="00D000D7"/>
    <w:rsid w:val="00D003F3"/>
    <w:rsid w:val="00D0364F"/>
    <w:rsid w:val="00D06834"/>
    <w:rsid w:val="00D248E8"/>
    <w:rsid w:val="00D305EB"/>
    <w:rsid w:val="00D308ED"/>
    <w:rsid w:val="00D315F4"/>
    <w:rsid w:val="00D36D86"/>
    <w:rsid w:val="00D428AA"/>
    <w:rsid w:val="00D506FF"/>
    <w:rsid w:val="00D50A34"/>
    <w:rsid w:val="00D53EFA"/>
    <w:rsid w:val="00D56E57"/>
    <w:rsid w:val="00D773D3"/>
    <w:rsid w:val="00D866F7"/>
    <w:rsid w:val="00D92825"/>
    <w:rsid w:val="00D93D6F"/>
    <w:rsid w:val="00D94A5A"/>
    <w:rsid w:val="00D94A7C"/>
    <w:rsid w:val="00D95896"/>
    <w:rsid w:val="00D96ABE"/>
    <w:rsid w:val="00DA26C6"/>
    <w:rsid w:val="00DA41A9"/>
    <w:rsid w:val="00DA499B"/>
    <w:rsid w:val="00DB2983"/>
    <w:rsid w:val="00DB4785"/>
    <w:rsid w:val="00DB6C27"/>
    <w:rsid w:val="00DC1257"/>
    <w:rsid w:val="00DC3DC0"/>
    <w:rsid w:val="00DC5B2B"/>
    <w:rsid w:val="00DD318D"/>
    <w:rsid w:val="00DD321A"/>
    <w:rsid w:val="00DE041A"/>
    <w:rsid w:val="00DE0B5F"/>
    <w:rsid w:val="00DE692A"/>
    <w:rsid w:val="00DF2E12"/>
    <w:rsid w:val="00DF514A"/>
    <w:rsid w:val="00DF6690"/>
    <w:rsid w:val="00DF6804"/>
    <w:rsid w:val="00E002BE"/>
    <w:rsid w:val="00E0358D"/>
    <w:rsid w:val="00E03A6F"/>
    <w:rsid w:val="00E04323"/>
    <w:rsid w:val="00E070A2"/>
    <w:rsid w:val="00E0770D"/>
    <w:rsid w:val="00E13A64"/>
    <w:rsid w:val="00E2656A"/>
    <w:rsid w:val="00E2754C"/>
    <w:rsid w:val="00E308DA"/>
    <w:rsid w:val="00E412D0"/>
    <w:rsid w:val="00E41B05"/>
    <w:rsid w:val="00E45940"/>
    <w:rsid w:val="00E56322"/>
    <w:rsid w:val="00E60982"/>
    <w:rsid w:val="00E62C62"/>
    <w:rsid w:val="00E654C1"/>
    <w:rsid w:val="00E65D97"/>
    <w:rsid w:val="00E707B2"/>
    <w:rsid w:val="00E72A5A"/>
    <w:rsid w:val="00E73354"/>
    <w:rsid w:val="00E80F03"/>
    <w:rsid w:val="00E83934"/>
    <w:rsid w:val="00E9242D"/>
    <w:rsid w:val="00E966E7"/>
    <w:rsid w:val="00EB01F4"/>
    <w:rsid w:val="00EB23B8"/>
    <w:rsid w:val="00EB23EB"/>
    <w:rsid w:val="00EB5255"/>
    <w:rsid w:val="00EB5C47"/>
    <w:rsid w:val="00EC4F75"/>
    <w:rsid w:val="00EC56EF"/>
    <w:rsid w:val="00EC69F7"/>
    <w:rsid w:val="00ED0597"/>
    <w:rsid w:val="00ED0639"/>
    <w:rsid w:val="00ED5389"/>
    <w:rsid w:val="00ED7B69"/>
    <w:rsid w:val="00EE0B2F"/>
    <w:rsid w:val="00EE223B"/>
    <w:rsid w:val="00EE2FED"/>
    <w:rsid w:val="00EF4755"/>
    <w:rsid w:val="00EF6A84"/>
    <w:rsid w:val="00EF7135"/>
    <w:rsid w:val="00F00D3A"/>
    <w:rsid w:val="00F01302"/>
    <w:rsid w:val="00F027DB"/>
    <w:rsid w:val="00F1258D"/>
    <w:rsid w:val="00F14A7A"/>
    <w:rsid w:val="00F22985"/>
    <w:rsid w:val="00F3383E"/>
    <w:rsid w:val="00F4047F"/>
    <w:rsid w:val="00F465A7"/>
    <w:rsid w:val="00F46B98"/>
    <w:rsid w:val="00F46F2D"/>
    <w:rsid w:val="00F50B7C"/>
    <w:rsid w:val="00F51CE3"/>
    <w:rsid w:val="00F550E6"/>
    <w:rsid w:val="00F57079"/>
    <w:rsid w:val="00F60CE9"/>
    <w:rsid w:val="00F651E2"/>
    <w:rsid w:val="00F66119"/>
    <w:rsid w:val="00F713CD"/>
    <w:rsid w:val="00F74345"/>
    <w:rsid w:val="00F80A0A"/>
    <w:rsid w:val="00F82B19"/>
    <w:rsid w:val="00F861E3"/>
    <w:rsid w:val="00F9212D"/>
    <w:rsid w:val="00F965DA"/>
    <w:rsid w:val="00FA3840"/>
    <w:rsid w:val="00FA406A"/>
    <w:rsid w:val="00FB503A"/>
    <w:rsid w:val="00FB50E7"/>
    <w:rsid w:val="00FB516C"/>
    <w:rsid w:val="00FC0E2B"/>
    <w:rsid w:val="00FC28AF"/>
    <w:rsid w:val="00FD0236"/>
    <w:rsid w:val="00FD18F4"/>
    <w:rsid w:val="00FD3637"/>
    <w:rsid w:val="00FD54DB"/>
    <w:rsid w:val="00FD619F"/>
    <w:rsid w:val="00FE1CD2"/>
    <w:rsid w:val="00FE3CFE"/>
    <w:rsid w:val="00FF30D4"/>
    <w:rsid w:val="00FF3F19"/>
    <w:rsid w:val="00FF79A3"/>
    <w:rsid w:val="00FF7F3F"/>
    <w:rsid w:val="01290F7E"/>
    <w:rsid w:val="015D1E09"/>
    <w:rsid w:val="017B11E4"/>
    <w:rsid w:val="017B2F92"/>
    <w:rsid w:val="018F2EE2"/>
    <w:rsid w:val="01D03B06"/>
    <w:rsid w:val="023B31B5"/>
    <w:rsid w:val="024737BC"/>
    <w:rsid w:val="02543D5F"/>
    <w:rsid w:val="02697903"/>
    <w:rsid w:val="027F4D04"/>
    <w:rsid w:val="02881E0B"/>
    <w:rsid w:val="029C1412"/>
    <w:rsid w:val="02CF3285"/>
    <w:rsid w:val="02F254D6"/>
    <w:rsid w:val="02F96569"/>
    <w:rsid w:val="031B2C7F"/>
    <w:rsid w:val="03241A69"/>
    <w:rsid w:val="035B12CD"/>
    <w:rsid w:val="03A7370C"/>
    <w:rsid w:val="03EA7B21"/>
    <w:rsid w:val="03F60FF6"/>
    <w:rsid w:val="041B14CC"/>
    <w:rsid w:val="042F4508"/>
    <w:rsid w:val="043F299D"/>
    <w:rsid w:val="048900BC"/>
    <w:rsid w:val="04CE6DF3"/>
    <w:rsid w:val="04DE0804"/>
    <w:rsid w:val="04E419E6"/>
    <w:rsid w:val="05942874"/>
    <w:rsid w:val="05AD7DDA"/>
    <w:rsid w:val="05BB24F7"/>
    <w:rsid w:val="05F83EAE"/>
    <w:rsid w:val="06110369"/>
    <w:rsid w:val="063E7D85"/>
    <w:rsid w:val="06AE3E0A"/>
    <w:rsid w:val="06F408F5"/>
    <w:rsid w:val="0702318E"/>
    <w:rsid w:val="07293586"/>
    <w:rsid w:val="07295285"/>
    <w:rsid w:val="072B76F2"/>
    <w:rsid w:val="075411DF"/>
    <w:rsid w:val="07636392"/>
    <w:rsid w:val="076B3AA9"/>
    <w:rsid w:val="07770C56"/>
    <w:rsid w:val="07886C0D"/>
    <w:rsid w:val="079E6ECC"/>
    <w:rsid w:val="07F95559"/>
    <w:rsid w:val="0865499C"/>
    <w:rsid w:val="088968DD"/>
    <w:rsid w:val="08A27337"/>
    <w:rsid w:val="08A76D63"/>
    <w:rsid w:val="08B33959"/>
    <w:rsid w:val="08BF5E5A"/>
    <w:rsid w:val="08D51B22"/>
    <w:rsid w:val="08DF29C5"/>
    <w:rsid w:val="092217DD"/>
    <w:rsid w:val="093A7294"/>
    <w:rsid w:val="09684744"/>
    <w:rsid w:val="09BE25B6"/>
    <w:rsid w:val="09C556F2"/>
    <w:rsid w:val="09CD45A7"/>
    <w:rsid w:val="0A1D552E"/>
    <w:rsid w:val="0A263993"/>
    <w:rsid w:val="0A2D3AC2"/>
    <w:rsid w:val="0A2F7010"/>
    <w:rsid w:val="0A424F95"/>
    <w:rsid w:val="0A436F4D"/>
    <w:rsid w:val="0AA755DF"/>
    <w:rsid w:val="0AE93662"/>
    <w:rsid w:val="0B022976"/>
    <w:rsid w:val="0B120D44"/>
    <w:rsid w:val="0B237538"/>
    <w:rsid w:val="0B3348DE"/>
    <w:rsid w:val="0B3860BE"/>
    <w:rsid w:val="0B642CE9"/>
    <w:rsid w:val="0B64718D"/>
    <w:rsid w:val="0B7E024F"/>
    <w:rsid w:val="0BCF0AAA"/>
    <w:rsid w:val="0BD27BF6"/>
    <w:rsid w:val="0BD64A66"/>
    <w:rsid w:val="0BEF6010"/>
    <w:rsid w:val="0C000C64"/>
    <w:rsid w:val="0C083FBC"/>
    <w:rsid w:val="0C255D6D"/>
    <w:rsid w:val="0C3628D7"/>
    <w:rsid w:val="0C3B3C7D"/>
    <w:rsid w:val="0CAB2EAE"/>
    <w:rsid w:val="0CBD3DB6"/>
    <w:rsid w:val="0CC15A41"/>
    <w:rsid w:val="0CFA7CD4"/>
    <w:rsid w:val="0D38442D"/>
    <w:rsid w:val="0D61340B"/>
    <w:rsid w:val="0D621C7D"/>
    <w:rsid w:val="0D8E3FCC"/>
    <w:rsid w:val="0DBD72FF"/>
    <w:rsid w:val="0DC25720"/>
    <w:rsid w:val="0DD405FA"/>
    <w:rsid w:val="0DEB030B"/>
    <w:rsid w:val="0DFC4600"/>
    <w:rsid w:val="0E4532A6"/>
    <w:rsid w:val="0E6C0832"/>
    <w:rsid w:val="0E73034D"/>
    <w:rsid w:val="0E927B6D"/>
    <w:rsid w:val="0ED047D1"/>
    <w:rsid w:val="0F13775A"/>
    <w:rsid w:val="0F5F45FE"/>
    <w:rsid w:val="0F825E34"/>
    <w:rsid w:val="0F9A112B"/>
    <w:rsid w:val="0FB87AA7"/>
    <w:rsid w:val="0FC1070A"/>
    <w:rsid w:val="0FFC3E38"/>
    <w:rsid w:val="100F3B6B"/>
    <w:rsid w:val="101E5FC7"/>
    <w:rsid w:val="101F6456"/>
    <w:rsid w:val="10354C54"/>
    <w:rsid w:val="1039742E"/>
    <w:rsid w:val="10495D22"/>
    <w:rsid w:val="106D2F64"/>
    <w:rsid w:val="107E65FB"/>
    <w:rsid w:val="10863702"/>
    <w:rsid w:val="108B0D18"/>
    <w:rsid w:val="10A83678"/>
    <w:rsid w:val="10B63710"/>
    <w:rsid w:val="10EF74F9"/>
    <w:rsid w:val="10F10820"/>
    <w:rsid w:val="111C2F7A"/>
    <w:rsid w:val="11366ED6"/>
    <w:rsid w:val="11512899"/>
    <w:rsid w:val="11665CA1"/>
    <w:rsid w:val="11A32A4C"/>
    <w:rsid w:val="11C91AF8"/>
    <w:rsid w:val="120668A8"/>
    <w:rsid w:val="12422EC6"/>
    <w:rsid w:val="129C545E"/>
    <w:rsid w:val="12EC4418"/>
    <w:rsid w:val="12FF40D5"/>
    <w:rsid w:val="133F6421"/>
    <w:rsid w:val="137E6912"/>
    <w:rsid w:val="13824654"/>
    <w:rsid w:val="13951726"/>
    <w:rsid w:val="139F6FB4"/>
    <w:rsid w:val="13A66595"/>
    <w:rsid w:val="13E46BAF"/>
    <w:rsid w:val="14396509"/>
    <w:rsid w:val="144E09DA"/>
    <w:rsid w:val="14795A57"/>
    <w:rsid w:val="149C7998"/>
    <w:rsid w:val="14A74CC9"/>
    <w:rsid w:val="14AB5177"/>
    <w:rsid w:val="14AC0B76"/>
    <w:rsid w:val="14DD2C3C"/>
    <w:rsid w:val="15064E11"/>
    <w:rsid w:val="15337B56"/>
    <w:rsid w:val="15826B8D"/>
    <w:rsid w:val="15842905"/>
    <w:rsid w:val="15AF4F21"/>
    <w:rsid w:val="15D62A35"/>
    <w:rsid w:val="15F35395"/>
    <w:rsid w:val="15FA2211"/>
    <w:rsid w:val="16087E1D"/>
    <w:rsid w:val="161C6DC9"/>
    <w:rsid w:val="162C6AF9"/>
    <w:rsid w:val="16454B7E"/>
    <w:rsid w:val="167D1103"/>
    <w:rsid w:val="1695469E"/>
    <w:rsid w:val="16CB1E6E"/>
    <w:rsid w:val="16EB42BE"/>
    <w:rsid w:val="16F45869"/>
    <w:rsid w:val="16F8656C"/>
    <w:rsid w:val="171001C9"/>
    <w:rsid w:val="17101665"/>
    <w:rsid w:val="17397720"/>
    <w:rsid w:val="176B6339"/>
    <w:rsid w:val="17701D14"/>
    <w:rsid w:val="17711D46"/>
    <w:rsid w:val="17735226"/>
    <w:rsid w:val="177A19D8"/>
    <w:rsid w:val="177B7D38"/>
    <w:rsid w:val="17936E30"/>
    <w:rsid w:val="179761F4"/>
    <w:rsid w:val="179E3A27"/>
    <w:rsid w:val="17A76437"/>
    <w:rsid w:val="17EC02EE"/>
    <w:rsid w:val="182F007A"/>
    <w:rsid w:val="182F6239"/>
    <w:rsid w:val="183C74C7"/>
    <w:rsid w:val="18695DE3"/>
    <w:rsid w:val="18950986"/>
    <w:rsid w:val="189D1058"/>
    <w:rsid w:val="189F624C"/>
    <w:rsid w:val="18A90935"/>
    <w:rsid w:val="18CE3E98"/>
    <w:rsid w:val="18D07C10"/>
    <w:rsid w:val="18DE2B5A"/>
    <w:rsid w:val="18E831AB"/>
    <w:rsid w:val="18F2751A"/>
    <w:rsid w:val="18FC210A"/>
    <w:rsid w:val="191D5EC2"/>
    <w:rsid w:val="19360FEA"/>
    <w:rsid w:val="195F2D42"/>
    <w:rsid w:val="19856C4C"/>
    <w:rsid w:val="19B7492C"/>
    <w:rsid w:val="19B82815"/>
    <w:rsid w:val="19DB757A"/>
    <w:rsid w:val="19E80F89"/>
    <w:rsid w:val="19EA4D01"/>
    <w:rsid w:val="19F17E3E"/>
    <w:rsid w:val="1A0E6C42"/>
    <w:rsid w:val="1A18361C"/>
    <w:rsid w:val="1A1C66C0"/>
    <w:rsid w:val="1A42393B"/>
    <w:rsid w:val="1A4E703E"/>
    <w:rsid w:val="1A6B3399"/>
    <w:rsid w:val="1A976C37"/>
    <w:rsid w:val="1AA03612"/>
    <w:rsid w:val="1AAD45DE"/>
    <w:rsid w:val="1AC612CA"/>
    <w:rsid w:val="1AE87493"/>
    <w:rsid w:val="1B046F80"/>
    <w:rsid w:val="1B1069E9"/>
    <w:rsid w:val="1B324BB2"/>
    <w:rsid w:val="1B3267B5"/>
    <w:rsid w:val="1B40161D"/>
    <w:rsid w:val="1B441859"/>
    <w:rsid w:val="1B6606B1"/>
    <w:rsid w:val="1B7725C5"/>
    <w:rsid w:val="1B8D1DE8"/>
    <w:rsid w:val="1BA01B1B"/>
    <w:rsid w:val="1BB50104"/>
    <w:rsid w:val="1BDD2D6F"/>
    <w:rsid w:val="1C1D316C"/>
    <w:rsid w:val="1C5E5533"/>
    <w:rsid w:val="1C5E7925"/>
    <w:rsid w:val="1C9221C5"/>
    <w:rsid w:val="1CD06430"/>
    <w:rsid w:val="1CF0262F"/>
    <w:rsid w:val="1CFD070F"/>
    <w:rsid w:val="1D5F6196"/>
    <w:rsid w:val="1D6132A5"/>
    <w:rsid w:val="1D792624"/>
    <w:rsid w:val="1D8B67FB"/>
    <w:rsid w:val="1D8E56D5"/>
    <w:rsid w:val="1D90796E"/>
    <w:rsid w:val="1D9C4564"/>
    <w:rsid w:val="1DBA49EB"/>
    <w:rsid w:val="1DC51D0D"/>
    <w:rsid w:val="1DC80A69"/>
    <w:rsid w:val="1DD56179"/>
    <w:rsid w:val="1DF8703A"/>
    <w:rsid w:val="1E0F4D36"/>
    <w:rsid w:val="1E25455A"/>
    <w:rsid w:val="1E2D2D3D"/>
    <w:rsid w:val="1E3B5B2B"/>
    <w:rsid w:val="1E7A43DA"/>
    <w:rsid w:val="1E8E0351"/>
    <w:rsid w:val="1EA51D2D"/>
    <w:rsid w:val="1EDF6DFF"/>
    <w:rsid w:val="1EF04B68"/>
    <w:rsid w:val="1F026649"/>
    <w:rsid w:val="1F0C1276"/>
    <w:rsid w:val="1F877427"/>
    <w:rsid w:val="1FA92F69"/>
    <w:rsid w:val="1FC66330"/>
    <w:rsid w:val="1FCF29CF"/>
    <w:rsid w:val="1FE7539E"/>
    <w:rsid w:val="1FE83A91"/>
    <w:rsid w:val="20052895"/>
    <w:rsid w:val="200A1C59"/>
    <w:rsid w:val="2020147D"/>
    <w:rsid w:val="20216FA3"/>
    <w:rsid w:val="2025513D"/>
    <w:rsid w:val="20671BE0"/>
    <w:rsid w:val="20920EFC"/>
    <w:rsid w:val="20963CB8"/>
    <w:rsid w:val="20A81A1B"/>
    <w:rsid w:val="20AB78A8"/>
    <w:rsid w:val="20B07FB6"/>
    <w:rsid w:val="20B646FB"/>
    <w:rsid w:val="20E21F80"/>
    <w:rsid w:val="213B74B1"/>
    <w:rsid w:val="215A0945"/>
    <w:rsid w:val="215A09BE"/>
    <w:rsid w:val="215A2310"/>
    <w:rsid w:val="215F7D83"/>
    <w:rsid w:val="216E446A"/>
    <w:rsid w:val="21757D9B"/>
    <w:rsid w:val="2198622B"/>
    <w:rsid w:val="21DE318A"/>
    <w:rsid w:val="21EF42A9"/>
    <w:rsid w:val="21EF5B80"/>
    <w:rsid w:val="22183324"/>
    <w:rsid w:val="224A27E1"/>
    <w:rsid w:val="22576990"/>
    <w:rsid w:val="22714212"/>
    <w:rsid w:val="22A30143"/>
    <w:rsid w:val="22E26FE5"/>
    <w:rsid w:val="22F47480"/>
    <w:rsid w:val="22F75F1D"/>
    <w:rsid w:val="236E0751"/>
    <w:rsid w:val="238E669A"/>
    <w:rsid w:val="23A3664D"/>
    <w:rsid w:val="23AB5501"/>
    <w:rsid w:val="23DE1C48"/>
    <w:rsid w:val="240210CD"/>
    <w:rsid w:val="24863878"/>
    <w:rsid w:val="249146F7"/>
    <w:rsid w:val="24BF09F7"/>
    <w:rsid w:val="250A6257"/>
    <w:rsid w:val="25237319"/>
    <w:rsid w:val="252B4B4C"/>
    <w:rsid w:val="252D53FE"/>
    <w:rsid w:val="25423C43"/>
    <w:rsid w:val="255A71DF"/>
    <w:rsid w:val="25623CA2"/>
    <w:rsid w:val="25EC2D81"/>
    <w:rsid w:val="260A4BA1"/>
    <w:rsid w:val="26277289"/>
    <w:rsid w:val="265728A3"/>
    <w:rsid w:val="2661634B"/>
    <w:rsid w:val="26962499"/>
    <w:rsid w:val="26A61FB0"/>
    <w:rsid w:val="26D11A2E"/>
    <w:rsid w:val="26E2325A"/>
    <w:rsid w:val="270218DC"/>
    <w:rsid w:val="27036B90"/>
    <w:rsid w:val="27333F5E"/>
    <w:rsid w:val="273677D8"/>
    <w:rsid w:val="273D2914"/>
    <w:rsid w:val="27435A51"/>
    <w:rsid w:val="276E08C0"/>
    <w:rsid w:val="277057A2"/>
    <w:rsid w:val="27825E06"/>
    <w:rsid w:val="27A44741"/>
    <w:rsid w:val="28256D6A"/>
    <w:rsid w:val="28265096"/>
    <w:rsid w:val="283205FE"/>
    <w:rsid w:val="28321D4D"/>
    <w:rsid w:val="28A37736"/>
    <w:rsid w:val="28E15521"/>
    <w:rsid w:val="28F65471"/>
    <w:rsid w:val="290F208E"/>
    <w:rsid w:val="29206EB8"/>
    <w:rsid w:val="29310257"/>
    <w:rsid w:val="29323FCF"/>
    <w:rsid w:val="29595666"/>
    <w:rsid w:val="295B1778"/>
    <w:rsid w:val="295D104C"/>
    <w:rsid w:val="29874881"/>
    <w:rsid w:val="29A94291"/>
    <w:rsid w:val="29B669AE"/>
    <w:rsid w:val="29E325E0"/>
    <w:rsid w:val="29ED5DF1"/>
    <w:rsid w:val="2A375D41"/>
    <w:rsid w:val="2A452503"/>
    <w:rsid w:val="2A506E02"/>
    <w:rsid w:val="2A5C7555"/>
    <w:rsid w:val="2A6E59AA"/>
    <w:rsid w:val="2AAA6513"/>
    <w:rsid w:val="2ABC1DA2"/>
    <w:rsid w:val="2B42499D"/>
    <w:rsid w:val="2B465B0F"/>
    <w:rsid w:val="2B6D7540"/>
    <w:rsid w:val="2B75075B"/>
    <w:rsid w:val="2B94069F"/>
    <w:rsid w:val="2B95226B"/>
    <w:rsid w:val="2BA016C4"/>
    <w:rsid w:val="2BA936A8"/>
    <w:rsid w:val="2BB128C0"/>
    <w:rsid w:val="2BC52ED8"/>
    <w:rsid w:val="2BD61589"/>
    <w:rsid w:val="2BDF043E"/>
    <w:rsid w:val="2C183950"/>
    <w:rsid w:val="2C2220D9"/>
    <w:rsid w:val="2C300C99"/>
    <w:rsid w:val="2C315A5A"/>
    <w:rsid w:val="2C3818FC"/>
    <w:rsid w:val="2C4B1C25"/>
    <w:rsid w:val="2C5A7AC4"/>
    <w:rsid w:val="2C624BCB"/>
    <w:rsid w:val="2C714E0E"/>
    <w:rsid w:val="2C752B50"/>
    <w:rsid w:val="2C9D5C3F"/>
    <w:rsid w:val="2CA23219"/>
    <w:rsid w:val="2CEB696E"/>
    <w:rsid w:val="2CF9552F"/>
    <w:rsid w:val="2CFF3A65"/>
    <w:rsid w:val="2D4A5D8B"/>
    <w:rsid w:val="2D880661"/>
    <w:rsid w:val="2D9E56F5"/>
    <w:rsid w:val="2DCC67A0"/>
    <w:rsid w:val="2DE22723"/>
    <w:rsid w:val="2DE7275E"/>
    <w:rsid w:val="2DEE264E"/>
    <w:rsid w:val="2E053A60"/>
    <w:rsid w:val="2E4E7D04"/>
    <w:rsid w:val="2E591798"/>
    <w:rsid w:val="2E667F96"/>
    <w:rsid w:val="2E70537D"/>
    <w:rsid w:val="2E8226AB"/>
    <w:rsid w:val="2E8370A1"/>
    <w:rsid w:val="2E89643F"/>
    <w:rsid w:val="2EF37D5C"/>
    <w:rsid w:val="2F0E61AD"/>
    <w:rsid w:val="2F2B5748"/>
    <w:rsid w:val="2F4B45A3"/>
    <w:rsid w:val="2FD065E6"/>
    <w:rsid w:val="2FD7142C"/>
    <w:rsid w:val="2FD96870"/>
    <w:rsid w:val="2FF67B04"/>
    <w:rsid w:val="3002294D"/>
    <w:rsid w:val="302B0F7F"/>
    <w:rsid w:val="30580BC9"/>
    <w:rsid w:val="305D3167"/>
    <w:rsid w:val="30620B17"/>
    <w:rsid w:val="308568A9"/>
    <w:rsid w:val="30872E52"/>
    <w:rsid w:val="309A0DD7"/>
    <w:rsid w:val="309F63EE"/>
    <w:rsid w:val="30B474E3"/>
    <w:rsid w:val="30EC3CCF"/>
    <w:rsid w:val="30F05F59"/>
    <w:rsid w:val="30FC5401"/>
    <w:rsid w:val="31124E12"/>
    <w:rsid w:val="311E2ED7"/>
    <w:rsid w:val="31533217"/>
    <w:rsid w:val="315619EE"/>
    <w:rsid w:val="315C449C"/>
    <w:rsid w:val="31B82709"/>
    <w:rsid w:val="31D05482"/>
    <w:rsid w:val="320B4127"/>
    <w:rsid w:val="323E5792"/>
    <w:rsid w:val="32400B34"/>
    <w:rsid w:val="328A2477"/>
    <w:rsid w:val="32931F82"/>
    <w:rsid w:val="329E6876"/>
    <w:rsid w:val="33092244"/>
    <w:rsid w:val="3315290A"/>
    <w:rsid w:val="333015F2"/>
    <w:rsid w:val="333F17C2"/>
    <w:rsid w:val="334B6320"/>
    <w:rsid w:val="33B03948"/>
    <w:rsid w:val="33D87B9A"/>
    <w:rsid w:val="33D934D4"/>
    <w:rsid w:val="33EF143A"/>
    <w:rsid w:val="33EF3043"/>
    <w:rsid w:val="33FE2F6A"/>
    <w:rsid w:val="340E07E5"/>
    <w:rsid w:val="34235BF7"/>
    <w:rsid w:val="344352E2"/>
    <w:rsid w:val="347A6CFF"/>
    <w:rsid w:val="34CD6E1E"/>
    <w:rsid w:val="350607E9"/>
    <w:rsid w:val="352B4A09"/>
    <w:rsid w:val="358C5FA8"/>
    <w:rsid w:val="35990E80"/>
    <w:rsid w:val="35A065EF"/>
    <w:rsid w:val="35C15DF1"/>
    <w:rsid w:val="35E36D7D"/>
    <w:rsid w:val="35FF1CE1"/>
    <w:rsid w:val="36074A7F"/>
    <w:rsid w:val="360836B2"/>
    <w:rsid w:val="361C403D"/>
    <w:rsid w:val="3623361D"/>
    <w:rsid w:val="366D6646"/>
    <w:rsid w:val="368D48EE"/>
    <w:rsid w:val="36923549"/>
    <w:rsid w:val="36B75FBF"/>
    <w:rsid w:val="36BD0C45"/>
    <w:rsid w:val="36F17692"/>
    <w:rsid w:val="371A67CE"/>
    <w:rsid w:val="373158C6"/>
    <w:rsid w:val="375F0685"/>
    <w:rsid w:val="37647A49"/>
    <w:rsid w:val="37797999"/>
    <w:rsid w:val="37CE00CA"/>
    <w:rsid w:val="37E00298"/>
    <w:rsid w:val="37F54B45"/>
    <w:rsid w:val="3805122C"/>
    <w:rsid w:val="380B6117"/>
    <w:rsid w:val="38172D0E"/>
    <w:rsid w:val="385E3BC9"/>
    <w:rsid w:val="38633F5E"/>
    <w:rsid w:val="38B302F9"/>
    <w:rsid w:val="38BB7B3D"/>
    <w:rsid w:val="38D315C7"/>
    <w:rsid w:val="38F12CD3"/>
    <w:rsid w:val="38F94775"/>
    <w:rsid w:val="392971ED"/>
    <w:rsid w:val="39325651"/>
    <w:rsid w:val="39BA1BA2"/>
    <w:rsid w:val="3A080B60"/>
    <w:rsid w:val="3A663AD8"/>
    <w:rsid w:val="3A706705"/>
    <w:rsid w:val="3A872856"/>
    <w:rsid w:val="3AC0143A"/>
    <w:rsid w:val="3AF17846"/>
    <w:rsid w:val="3B0F03C8"/>
    <w:rsid w:val="3B135379"/>
    <w:rsid w:val="3B3763D1"/>
    <w:rsid w:val="3B4E2EEA"/>
    <w:rsid w:val="3BF05D4F"/>
    <w:rsid w:val="3C165EA1"/>
    <w:rsid w:val="3C2F6E1E"/>
    <w:rsid w:val="3C487939"/>
    <w:rsid w:val="3C4C46E8"/>
    <w:rsid w:val="3C4F64BA"/>
    <w:rsid w:val="3C860462"/>
    <w:rsid w:val="3C9E57AB"/>
    <w:rsid w:val="3CC86FC9"/>
    <w:rsid w:val="3CCB2319"/>
    <w:rsid w:val="3CDA245A"/>
    <w:rsid w:val="3D1E06B7"/>
    <w:rsid w:val="3D2A5291"/>
    <w:rsid w:val="3D346110"/>
    <w:rsid w:val="3D5B544A"/>
    <w:rsid w:val="3D6F54E2"/>
    <w:rsid w:val="3E5325C6"/>
    <w:rsid w:val="3E774506"/>
    <w:rsid w:val="3EA3354D"/>
    <w:rsid w:val="3EDA0523"/>
    <w:rsid w:val="3F3353CC"/>
    <w:rsid w:val="3F3A354A"/>
    <w:rsid w:val="3F4E1AB9"/>
    <w:rsid w:val="3F6C1B91"/>
    <w:rsid w:val="3F6E103F"/>
    <w:rsid w:val="3F7647BE"/>
    <w:rsid w:val="3F890995"/>
    <w:rsid w:val="3F8F587F"/>
    <w:rsid w:val="3F9450D2"/>
    <w:rsid w:val="3FC217B1"/>
    <w:rsid w:val="400A03A0"/>
    <w:rsid w:val="400B13AA"/>
    <w:rsid w:val="400B3158"/>
    <w:rsid w:val="40316936"/>
    <w:rsid w:val="40632F94"/>
    <w:rsid w:val="406B1E48"/>
    <w:rsid w:val="407A6407"/>
    <w:rsid w:val="40AD420F"/>
    <w:rsid w:val="40B7508E"/>
    <w:rsid w:val="40C04B24"/>
    <w:rsid w:val="40CF23D7"/>
    <w:rsid w:val="40D875CE"/>
    <w:rsid w:val="40E83499"/>
    <w:rsid w:val="410D2F00"/>
    <w:rsid w:val="41140732"/>
    <w:rsid w:val="4124436F"/>
    <w:rsid w:val="413E755D"/>
    <w:rsid w:val="415C2E07"/>
    <w:rsid w:val="41A25D3E"/>
    <w:rsid w:val="4200449D"/>
    <w:rsid w:val="42334BE8"/>
    <w:rsid w:val="423A3BCC"/>
    <w:rsid w:val="424E57D2"/>
    <w:rsid w:val="428A38B6"/>
    <w:rsid w:val="42B26C49"/>
    <w:rsid w:val="42CE0D61"/>
    <w:rsid w:val="42FE6FA4"/>
    <w:rsid w:val="430B4FF2"/>
    <w:rsid w:val="430F11B1"/>
    <w:rsid w:val="43120CA1"/>
    <w:rsid w:val="4314381B"/>
    <w:rsid w:val="43171E14"/>
    <w:rsid w:val="433A6FE6"/>
    <w:rsid w:val="43480868"/>
    <w:rsid w:val="434846C3"/>
    <w:rsid w:val="4350713C"/>
    <w:rsid w:val="43530D81"/>
    <w:rsid w:val="436653E0"/>
    <w:rsid w:val="43847352"/>
    <w:rsid w:val="438C2802"/>
    <w:rsid w:val="43963680"/>
    <w:rsid w:val="43AF029E"/>
    <w:rsid w:val="43B161C0"/>
    <w:rsid w:val="43C4431A"/>
    <w:rsid w:val="43CA7AC6"/>
    <w:rsid w:val="43D146B8"/>
    <w:rsid w:val="43DB72E5"/>
    <w:rsid w:val="443C25A8"/>
    <w:rsid w:val="447424DD"/>
    <w:rsid w:val="44AC63D3"/>
    <w:rsid w:val="44B33DBE"/>
    <w:rsid w:val="44B738AE"/>
    <w:rsid w:val="44B951CC"/>
    <w:rsid w:val="44CD14E0"/>
    <w:rsid w:val="44CE0BF8"/>
    <w:rsid w:val="44D206E8"/>
    <w:rsid w:val="44F20B0B"/>
    <w:rsid w:val="45107462"/>
    <w:rsid w:val="451D487E"/>
    <w:rsid w:val="452A5142"/>
    <w:rsid w:val="452E5F4C"/>
    <w:rsid w:val="454163AE"/>
    <w:rsid w:val="45525385"/>
    <w:rsid w:val="45612018"/>
    <w:rsid w:val="458946E9"/>
    <w:rsid w:val="4590612D"/>
    <w:rsid w:val="45A04342"/>
    <w:rsid w:val="45A47C0E"/>
    <w:rsid w:val="45BC4EF4"/>
    <w:rsid w:val="45BC6CA2"/>
    <w:rsid w:val="45C73FC5"/>
    <w:rsid w:val="45CB174B"/>
    <w:rsid w:val="45D3296A"/>
    <w:rsid w:val="46130905"/>
    <w:rsid w:val="462E4D32"/>
    <w:rsid w:val="462E7BA0"/>
    <w:rsid w:val="46537607"/>
    <w:rsid w:val="46577FD6"/>
    <w:rsid w:val="46601D24"/>
    <w:rsid w:val="46603AD2"/>
    <w:rsid w:val="46BC1650"/>
    <w:rsid w:val="46D955A7"/>
    <w:rsid w:val="46DC584E"/>
    <w:rsid w:val="46FE3D85"/>
    <w:rsid w:val="47133957"/>
    <w:rsid w:val="47356D0C"/>
    <w:rsid w:val="47486429"/>
    <w:rsid w:val="47A07E0C"/>
    <w:rsid w:val="47B644BF"/>
    <w:rsid w:val="47BB36B5"/>
    <w:rsid w:val="47F20F40"/>
    <w:rsid w:val="48455675"/>
    <w:rsid w:val="48645AFB"/>
    <w:rsid w:val="4867383D"/>
    <w:rsid w:val="4870272E"/>
    <w:rsid w:val="48B30830"/>
    <w:rsid w:val="48C77E38"/>
    <w:rsid w:val="4921579A"/>
    <w:rsid w:val="493556E9"/>
    <w:rsid w:val="49973A49"/>
    <w:rsid w:val="49B52386"/>
    <w:rsid w:val="49CA551D"/>
    <w:rsid w:val="49DC7715"/>
    <w:rsid w:val="4A023139"/>
    <w:rsid w:val="4A315EB1"/>
    <w:rsid w:val="4A431740"/>
    <w:rsid w:val="4A6D32BF"/>
    <w:rsid w:val="4A7B576F"/>
    <w:rsid w:val="4A8835F7"/>
    <w:rsid w:val="4A896855"/>
    <w:rsid w:val="4ABE526B"/>
    <w:rsid w:val="4AD66A58"/>
    <w:rsid w:val="4AF561A9"/>
    <w:rsid w:val="4B094738"/>
    <w:rsid w:val="4B1A6945"/>
    <w:rsid w:val="4B2638B0"/>
    <w:rsid w:val="4B4B6AFE"/>
    <w:rsid w:val="4B5051A4"/>
    <w:rsid w:val="4BD20DE6"/>
    <w:rsid w:val="4BF24CEE"/>
    <w:rsid w:val="4C1F59F2"/>
    <w:rsid w:val="4C4719BC"/>
    <w:rsid w:val="4C4A0649"/>
    <w:rsid w:val="4C675DE6"/>
    <w:rsid w:val="4C7B1E44"/>
    <w:rsid w:val="4C7E5ECA"/>
    <w:rsid w:val="4C876AA5"/>
    <w:rsid w:val="4CC50B32"/>
    <w:rsid w:val="4CD6771E"/>
    <w:rsid w:val="4CE9093D"/>
    <w:rsid w:val="4D0E00FB"/>
    <w:rsid w:val="4D176606"/>
    <w:rsid w:val="4D405AC9"/>
    <w:rsid w:val="4D5D0D6B"/>
    <w:rsid w:val="4D6C1F12"/>
    <w:rsid w:val="4DBE5CAD"/>
    <w:rsid w:val="4DE1374A"/>
    <w:rsid w:val="4DEC4FB0"/>
    <w:rsid w:val="4E00222A"/>
    <w:rsid w:val="4E075D8A"/>
    <w:rsid w:val="4E630643"/>
    <w:rsid w:val="4E636855"/>
    <w:rsid w:val="4E7445BE"/>
    <w:rsid w:val="4EB3158A"/>
    <w:rsid w:val="4EC00FAD"/>
    <w:rsid w:val="4F073684"/>
    <w:rsid w:val="4F622A5E"/>
    <w:rsid w:val="4F8C3B89"/>
    <w:rsid w:val="4F9843DC"/>
    <w:rsid w:val="4FC357FD"/>
    <w:rsid w:val="4FC62A8C"/>
    <w:rsid w:val="4FE20F0D"/>
    <w:rsid w:val="4FE51552"/>
    <w:rsid w:val="50083210"/>
    <w:rsid w:val="50153B7F"/>
    <w:rsid w:val="5027460C"/>
    <w:rsid w:val="50504C4B"/>
    <w:rsid w:val="505E1E4F"/>
    <w:rsid w:val="50804CA1"/>
    <w:rsid w:val="50811214"/>
    <w:rsid w:val="508B5BEF"/>
    <w:rsid w:val="509C6E7C"/>
    <w:rsid w:val="50AC44E3"/>
    <w:rsid w:val="50F11EF6"/>
    <w:rsid w:val="5126542F"/>
    <w:rsid w:val="514C30F0"/>
    <w:rsid w:val="51600E2A"/>
    <w:rsid w:val="5162104E"/>
    <w:rsid w:val="516B49A4"/>
    <w:rsid w:val="51786173"/>
    <w:rsid w:val="52075749"/>
    <w:rsid w:val="52140592"/>
    <w:rsid w:val="527728CF"/>
    <w:rsid w:val="52BE5550"/>
    <w:rsid w:val="52D4686F"/>
    <w:rsid w:val="52F1442F"/>
    <w:rsid w:val="530D4FE1"/>
    <w:rsid w:val="53A039CC"/>
    <w:rsid w:val="53A1505A"/>
    <w:rsid w:val="53DF072C"/>
    <w:rsid w:val="540253C1"/>
    <w:rsid w:val="54063E08"/>
    <w:rsid w:val="542D593B"/>
    <w:rsid w:val="542E16B3"/>
    <w:rsid w:val="542F66AC"/>
    <w:rsid w:val="543437E8"/>
    <w:rsid w:val="54696247"/>
    <w:rsid w:val="54AF027F"/>
    <w:rsid w:val="54B25E40"/>
    <w:rsid w:val="54BC6CBF"/>
    <w:rsid w:val="54F73313"/>
    <w:rsid w:val="54F80955"/>
    <w:rsid w:val="551A610F"/>
    <w:rsid w:val="552C79A0"/>
    <w:rsid w:val="555170A7"/>
    <w:rsid w:val="5572737D"/>
    <w:rsid w:val="5587536D"/>
    <w:rsid w:val="559B174B"/>
    <w:rsid w:val="559E0172"/>
    <w:rsid w:val="55A25EB5"/>
    <w:rsid w:val="55CE0CF4"/>
    <w:rsid w:val="55D122F6"/>
    <w:rsid w:val="55D1679A"/>
    <w:rsid w:val="56051FA0"/>
    <w:rsid w:val="560B3A5A"/>
    <w:rsid w:val="56102E1E"/>
    <w:rsid w:val="561D088C"/>
    <w:rsid w:val="562E599A"/>
    <w:rsid w:val="564275FE"/>
    <w:rsid w:val="567A0BDF"/>
    <w:rsid w:val="568410FF"/>
    <w:rsid w:val="56B22A9C"/>
    <w:rsid w:val="56C9121F"/>
    <w:rsid w:val="56CB143B"/>
    <w:rsid w:val="56E85B49"/>
    <w:rsid w:val="56E9366F"/>
    <w:rsid w:val="5704510F"/>
    <w:rsid w:val="57390153"/>
    <w:rsid w:val="57A044A6"/>
    <w:rsid w:val="57B72A76"/>
    <w:rsid w:val="57BD6FD6"/>
    <w:rsid w:val="57C3426C"/>
    <w:rsid w:val="57CE1F93"/>
    <w:rsid w:val="57FD3876"/>
    <w:rsid w:val="580C1D0B"/>
    <w:rsid w:val="588743D1"/>
    <w:rsid w:val="5887701A"/>
    <w:rsid w:val="589860B0"/>
    <w:rsid w:val="58A41F45"/>
    <w:rsid w:val="58D97E3F"/>
    <w:rsid w:val="58E97957"/>
    <w:rsid w:val="592E180D"/>
    <w:rsid w:val="5942577F"/>
    <w:rsid w:val="595B08A7"/>
    <w:rsid w:val="596F4300"/>
    <w:rsid w:val="597436C4"/>
    <w:rsid w:val="59883613"/>
    <w:rsid w:val="598F7818"/>
    <w:rsid w:val="59C0439F"/>
    <w:rsid w:val="59F91E1B"/>
    <w:rsid w:val="5A094754"/>
    <w:rsid w:val="5A2055FA"/>
    <w:rsid w:val="5A3924CE"/>
    <w:rsid w:val="5A407A4A"/>
    <w:rsid w:val="5A557999"/>
    <w:rsid w:val="5A9009D2"/>
    <w:rsid w:val="5AA4441E"/>
    <w:rsid w:val="5ABE2233"/>
    <w:rsid w:val="5AC14456"/>
    <w:rsid w:val="5AC53C58"/>
    <w:rsid w:val="5AD52888"/>
    <w:rsid w:val="5AE1122D"/>
    <w:rsid w:val="5B1F3A0B"/>
    <w:rsid w:val="5B2D6220"/>
    <w:rsid w:val="5B607CF8"/>
    <w:rsid w:val="5B7756EE"/>
    <w:rsid w:val="5BB12C15"/>
    <w:rsid w:val="5BDF5D95"/>
    <w:rsid w:val="5BF4276A"/>
    <w:rsid w:val="5BFE7528"/>
    <w:rsid w:val="5C0C0C50"/>
    <w:rsid w:val="5C3E620B"/>
    <w:rsid w:val="5C412D10"/>
    <w:rsid w:val="5C530585"/>
    <w:rsid w:val="5C8A31FF"/>
    <w:rsid w:val="5CEB0141"/>
    <w:rsid w:val="5CFD7E74"/>
    <w:rsid w:val="5D0D3237"/>
    <w:rsid w:val="5D53287C"/>
    <w:rsid w:val="5D537A94"/>
    <w:rsid w:val="5D573A29"/>
    <w:rsid w:val="5D8B36D2"/>
    <w:rsid w:val="5E055233"/>
    <w:rsid w:val="5E2467F1"/>
    <w:rsid w:val="5E4F4700"/>
    <w:rsid w:val="5E602F64"/>
    <w:rsid w:val="5E9033B3"/>
    <w:rsid w:val="5E984FCD"/>
    <w:rsid w:val="5E987E55"/>
    <w:rsid w:val="5ED44043"/>
    <w:rsid w:val="5ED846F5"/>
    <w:rsid w:val="5F1A2B43"/>
    <w:rsid w:val="5F1F40D2"/>
    <w:rsid w:val="5F5D2E4C"/>
    <w:rsid w:val="5F8959EF"/>
    <w:rsid w:val="5FB837BB"/>
    <w:rsid w:val="600D4872"/>
    <w:rsid w:val="605D4903"/>
    <w:rsid w:val="606F72DB"/>
    <w:rsid w:val="60AC408B"/>
    <w:rsid w:val="60CC405A"/>
    <w:rsid w:val="60FA296E"/>
    <w:rsid w:val="61021EFD"/>
    <w:rsid w:val="610437C2"/>
    <w:rsid w:val="611A0FF5"/>
    <w:rsid w:val="616834A5"/>
    <w:rsid w:val="617D1584"/>
    <w:rsid w:val="61813705"/>
    <w:rsid w:val="619C4100"/>
    <w:rsid w:val="61A92379"/>
    <w:rsid w:val="61E215D8"/>
    <w:rsid w:val="62140B3E"/>
    <w:rsid w:val="621B3775"/>
    <w:rsid w:val="622F4B23"/>
    <w:rsid w:val="62364782"/>
    <w:rsid w:val="62413B44"/>
    <w:rsid w:val="6260512D"/>
    <w:rsid w:val="627D7A8D"/>
    <w:rsid w:val="62CA07F9"/>
    <w:rsid w:val="62ED3EA9"/>
    <w:rsid w:val="63033C02"/>
    <w:rsid w:val="630D670F"/>
    <w:rsid w:val="631657EC"/>
    <w:rsid w:val="635D78BF"/>
    <w:rsid w:val="636649C5"/>
    <w:rsid w:val="6394356A"/>
    <w:rsid w:val="639D7CBB"/>
    <w:rsid w:val="63C61B2C"/>
    <w:rsid w:val="63D40BE9"/>
    <w:rsid w:val="63F57AF7"/>
    <w:rsid w:val="64102431"/>
    <w:rsid w:val="64293323"/>
    <w:rsid w:val="64326656"/>
    <w:rsid w:val="64572560"/>
    <w:rsid w:val="64A5243A"/>
    <w:rsid w:val="64B33C3A"/>
    <w:rsid w:val="64B82FFF"/>
    <w:rsid w:val="64BB76D0"/>
    <w:rsid w:val="64CD45D0"/>
    <w:rsid w:val="64E8778A"/>
    <w:rsid w:val="64F25DE5"/>
    <w:rsid w:val="64F531DE"/>
    <w:rsid w:val="65373578"/>
    <w:rsid w:val="65444FF2"/>
    <w:rsid w:val="656E190F"/>
    <w:rsid w:val="65C854C3"/>
    <w:rsid w:val="65D025CA"/>
    <w:rsid w:val="66216982"/>
    <w:rsid w:val="66360241"/>
    <w:rsid w:val="66B81714"/>
    <w:rsid w:val="66F145A6"/>
    <w:rsid w:val="671F124A"/>
    <w:rsid w:val="6736645D"/>
    <w:rsid w:val="67375865"/>
    <w:rsid w:val="67395F4D"/>
    <w:rsid w:val="67446DCC"/>
    <w:rsid w:val="6747066A"/>
    <w:rsid w:val="677A33C6"/>
    <w:rsid w:val="677D5E3A"/>
    <w:rsid w:val="67C63C85"/>
    <w:rsid w:val="68093B71"/>
    <w:rsid w:val="680C5410"/>
    <w:rsid w:val="681F6961"/>
    <w:rsid w:val="68610A2F"/>
    <w:rsid w:val="68665F57"/>
    <w:rsid w:val="68805514"/>
    <w:rsid w:val="689D062F"/>
    <w:rsid w:val="68A85138"/>
    <w:rsid w:val="68FD3ECC"/>
    <w:rsid w:val="690A6A65"/>
    <w:rsid w:val="69316E2F"/>
    <w:rsid w:val="694E2071"/>
    <w:rsid w:val="694E2184"/>
    <w:rsid w:val="696E2F06"/>
    <w:rsid w:val="69766163"/>
    <w:rsid w:val="697A3B33"/>
    <w:rsid w:val="69B47B0D"/>
    <w:rsid w:val="69D44760"/>
    <w:rsid w:val="69EE1271"/>
    <w:rsid w:val="6A024D1C"/>
    <w:rsid w:val="6A2F5543"/>
    <w:rsid w:val="6A464C09"/>
    <w:rsid w:val="6A4A73F1"/>
    <w:rsid w:val="6A520EC7"/>
    <w:rsid w:val="6A5C442C"/>
    <w:rsid w:val="6A8B6AC0"/>
    <w:rsid w:val="6A911788"/>
    <w:rsid w:val="6AC30CF6"/>
    <w:rsid w:val="6AD227CD"/>
    <w:rsid w:val="6AED777A"/>
    <w:rsid w:val="6AF87E20"/>
    <w:rsid w:val="6AFA59F3"/>
    <w:rsid w:val="6B0B68A7"/>
    <w:rsid w:val="6B1D47E5"/>
    <w:rsid w:val="6B2F1B41"/>
    <w:rsid w:val="6B322639"/>
    <w:rsid w:val="6B712159"/>
    <w:rsid w:val="6B8A6D77"/>
    <w:rsid w:val="6B9D4CFC"/>
    <w:rsid w:val="6BB471E7"/>
    <w:rsid w:val="6BEA5A68"/>
    <w:rsid w:val="6C1A634D"/>
    <w:rsid w:val="6C1C0317"/>
    <w:rsid w:val="6C23085C"/>
    <w:rsid w:val="6C3A69EF"/>
    <w:rsid w:val="6C586E75"/>
    <w:rsid w:val="6C636C38"/>
    <w:rsid w:val="6C861C34"/>
    <w:rsid w:val="6CAE6A95"/>
    <w:rsid w:val="6CC509FF"/>
    <w:rsid w:val="6CCE4C58"/>
    <w:rsid w:val="6CD9769F"/>
    <w:rsid w:val="6D50469D"/>
    <w:rsid w:val="6D673814"/>
    <w:rsid w:val="6D685C36"/>
    <w:rsid w:val="6D8D2B4F"/>
    <w:rsid w:val="6D990465"/>
    <w:rsid w:val="6DA265FA"/>
    <w:rsid w:val="6DB34098"/>
    <w:rsid w:val="6DB545B6"/>
    <w:rsid w:val="6DC5053A"/>
    <w:rsid w:val="6DE02FB4"/>
    <w:rsid w:val="6DFD5F26"/>
    <w:rsid w:val="6E0F7A08"/>
    <w:rsid w:val="6E1658F9"/>
    <w:rsid w:val="6E337CDC"/>
    <w:rsid w:val="6E514CED"/>
    <w:rsid w:val="6E584699"/>
    <w:rsid w:val="6E775CD9"/>
    <w:rsid w:val="6EB563D5"/>
    <w:rsid w:val="6EC22A43"/>
    <w:rsid w:val="6ED8604B"/>
    <w:rsid w:val="6ED92677"/>
    <w:rsid w:val="6F0B01CF"/>
    <w:rsid w:val="6F0C6AFB"/>
    <w:rsid w:val="6F196D90"/>
    <w:rsid w:val="6F225983"/>
    <w:rsid w:val="6F2319BD"/>
    <w:rsid w:val="6F685621"/>
    <w:rsid w:val="6F8040FB"/>
    <w:rsid w:val="6FF869A5"/>
    <w:rsid w:val="6FFC5590"/>
    <w:rsid w:val="70090BB2"/>
    <w:rsid w:val="701D01BA"/>
    <w:rsid w:val="706D1DD0"/>
    <w:rsid w:val="70856B87"/>
    <w:rsid w:val="70D527EE"/>
    <w:rsid w:val="70E417C4"/>
    <w:rsid w:val="71341C5F"/>
    <w:rsid w:val="71467BE4"/>
    <w:rsid w:val="715B5300"/>
    <w:rsid w:val="715F4802"/>
    <w:rsid w:val="71706A0F"/>
    <w:rsid w:val="7174582F"/>
    <w:rsid w:val="718070C4"/>
    <w:rsid w:val="718E16DB"/>
    <w:rsid w:val="71A60683"/>
    <w:rsid w:val="71B9003F"/>
    <w:rsid w:val="71D27F8A"/>
    <w:rsid w:val="71E116BB"/>
    <w:rsid w:val="71E82A49"/>
    <w:rsid w:val="72311466"/>
    <w:rsid w:val="72415901"/>
    <w:rsid w:val="724E6D50"/>
    <w:rsid w:val="72553024"/>
    <w:rsid w:val="729A0E95"/>
    <w:rsid w:val="731068D5"/>
    <w:rsid w:val="73122968"/>
    <w:rsid w:val="731F5D5E"/>
    <w:rsid w:val="736366E2"/>
    <w:rsid w:val="736B2C3F"/>
    <w:rsid w:val="73A806E2"/>
    <w:rsid w:val="73C51AD5"/>
    <w:rsid w:val="73D96AEE"/>
    <w:rsid w:val="73E13BF4"/>
    <w:rsid w:val="73E84F83"/>
    <w:rsid w:val="741E793C"/>
    <w:rsid w:val="7420471D"/>
    <w:rsid w:val="742E12AB"/>
    <w:rsid w:val="744877CF"/>
    <w:rsid w:val="745E3944"/>
    <w:rsid w:val="74650381"/>
    <w:rsid w:val="748A428C"/>
    <w:rsid w:val="74B135C7"/>
    <w:rsid w:val="74FC0CE6"/>
    <w:rsid w:val="751B1E2E"/>
    <w:rsid w:val="757C1E26"/>
    <w:rsid w:val="75FC4D15"/>
    <w:rsid w:val="7635099D"/>
    <w:rsid w:val="76A1287B"/>
    <w:rsid w:val="76E9529A"/>
    <w:rsid w:val="76F8393D"/>
    <w:rsid w:val="77132317"/>
    <w:rsid w:val="77562203"/>
    <w:rsid w:val="775A6197"/>
    <w:rsid w:val="7763410A"/>
    <w:rsid w:val="77762421"/>
    <w:rsid w:val="778154D2"/>
    <w:rsid w:val="77A85155"/>
    <w:rsid w:val="77B238DE"/>
    <w:rsid w:val="77B56B1F"/>
    <w:rsid w:val="77C65AEE"/>
    <w:rsid w:val="77CB499F"/>
    <w:rsid w:val="77D63345"/>
    <w:rsid w:val="77E5607F"/>
    <w:rsid w:val="780B6C7D"/>
    <w:rsid w:val="780F09F4"/>
    <w:rsid w:val="781F6A99"/>
    <w:rsid w:val="78462278"/>
    <w:rsid w:val="78501D24"/>
    <w:rsid w:val="785E75C1"/>
    <w:rsid w:val="787B0173"/>
    <w:rsid w:val="78872FBC"/>
    <w:rsid w:val="788F3D4A"/>
    <w:rsid w:val="78A551F0"/>
    <w:rsid w:val="78A90480"/>
    <w:rsid w:val="78F30652"/>
    <w:rsid w:val="78FB3062"/>
    <w:rsid w:val="79031E95"/>
    <w:rsid w:val="790463BB"/>
    <w:rsid w:val="7929744E"/>
    <w:rsid w:val="79D0629D"/>
    <w:rsid w:val="7A057D3D"/>
    <w:rsid w:val="7A13262E"/>
    <w:rsid w:val="7A364017"/>
    <w:rsid w:val="7A680BCB"/>
    <w:rsid w:val="7A813A3B"/>
    <w:rsid w:val="7A8265E1"/>
    <w:rsid w:val="7A835A05"/>
    <w:rsid w:val="7AAA11E4"/>
    <w:rsid w:val="7AC548F7"/>
    <w:rsid w:val="7AD41DBD"/>
    <w:rsid w:val="7AD44F12"/>
    <w:rsid w:val="7AEE7323"/>
    <w:rsid w:val="7B0E3521"/>
    <w:rsid w:val="7B361733"/>
    <w:rsid w:val="7B396E35"/>
    <w:rsid w:val="7B533F57"/>
    <w:rsid w:val="7B686D42"/>
    <w:rsid w:val="7B841746"/>
    <w:rsid w:val="7B9559F0"/>
    <w:rsid w:val="7BDA1655"/>
    <w:rsid w:val="7BE129E3"/>
    <w:rsid w:val="7BEE6EAE"/>
    <w:rsid w:val="7C2B3C5E"/>
    <w:rsid w:val="7C3C0AB1"/>
    <w:rsid w:val="7C4405EC"/>
    <w:rsid w:val="7C6C5AC7"/>
    <w:rsid w:val="7C6E10CB"/>
    <w:rsid w:val="7C7E0232"/>
    <w:rsid w:val="7CA12173"/>
    <w:rsid w:val="7CC6544B"/>
    <w:rsid w:val="7D0239FF"/>
    <w:rsid w:val="7D0A7D18"/>
    <w:rsid w:val="7D1D5D51"/>
    <w:rsid w:val="7D4C6582"/>
    <w:rsid w:val="7D550A18"/>
    <w:rsid w:val="7D5E40CD"/>
    <w:rsid w:val="7D913B11"/>
    <w:rsid w:val="7DCD56F2"/>
    <w:rsid w:val="7DEA41A0"/>
    <w:rsid w:val="7DF033B2"/>
    <w:rsid w:val="7E6572A5"/>
    <w:rsid w:val="7F001CE7"/>
    <w:rsid w:val="7F1B26B0"/>
    <w:rsid w:val="7F27013F"/>
    <w:rsid w:val="7F3379FA"/>
    <w:rsid w:val="7F3E014D"/>
    <w:rsid w:val="7F71310C"/>
    <w:rsid w:val="7F8738A2"/>
    <w:rsid w:val="7FBE4DEA"/>
    <w:rsid w:val="7FE47E50"/>
    <w:rsid w:val="7FF0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ocked="1"/>
    <w:lsdException w:qFormat="1" w:unhideWhenUsed="0"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iPriority="99" w:semiHidden="0" w:name="Body Text First Indent 2" w:locked="1"/>
    <w:lsdException w:uiPriority="0" w:name="Note Heading" w:locked="1"/>
    <w:lsdException w:qFormat="1" w:unhideWhenUsed="0" w:uiPriority="0" w:semiHidden="0" w:name="Body Text 2" w:locked="1"/>
    <w:lsdException w:uiPriority="0" w:name="Body Text 3" w:locked="1"/>
    <w:lsdException w:qFormat="1" w:unhideWhenUsed="0" w:uiPriority="0" w:semiHidden="0" w:name="Body Text Indent 2" w:locked="1"/>
    <w:lsdException w:qFormat="1" w:uiPriority="0" w:semiHidden="0" w:name="Body Text Indent 3" w:locked="1"/>
    <w:lsdException w:uiPriority="0" w:name="Block Text" w:locked="1"/>
    <w:lsdException w:qFormat="1" w:uiPriority="99"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iPriority="0" w:semiHidden="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after="260" w:line="416" w:lineRule="auto"/>
      <w:outlineLvl w:val="1"/>
    </w:pPr>
    <w:rPr>
      <w:rFonts w:ascii="Arial" w:hAnsi="Arial" w:eastAsia="黑体"/>
      <w:bCs/>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locked/>
    <w:uiPriority w:val="39"/>
    <w:pPr>
      <w:ind w:left="420" w:leftChars="200"/>
    </w:pPr>
  </w:style>
  <w:style w:type="paragraph" w:styleId="5">
    <w:name w:val="Normal Indent"/>
    <w:basedOn w:val="1"/>
    <w:next w:val="6"/>
    <w:qFormat/>
    <w:locked/>
    <w:uiPriority w:val="0"/>
    <w:pPr>
      <w:ind w:firstLine="420"/>
    </w:pPr>
  </w:style>
  <w:style w:type="paragraph" w:customStyle="1" w:styleId="6">
    <w:name w:val="表头"/>
    <w:basedOn w:val="5"/>
    <w:next w:val="1"/>
    <w:qFormat/>
    <w:uiPriority w:val="0"/>
    <w:pPr>
      <w:spacing w:line="360" w:lineRule="auto"/>
      <w:ind w:firstLine="960" w:firstLineChars="400"/>
    </w:pPr>
    <w:rPr>
      <w:sz w:val="24"/>
      <w:szCs w:val="24"/>
    </w:rPr>
  </w:style>
  <w:style w:type="paragraph" w:styleId="7">
    <w:name w:val="annotation text"/>
    <w:basedOn w:val="1"/>
    <w:link w:val="38"/>
    <w:semiHidden/>
    <w:qFormat/>
    <w:uiPriority w:val="0"/>
    <w:pPr>
      <w:jc w:val="left"/>
    </w:pPr>
    <w:rPr>
      <w:kern w:val="0"/>
      <w:sz w:val="24"/>
      <w:szCs w:val="20"/>
    </w:rPr>
  </w:style>
  <w:style w:type="paragraph" w:styleId="8">
    <w:name w:val="Body Text"/>
    <w:basedOn w:val="1"/>
    <w:next w:val="9"/>
    <w:link w:val="37"/>
    <w:qFormat/>
    <w:uiPriority w:val="0"/>
    <w:pPr>
      <w:widowControl/>
      <w:snapToGrid w:val="0"/>
      <w:spacing w:before="60" w:after="160" w:line="259" w:lineRule="auto"/>
      <w:ind w:right="113"/>
    </w:pPr>
    <w:rPr>
      <w:kern w:val="0"/>
      <w:sz w:val="18"/>
      <w:szCs w:val="20"/>
    </w:rPr>
  </w:style>
  <w:style w:type="paragraph" w:styleId="9">
    <w:name w:val="toc 1"/>
    <w:basedOn w:val="1"/>
    <w:next w:val="1"/>
    <w:qFormat/>
    <w:locked/>
    <w:uiPriority w:val="39"/>
    <w:pPr>
      <w:spacing w:before="120" w:after="120"/>
      <w:jc w:val="left"/>
    </w:pPr>
    <w:rPr>
      <w:rFonts w:ascii="Calibri" w:hAnsi="Calibri"/>
      <w:b/>
      <w:bCs/>
      <w:caps/>
      <w:kern w:val="2"/>
      <w:sz w:val="20"/>
    </w:rPr>
  </w:style>
  <w:style w:type="paragraph" w:styleId="10">
    <w:name w:val="Body Text Indent"/>
    <w:basedOn w:val="1"/>
    <w:link w:val="46"/>
    <w:qFormat/>
    <w:uiPriority w:val="0"/>
    <w:pPr>
      <w:spacing w:after="120"/>
      <w:ind w:left="420" w:leftChars="200"/>
    </w:pPr>
    <w:rPr>
      <w:kern w:val="0"/>
      <w:sz w:val="24"/>
      <w:szCs w:val="20"/>
    </w:rPr>
  </w:style>
  <w:style w:type="paragraph" w:styleId="11">
    <w:name w:val="Plain Text"/>
    <w:basedOn w:val="1"/>
    <w:link w:val="64"/>
    <w:unhideWhenUsed/>
    <w:qFormat/>
    <w:locked/>
    <w:uiPriority w:val="0"/>
    <w:rPr>
      <w:rFonts w:ascii="宋体" w:hAnsi="Courier New" w:cs="Courier New"/>
      <w:kern w:val="0"/>
      <w:sz w:val="20"/>
      <w:szCs w:val="21"/>
    </w:rPr>
  </w:style>
  <w:style w:type="paragraph" w:styleId="12">
    <w:name w:val="Date"/>
    <w:basedOn w:val="1"/>
    <w:next w:val="1"/>
    <w:link w:val="33"/>
    <w:qFormat/>
    <w:uiPriority w:val="0"/>
    <w:pPr>
      <w:ind w:left="100" w:leftChars="2500"/>
    </w:pPr>
    <w:rPr>
      <w:kern w:val="0"/>
      <w:sz w:val="24"/>
      <w:szCs w:val="20"/>
    </w:rPr>
  </w:style>
  <w:style w:type="paragraph" w:styleId="13">
    <w:name w:val="Body Text Indent 2"/>
    <w:basedOn w:val="1"/>
    <w:next w:val="1"/>
    <w:link w:val="54"/>
    <w:qFormat/>
    <w:locked/>
    <w:uiPriority w:val="0"/>
    <w:pPr>
      <w:spacing w:after="120" w:line="480" w:lineRule="auto"/>
      <w:ind w:left="420" w:leftChars="200"/>
    </w:pPr>
  </w:style>
  <w:style w:type="paragraph" w:styleId="14">
    <w:name w:val="Balloon Text"/>
    <w:basedOn w:val="1"/>
    <w:link w:val="42"/>
    <w:semiHidden/>
    <w:qFormat/>
    <w:uiPriority w:val="0"/>
    <w:rPr>
      <w:kern w:val="0"/>
      <w:sz w:val="18"/>
      <w:szCs w:val="20"/>
    </w:rPr>
  </w:style>
  <w:style w:type="paragraph" w:styleId="15">
    <w:name w:val="footer"/>
    <w:basedOn w:val="1"/>
    <w:link w:val="32"/>
    <w:qFormat/>
    <w:uiPriority w:val="99"/>
    <w:pPr>
      <w:tabs>
        <w:tab w:val="center" w:pos="4153"/>
        <w:tab w:val="right" w:pos="8306"/>
      </w:tabs>
      <w:snapToGrid w:val="0"/>
      <w:jc w:val="left"/>
    </w:pPr>
    <w:rPr>
      <w:kern w:val="0"/>
      <w:sz w:val="18"/>
      <w:szCs w:val="20"/>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List"/>
    <w:basedOn w:val="1"/>
    <w:qFormat/>
    <w:locked/>
    <w:uiPriority w:val="0"/>
    <w:pPr>
      <w:autoSpaceDE w:val="0"/>
      <w:autoSpaceDN w:val="0"/>
      <w:adjustRightInd w:val="0"/>
      <w:jc w:val="center"/>
      <w:textAlignment w:val="baseline"/>
    </w:pPr>
    <w:rPr>
      <w:kern w:val="0"/>
      <w:sz w:val="24"/>
      <w:szCs w:val="20"/>
    </w:rPr>
  </w:style>
  <w:style w:type="paragraph" w:styleId="18">
    <w:name w:val="Body Text Indent 3"/>
    <w:basedOn w:val="1"/>
    <w:unhideWhenUsed/>
    <w:qFormat/>
    <w:locked/>
    <w:uiPriority w:val="0"/>
    <w:pPr>
      <w:spacing w:after="120"/>
      <w:ind w:left="420" w:leftChars="200"/>
    </w:pPr>
    <w:rPr>
      <w:kern w:val="0"/>
      <w:sz w:val="16"/>
      <w:szCs w:val="16"/>
    </w:rPr>
  </w:style>
  <w:style w:type="paragraph" w:styleId="19">
    <w:name w:val="Body Text 2"/>
    <w:basedOn w:val="1"/>
    <w:link w:val="61"/>
    <w:qFormat/>
    <w:locked/>
    <w:uiPriority w:val="0"/>
    <w:pPr>
      <w:spacing w:after="120" w:line="480" w:lineRule="auto"/>
    </w:pPr>
  </w:style>
  <w:style w:type="paragraph" w:styleId="20">
    <w:name w:val="Normal (Web)"/>
    <w:basedOn w:val="1"/>
    <w:link w:val="35"/>
    <w:qFormat/>
    <w:uiPriority w:val="99"/>
    <w:pPr>
      <w:widowControl/>
      <w:spacing w:before="100" w:beforeAutospacing="1" w:after="100" w:afterAutospacing="1"/>
      <w:jc w:val="left"/>
    </w:pPr>
    <w:rPr>
      <w:rFonts w:ascii="宋体" w:hAnsi="宋体"/>
      <w:kern w:val="0"/>
      <w:sz w:val="24"/>
      <w:szCs w:val="20"/>
    </w:rPr>
  </w:style>
  <w:style w:type="paragraph" w:styleId="21">
    <w:name w:val="annotation subject"/>
    <w:basedOn w:val="7"/>
    <w:next w:val="7"/>
    <w:link w:val="43"/>
    <w:semiHidden/>
    <w:qFormat/>
    <w:uiPriority w:val="0"/>
    <w:rPr>
      <w:b/>
    </w:rPr>
  </w:style>
  <w:style w:type="paragraph" w:styleId="22">
    <w:name w:val="Body Text First Indent 2"/>
    <w:basedOn w:val="10"/>
    <w:link w:val="66"/>
    <w:unhideWhenUsed/>
    <w:qFormat/>
    <w:locked/>
    <w:uiPriority w:val="99"/>
    <w:pPr>
      <w:ind w:firstLine="420" w:firstLineChars="200"/>
    </w:pPr>
    <w:rPr>
      <w:rFonts w:ascii="等线" w:hAnsi="等线" w:eastAsia="等线"/>
      <w:kern w:val="2"/>
      <w:sz w:val="21"/>
      <w:szCs w:val="22"/>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locked/>
    <w:uiPriority w:val="0"/>
  </w:style>
  <w:style w:type="character" w:styleId="27">
    <w:name w:val="Hyperlink"/>
    <w:unhideWhenUsed/>
    <w:qFormat/>
    <w:locked/>
    <w:uiPriority w:val="99"/>
    <w:rPr>
      <w:color w:val="0000FF"/>
      <w:u w:val="single"/>
    </w:rPr>
  </w:style>
  <w:style w:type="character" w:styleId="28">
    <w:name w:val="annotation reference"/>
    <w:qFormat/>
    <w:uiPriority w:val="0"/>
    <w:rPr>
      <w:sz w:val="21"/>
    </w:rPr>
  </w:style>
  <w:style w:type="paragraph" w:customStyle="1" w:styleId="29">
    <w:name w:val="Default"/>
    <w:basedOn w:val="30"/>
    <w:next w:val="1"/>
    <w:qFormat/>
    <w:uiPriority w:val="99"/>
    <w:pPr>
      <w:widowControl w:val="0"/>
      <w:autoSpaceDE w:val="0"/>
      <w:autoSpaceDN w:val="0"/>
    </w:pPr>
    <w:rPr>
      <w:rFonts w:ascii="仿宋_GB2312" w:hAnsi="仿宋_GB2312" w:eastAsia="仿宋_GB2312" w:cs="Times New Roman"/>
      <w:color w:val="000000"/>
      <w:sz w:val="24"/>
      <w:szCs w:val="22"/>
      <w:lang w:val="en-US" w:eastAsia="zh-CN" w:bidi="ar-SA"/>
    </w:rPr>
  </w:style>
  <w:style w:type="paragraph" w:customStyle="1" w:styleId="30">
    <w:name w:val="纯文本1"/>
    <w:basedOn w:val="1"/>
    <w:qFormat/>
    <w:uiPriority w:val="0"/>
    <w:pPr>
      <w:adjustRightInd w:val="0"/>
      <w:textAlignment w:val="baseline"/>
    </w:pPr>
    <w:rPr>
      <w:rFonts w:ascii="宋体" w:hAnsi="Courier New"/>
      <w:szCs w:val="20"/>
    </w:rPr>
  </w:style>
  <w:style w:type="paragraph" w:customStyle="1" w:styleId="3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32">
    <w:name w:val="页脚 字符1"/>
    <w:link w:val="15"/>
    <w:qFormat/>
    <w:locked/>
    <w:uiPriority w:val="99"/>
    <w:rPr>
      <w:sz w:val="18"/>
    </w:rPr>
  </w:style>
  <w:style w:type="character" w:customStyle="1" w:styleId="33">
    <w:name w:val="日期 字符1"/>
    <w:link w:val="12"/>
    <w:qFormat/>
    <w:locked/>
    <w:uiPriority w:val="0"/>
    <w:rPr>
      <w:rFonts w:ascii="Times New Roman" w:hAnsi="Times New Roman" w:eastAsia="宋体"/>
      <w:sz w:val="24"/>
    </w:rPr>
  </w:style>
  <w:style w:type="character" w:customStyle="1" w:styleId="34">
    <w:name w:val="页脚 字符"/>
    <w:basedOn w:val="25"/>
    <w:qFormat/>
    <w:uiPriority w:val="99"/>
  </w:style>
  <w:style w:type="character" w:customStyle="1" w:styleId="35">
    <w:name w:val="普通(网站) 字符"/>
    <w:link w:val="20"/>
    <w:qFormat/>
    <w:locked/>
    <w:uiPriority w:val="0"/>
    <w:rPr>
      <w:rFonts w:ascii="宋体" w:hAnsi="宋体" w:eastAsia="宋体"/>
      <w:sz w:val="24"/>
    </w:rPr>
  </w:style>
  <w:style w:type="character" w:customStyle="1" w:styleId="36">
    <w:name w:val="正文文本 字符1"/>
    <w:semiHidden/>
    <w:qFormat/>
    <w:uiPriority w:val="0"/>
    <w:rPr>
      <w:rFonts w:ascii="Times New Roman" w:hAnsi="Times New Roman" w:eastAsia="宋体"/>
      <w:sz w:val="24"/>
    </w:rPr>
  </w:style>
  <w:style w:type="character" w:customStyle="1" w:styleId="37">
    <w:name w:val="正文文本 字符"/>
    <w:link w:val="8"/>
    <w:qFormat/>
    <w:locked/>
    <w:uiPriority w:val="0"/>
    <w:rPr>
      <w:sz w:val="18"/>
    </w:rPr>
  </w:style>
  <w:style w:type="character" w:customStyle="1" w:styleId="38">
    <w:name w:val="批注文字 字符"/>
    <w:link w:val="7"/>
    <w:qFormat/>
    <w:locked/>
    <w:uiPriority w:val="0"/>
    <w:rPr>
      <w:rFonts w:ascii="Times New Roman" w:hAnsi="Times New Roman" w:eastAsia="宋体"/>
      <w:sz w:val="24"/>
    </w:rPr>
  </w:style>
  <w:style w:type="character" w:customStyle="1" w:styleId="39">
    <w:name w:val="表格 Char"/>
    <w:link w:val="40"/>
    <w:qFormat/>
    <w:locked/>
    <w:uiPriority w:val="0"/>
    <w:rPr>
      <w:rFonts w:ascii="宋体"/>
      <w:sz w:val="21"/>
    </w:rPr>
  </w:style>
  <w:style w:type="paragraph" w:customStyle="1" w:styleId="40">
    <w:name w:val="表格"/>
    <w:basedOn w:val="1"/>
    <w:next w:val="1"/>
    <w:link w:val="39"/>
    <w:qFormat/>
    <w:uiPriority w:val="0"/>
    <w:pPr>
      <w:adjustRightInd w:val="0"/>
      <w:snapToGrid w:val="0"/>
      <w:spacing w:beforeLines="10" w:afterLines="10" w:line="259" w:lineRule="auto"/>
      <w:jc w:val="center"/>
    </w:pPr>
    <w:rPr>
      <w:rFonts w:ascii="宋体"/>
      <w:kern w:val="0"/>
      <w:szCs w:val="20"/>
    </w:rPr>
  </w:style>
  <w:style w:type="character" w:customStyle="1" w:styleId="41">
    <w:name w:val="日期 字符"/>
    <w:semiHidden/>
    <w:qFormat/>
    <w:uiPriority w:val="0"/>
    <w:rPr>
      <w:rFonts w:ascii="Times New Roman" w:hAnsi="Times New Roman" w:eastAsia="宋体"/>
      <w:sz w:val="24"/>
    </w:rPr>
  </w:style>
  <w:style w:type="character" w:customStyle="1" w:styleId="42">
    <w:name w:val="批注框文本 字符"/>
    <w:link w:val="14"/>
    <w:semiHidden/>
    <w:qFormat/>
    <w:locked/>
    <w:uiPriority w:val="0"/>
    <w:rPr>
      <w:rFonts w:ascii="Times New Roman" w:hAnsi="Times New Roman" w:eastAsia="宋体"/>
      <w:sz w:val="18"/>
    </w:rPr>
  </w:style>
  <w:style w:type="character" w:customStyle="1" w:styleId="43">
    <w:name w:val="批注主题 字符"/>
    <w:link w:val="21"/>
    <w:semiHidden/>
    <w:qFormat/>
    <w:locked/>
    <w:uiPriority w:val="0"/>
    <w:rPr>
      <w:rFonts w:ascii="Times New Roman" w:hAnsi="Times New Roman" w:eastAsia="宋体"/>
      <w:b/>
      <w:kern w:val="2"/>
      <w:sz w:val="24"/>
    </w:rPr>
  </w:style>
  <w:style w:type="character" w:customStyle="1" w:styleId="44">
    <w:name w:val="页眉 字符"/>
    <w:link w:val="16"/>
    <w:qFormat/>
    <w:locked/>
    <w:uiPriority w:val="0"/>
    <w:rPr>
      <w:sz w:val="18"/>
    </w:rPr>
  </w:style>
  <w:style w:type="character" w:customStyle="1" w:styleId="45">
    <w:name w:val="批注文字 字符1"/>
    <w:semiHidden/>
    <w:qFormat/>
    <w:uiPriority w:val="0"/>
    <w:rPr>
      <w:rFonts w:ascii="Times New Roman" w:hAnsi="Times New Roman" w:eastAsia="宋体"/>
      <w:sz w:val="24"/>
    </w:rPr>
  </w:style>
  <w:style w:type="character" w:customStyle="1" w:styleId="46">
    <w:name w:val="正文文本缩进 字符"/>
    <w:link w:val="10"/>
    <w:semiHidden/>
    <w:qFormat/>
    <w:locked/>
    <w:uiPriority w:val="0"/>
    <w:rPr>
      <w:rFonts w:ascii="Times New Roman" w:hAnsi="Times New Roman" w:eastAsia="宋体"/>
      <w:sz w:val="24"/>
    </w:rPr>
  </w:style>
  <w:style w:type="paragraph" w:customStyle="1" w:styleId="4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9">
    <w:name w:val="正文首行缩进 2 + Times New Roman Char Char"/>
    <w:link w:val="50"/>
    <w:qFormat/>
    <w:uiPriority w:val="0"/>
    <w:rPr>
      <w:sz w:val="24"/>
      <w:szCs w:val="24"/>
    </w:rPr>
  </w:style>
  <w:style w:type="paragraph" w:customStyle="1" w:styleId="50">
    <w:name w:val="正文首行缩进 2 + Times New Roman"/>
    <w:basedOn w:val="1"/>
    <w:link w:val="49"/>
    <w:qFormat/>
    <w:uiPriority w:val="0"/>
    <w:pPr>
      <w:tabs>
        <w:tab w:val="left" w:pos="0"/>
        <w:tab w:val="left" w:pos="870"/>
        <w:tab w:val="left" w:pos="3150"/>
      </w:tabs>
      <w:autoSpaceDE w:val="0"/>
      <w:autoSpaceDN w:val="0"/>
      <w:spacing w:line="360" w:lineRule="auto"/>
      <w:ind w:firstLine="200" w:firstLineChars="200"/>
    </w:pPr>
    <w:rPr>
      <w:kern w:val="0"/>
      <w:sz w:val="24"/>
    </w:rPr>
  </w:style>
  <w:style w:type="paragraph" w:customStyle="1" w:styleId="51">
    <w:name w:val="Table Paragraph"/>
    <w:basedOn w:val="1"/>
    <w:qFormat/>
    <w:uiPriority w:val="1"/>
    <w:pPr>
      <w:widowControl/>
      <w:jc w:val="left"/>
    </w:pPr>
    <w:rPr>
      <w:rFonts w:ascii="Calibri" w:hAnsi="Calibri" w:cs="宋体"/>
      <w:kern w:val="0"/>
      <w:sz w:val="22"/>
      <w:szCs w:val="22"/>
    </w:rPr>
  </w:style>
  <w:style w:type="paragraph" w:customStyle="1" w:styleId="52">
    <w:name w:val="环评正文"/>
    <w:basedOn w:val="1"/>
    <w:link w:val="53"/>
    <w:qFormat/>
    <w:uiPriority w:val="0"/>
    <w:pPr>
      <w:spacing w:line="360" w:lineRule="auto"/>
      <w:ind w:firstLine="200" w:firstLineChars="200"/>
      <w:jc w:val="left"/>
    </w:pPr>
    <w:rPr>
      <w:sz w:val="24"/>
    </w:rPr>
  </w:style>
  <w:style w:type="character" w:customStyle="1" w:styleId="53">
    <w:name w:val="环评正文 Char Char"/>
    <w:link w:val="52"/>
    <w:qFormat/>
    <w:uiPriority w:val="0"/>
    <w:rPr>
      <w:kern w:val="2"/>
      <w:sz w:val="24"/>
      <w:szCs w:val="24"/>
    </w:rPr>
  </w:style>
  <w:style w:type="character" w:customStyle="1" w:styleId="54">
    <w:name w:val="正文文本缩进 2 字符"/>
    <w:link w:val="13"/>
    <w:qFormat/>
    <w:uiPriority w:val="0"/>
    <w:rPr>
      <w:kern w:val="2"/>
      <w:sz w:val="21"/>
      <w:szCs w:val="24"/>
    </w:rPr>
  </w:style>
  <w:style w:type="paragraph" w:customStyle="1" w:styleId="55">
    <w:name w:val="样式 正文文字 2 + 首行缩进:  2 字符"/>
    <w:basedOn w:val="19"/>
    <w:qFormat/>
    <w:uiPriority w:val="0"/>
    <w:pPr>
      <w:spacing w:before="100" w:beforeAutospacing="1" w:after="0" w:line="240" w:lineRule="auto"/>
      <w:jc w:val="center"/>
    </w:pPr>
    <w:rPr>
      <w:rFonts w:ascii="黑体" w:eastAsia="黑体"/>
      <w:kern w:val="0"/>
      <w:sz w:val="24"/>
      <w:szCs w:val="20"/>
    </w:rPr>
  </w:style>
  <w:style w:type="character" w:customStyle="1" w:styleId="56">
    <w:name w:val="17"/>
    <w:qFormat/>
    <w:uiPriority w:val="0"/>
    <w:rPr>
      <w:rFonts w:hint="default" w:ascii="Times New Roman" w:hAnsi="Times New Roman" w:cs="Times New Roman"/>
      <w:color w:val="000000"/>
      <w:sz w:val="22"/>
      <w:szCs w:val="22"/>
    </w:rPr>
  </w:style>
  <w:style w:type="character" w:customStyle="1" w:styleId="57">
    <w:name w:val="16"/>
    <w:qFormat/>
    <w:uiPriority w:val="0"/>
    <w:rPr>
      <w:rFonts w:hint="default" w:ascii="Times New Roman" w:hAnsi="Times New Roman" w:cs="Times New Roman"/>
      <w:color w:val="000000"/>
      <w:sz w:val="22"/>
      <w:szCs w:val="22"/>
    </w:rPr>
  </w:style>
  <w:style w:type="character" w:customStyle="1" w:styleId="58">
    <w:name w:val="15"/>
    <w:qFormat/>
    <w:uiPriority w:val="0"/>
    <w:rPr>
      <w:rFonts w:hint="default" w:ascii="Cambria" w:hAnsi="Cambria"/>
      <w:b/>
      <w:bCs/>
      <w:sz w:val="32"/>
      <w:szCs w:val="32"/>
    </w:rPr>
  </w:style>
  <w:style w:type="character" w:customStyle="1" w:styleId="59">
    <w:name w:val="18"/>
    <w:qFormat/>
    <w:uiPriority w:val="0"/>
    <w:rPr>
      <w:rFonts w:hint="eastAsia" w:ascii="宋体" w:hAnsi="宋体" w:eastAsia="宋体"/>
      <w:b/>
      <w:bCs/>
      <w:color w:val="000000"/>
      <w:sz w:val="24"/>
      <w:szCs w:val="24"/>
    </w:rPr>
  </w:style>
  <w:style w:type="character" w:customStyle="1" w:styleId="60">
    <w:name w:val="19"/>
    <w:qFormat/>
    <w:uiPriority w:val="0"/>
    <w:rPr>
      <w:rFonts w:hint="eastAsia" w:ascii="宋体" w:hAnsi="宋体" w:eastAsia="宋体"/>
      <w:color w:val="000000"/>
      <w:sz w:val="24"/>
      <w:szCs w:val="24"/>
      <w:vertAlign w:val="subscript"/>
    </w:rPr>
  </w:style>
  <w:style w:type="character" w:customStyle="1" w:styleId="61">
    <w:name w:val="正文文本 2 字符"/>
    <w:link w:val="19"/>
    <w:qFormat/>
    <w:uiPriority w:val="0"/>
    <w:rPr>
      <w:kern w:val="2"/>
      <w:sz w:val="21"/>
      <w:szCs w:val="24"/>
    </w:rPr>
  </w:style>
  <w:style w:type="table" w:customStyle="1" w:styleId="62">
    <w:name w:val="网格型1"/>
    <w:basedOn w:val="23"/>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环评正文2"/>
    <w:basedOn w:val="1"/>
    <w:qFormat/>
    <w:uiPriority w:val="0"/>
    <w:pPr>
      <w:spacing w:line="360" w:lineRule="auto"/>
      <w:ind w:firstLine="1680" w:firstLineChars="200"/>
    </w:pPr>
    <w:rPr>
      <w:sz w:val="24"/>
    </w:rPr>
  </w:style>
  <w:style w:type="character" w:customStyle="1" w:styleId="64">
    <w:name w:val="纯文本 字符1"/>
    <w:link w:val="11"/>
    <w:qFormat/>
    <w:locked/>
    <w:uiPriority w:val="0"/>
    <w:rPr>
      <w:rFonts w:ascii="宋体" w:hAnsi="Courier New" w:cs="Courier New"/>
      <w:szCs w:val="21"/>
    </w:rPr>
  </w:style>
  <w:style w:type="character" w:customStyle="1" w:styleId="65">
    <w:name w:val="纯文本 字符"/>
    <w:qFormat/>
    <w:uiPriority w:val="0"/>
    <w:rPr>
      <w:rFonts w:ascii="宋体" w:hAnsi="Courier New" w:cs="Courier New"/>
      <w:kern w:val="2"/>
      <w:sz w:val="21"/>
      <w:szCs w:val="21"/>
    </w:rPr>
  </w:style>
  <w:style w:type="character" w:customStyle="1" w:styleId="66">
    <w:name w:val="正文首行缩进 2 字符"/>
    <w:link w:val="22"/>
    <w:qFormat/>
    <w:uiPriority w:val="99"/>
    <w:rPr>
      <w:rFonts w:ascii="等线" w:hAnsi="等线" w:eastAsia="等线"/>
      <w:kern w:val="2"/>
      <w:sz w:val="21"/>
      <w:szCs w:val="22"/>
    </w:rPr>
  </w:style>
  <w:style w:type="paragraph" w:customStyle="1" w:styleId="67">
    <w:name w:val="正文_18"/>
    <w:qFormat/>
    <w:uiPriority w:val="0"/>
    <w:pPr>
      <w:widowControl w:val="0"/>
      <w:jc w:val="both"/>
    </w:pPr>
    <w:rPr>
      <w:rFonts w:ascii="Calibri" w:hAnsi="Calibri" w:eastAsia="宋体" w:cs="Times New Roman"/>
      <w:kern w:val="2"/>
      <w:sz w:val="21"/>
      <w:lang w:val="en-US" w:eastAsia="zh-CN" w:bidi="ar-SA"/>
    </w:rPr>
  </w:style>
  <w:style w:type="paragraph" w:customStyle="1" w:styleId="68">
    <w:name w:val="环保表内字（五号）"/>
    <w:basedOn w:val="1"/>
    <w:qFormat/>
    <w:uiPriority w:val="0"/>
    <w:pPr>
      <w:snapToGrid w:val="0"/>
      <w:spacing w:line="0" w:lineRule="atLeast"/>
      <w:jc w:val="center"/>
    </w:pPr>
    <w:rPr>
      <w:szCs w:val="21"/>
    </w:rPr>
  </w:style>
  <w:style w:type="paragraph" w:customStyle="1" w:styleId="69">
    <w:name w:val="样式 样式 标题 3 + Times New Roman + 段前: 0.5 行 段后: 0.5 行"/>
    <w:basedOn w:val="1"/>
    <w:qFormat/>
    <w:uiPriority w:val="0"/>
    <w:pPr>
      <w:keepNext/>
      <w:keepLines/>
      <w:spacing w:line="360" w:lineRule="auto"/>
      <w:outlineLvl w:val="2"/>
    </w:pPr>
    <w:rPr>
      <w:rFonts w:cs="宋体"/>
      <w:b/>
      <w:bCs/>
      <w:sz w:val="24"/>
      <w:szCs w:val="20"/>
    </w:rPr>
  </w:style>
  <w:style w:type="character" w:customStyle="1" w:styleId="70">
    <w:name w:val="表格内容 Char"/>
    <w:link w:val="71"/>
    <w:qFormat/>
    <w:uiPriority w:val="0"/>
    <w:rPr>
      <w:kern w:val="2"/>
      <w:sz w:val="21"/>
      <w:szCs w:val="21"/>
    </w:rPr>
  </w:style>
  <w:style w:type="paragraph" w:customStyle="1" w:styleId="71">
    <w:name w:val="表格内容"/>
    <w:basedOn w:val="8"/>
    <w:link w:val="70"/>
    <w:qFormat/>
    <w:uiPriority w:val="0"/>
    <w:pPr>
      <w:widowControl w:val="0"/>
      <w:tabs>
        <w:tab w:val="left" w:pos="1257"/>
      </w:tabs>
      <w:snapToGrid/>
      <w:spacing w:before="0" w:after="0" w:line="276" w:lineRule="auto"/>
      <w:ind w:right="0"/>
      <w:jc w:val="center"/>
    </w:pPr>
    <w:rPr>
      <w:kern w:val="2"/>
      <w:sz w:val="21"/>
      <w:szCs w:val="21"/>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1"/>
    <w:basedOn w:val="1"/>
    <w:next w:val="11"/>
    <w:qFormat/>
    <w:uiPriority w:val="0"/>
    <w:rPr>
      <w:rFonts w:ascii="宋体" w:hAnsi="Courier New"/>
      <w:szCs w:val="20"/>
    </w:rPr>
  </w:style>
  <w:style w:type="paragraph" w:customStyle="1" w:styleId="74">
    <w:name w:val="列出段落1"/>
    <w:basedOn w:val="1"/>
    <w:qFormat/>
    <w:uiPriority w:val="0"/>
    <w:pPr>
      <w:ind w:firstLine="420" w:firstLineChars="200"/>
    </w:pPr>
    <w:rPr>
      <w:rFonts w:ascii="Calibri" w:hAnsi="Calibri"/>
      <w:szCs w:val="21"/>
    </w:rPr>
  </w:style>
  <w:style w:type="character" w:customStyle="1" w:styleId="75">
    <w:name w:val="font51"/>
    <w:qFormat/>
    <w:uiPriority w:val="0"/>
    <w:rPr>
      <w:rFonts w:hint="eastAsia" w:ascii="宋体" w:hAnsi="宋体" w:eastAsia="宋体" w:cs="宋体"/>
      <w:color w:val="000000"/>
      <w:sz w:val="21"/>
      <w:szCs w:val="21"/>
      <w:u w:val="none"/>
    </w:rPr>
  </w:style>
  <w:style w:type="character" w:customStyle="1" w:styleId="76">
    <w:name w:val="font31"/>
    <w:qFormat/>
    <w:uiPriority w:val="0"/>
    <w:rPr>
      <w:rFonts w:hint="eastAsia" w:ascii="宋体" w:hAnsi="宋体" w:eastAsia="宋体" w:cs="宋体"/>
      <w:color w:val="000000"/>
      <w:sz w:val="28"/>
      <w:szCs w:val="28"/>
      <w:u w:val="none"/>
    </w:rPr>
  </w:style>
  <w:style w:type="character" w:customStyle="1" w:styleId="77">
    <w:name w:val="font41"/>
    <w:qFormat/>
    <w:uiPriority w:val="0"/>
    <w:rPr>
      <w:rFonts w:hint="eastAsia" w:ascii="宋体" w:hAnsi="宋体" w:eastAsia="宋体" w:cs="宋体"/>
      <w:color w:val="000000"/>
      <w:sz w:val="28"/>
      <w:szCs w:val="28"/>
      <w:u w:val="none"/>
    </w:rPr>
  </w:style>
  <w:style w:type="character" w:customStyle="1" w:styleId="78">
    <w:name w:val="tpc_content1"/>
    <w:basedOn w:val="25"/>
    <w:qFormat/>
    <w:uiPriority w:val="0"/>
    <w:rPr>
      <w:sz w:val="20"/>
      <w:szCs w:val="20"/>
    </w:rPr>
  </w:style>
  <w:style w:type="paragraph" w:customStyle="1" w:styleId="79">
    <w:name w:val="报告表正文样式1"/>
    <w:basedOn w:val="1"/>
    <w:qFormat/>
    <w:uiPriority w:val="0"/>
    <w:pPr>
      <w:ind w:firstLine="480" w:firstLineChars="200"/>
    </w:pPr>
    <w:rPr>
      <w:rFonts w:ascii="宋体" w:hAnsi="宋体" w:cs="宋体"/>
    </w:rPr>
  </w:style>
  <w:style w:type="paragraph" w:customStyle="1" w:styleId="80">
    <w:name w:val="正文(首行缩进)"/>
    <w:basedOn w:val="1"/>
    <w:qFormat/>
    <w:uiPriority w:val="0"/>
    <w:pPr>
      <w:spacing w:line="300" w:lineRule="auto"/>
      <w:ind w:firstLine="480" w:firstLineChars="200"/>
    </w:pPr>
    <w:rPr>
      <w:sz w:val="24"/>
      <w:szCs w:val="24"/>
    </w:rPr>
  </w:style>
  <w:style w:type="paragraph" w:customStyle="1" w:styleId="81">
    <w:name w:val="样式1"/>
    <w:basedOn w:val="5"/>
    <w:qFormat/>
    <w:uiPriority w:val="0"/>
    <w:pPr>
      <w:tabs>
        <w:tab w:val="right" w:leader="dot" w:pos="8607"/>
        <w:tab w:val="right" w:leader="dot" w:pos="8891"/>
      </w:tabs>
      <w:spacing w:line="360" w:lineRule="auto"/>
      <w:ind w:firstLine="482" w:firstLineChars="200"/>
      <w:jc w:val="left"/>
    </w:pPr>
    <w:rPr>
      <w:rFonts w:ascii="Times New Roman" w:hAnsi="Times New Roman"/>
      <w:kern w:val="0"/>
      <w:sz w:val="24"/>
      <w:szCs w:val="28"/>
    </w:rPr>
  </w:style>
  <w:style w:type="paragraph" w:customStyle="1" w:styleId="82">
    <w:name w:val="BodyText"/>
    <w:basedOn w:val="1"/>
    <w:qFormat/>
    <w:uiPriority w:val="0"/>
    <w:pPr>
      <w:spacing w:line="360" w:lineRule="auto"/>
      <w:ind w:firstLine="200" w:firstLineChars="200"/>
      <w:jc w:val="both"/>
      <w:textAlignment w:val="baseline"/>
    </w:pPr>
    <w:rPr>
      <w:rFonts w:eastAsia="宋体"/>
      <w:kern w:val="2"/>
      <w:sz w:val="21"/>
      <w:szCs w:val="20"/>
      <w:lang w:val="en-US" w:eastAsia="zh-CN" w:bidi="ar-SA"/>
    </w:rPr>
  </w:style>
  <w:style w:type="paragraph" w:customStyle="1" w:styleId="83">
    <w:name w:val="表格居中"/>
    <w:next w:val="1"/>
    <w:qFormat/>
    <w:uiPriority w:val="0"/>
    <w:pPr>
      <w:jc w:val="center"/>
    </w:pPr>
    <w:rPr>
      <w:rFonts w:ascii="Arial" w:hAnsi="Arial" w:eastAsia="宋体" w:cs="Times New Roman"/>
      <w:kern w:val="2"/>
      <w:sz w:val="21"/>
      <w:lang w:val="en-US" w:eastAsia="zh-CN" w:bidi="ar-SA"/>
    </w:rPr>
  </w:style>
  <w:style w:type="paragraph" w:customStyle="1" w:styleId="84">
    <w:name w:val="Re-表中文字"/>
    <w:basedOn w:val="1"/>
    <w:qFormat/>
    <w:uiPriority w:val="5"/>
    <w:pPr>
      <w:jc w:val="center"/>
    </w:pPr>
    <w:rPr>
      <w:rFonts w:ascii="Times New Roman" w:hAnsi="Times New Roman" w:eastAsia="宋体" w:cs="Times New Roman"/>
      <w:kern w:val="0"/>
      <w:lang w:eastAsia="en-US"/>
    </w:rPr>
  </w:style>
  <w:style w:type="paragraph" w:customStyle="1" w:styleId="85">
    <w:name w:val="正文_20"/>
    <w:qFormat/>
    <w:uiPriority w:val="0"/>
    <w:pPr>
      <w:widowControl w:val="0"/>
      <w:jc w:val="both"/>
    </w:pPr>
    <w:rPr>
      <w:rFonts w:ascii="Calibri" w:hAnsi="Calibri" w:eastAsia="宋体" w:cs="Times New Roman"/>
      <w:kern w:val="2"/>
      <w:sz w:val="21"/>
      <w:lang w:val="en-US" w:eastAsia="zh-CN" w:bidi="ar-SA"/>
    </w:rPr>
  </w:style>
  <w:style w:type="paragraph" w:customStyle="1" w:styleId="86">
    <w:name w:val="报告表正文"/>
    <w:basedOn w:val="5"/>
    <w:qFormat/>
    <w:uiPriority w:val="0"/>
    <w:pPr>
      <w:widowControl/>
      <w:ind w:firstLine="0" w:firstLineChars="0"/>
      <w:jc w:val="left"/>
    </w:pPr>
    <w:rPr>
      <w:rFonts w:ascii="宋体" w:hAnsi="Arial"/>
      <w:sz w:val="24"/>
    </w:rPr>
  </w:style>
  <w:style w:type="paragraph" w:customStyle="1" w:styleId="87">
    <w:name w:val="表格文字"/>
    <w:basedOn w:val="88"/>
    <w:next w:val="1"/>
    <w:qFormat/>
    <w:uiPriority w:val="0"/>
    <w:pPr>
      <w:tabs>
        <w:tab w:val="left" w:pos="42"/>
        <w:tab w:val="left" w:pos="3720"/>
        <w:tab w:val="left" w:pos="4584"/>
      </w:tabs>
      <w:autoSpaceDE w:val="0"/>
      <w:autoSpaceDN w:val="0"/>
      <w:adjustRightInd w:val="0"/>
      <w:spacing w:line="240" w:lineRule="auto"/>
      <w:ind w:firstLine="0" w:firstLineChars="0"/>
      <w:jc w:val="center"/>
    </w:pPr>
    <w:rPr>
      <w:sz w:val="21"/>
    </w:rPr>
  </w:style>
  <w:style w:type="paragraph" w:customStyle="1" w:styleId="88">
    <w:name w:val="博士论文正文"/>
    <w:basedOn w:val="1"/>
    <w:qFormat/>
    <w:uiPriority w:val="0"/>
    <w:pPr>
      <w:snapToGrid w:val="0"/>
      <w:spacing w:beforeLines="20" w:afterLines="20" w:line="360" w:lineRule="auto"/>
      <w:ind w:firstLine="200" w:firstLineChars="200"/>
      <w:contextualSpacing/>
    </w:pPr>
    <w:rPr>
      <w:kern w:val="0"/>
      <w:sz w:val="24"/>
    </w:rPr>
  </w:style>
  <w:style w:type="paragraph" w:customStyle="1" w:styleId="89">
    <w:name w:val="03表格正文"/>
    <w:basedOn w:val="1"/>
    <w:qFormat/>
    <w:uiPriority w:val="0"/>
    <w:pPr>
      <w:widowControl w:val="0"/>
      <w:adjustRightInd w:val="0"/>
      <w:snapToGrid w:val="0"/>
      <w:jc w:val="center"/>
    </w:pPr>
    <w:rPr>
      <w:rFonts w:ascii="Calibri" w:hAnsi="Calibri" w:cs="Times New Roman"/>
      <w:b/>
      <w:color w:val="3333FF"/>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92EE1E-3941-4DB4-90FE-68D46DE88DB3}">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39</Pages>
  <Words>21215</Words>
  <Characters>23536</Characters>
  <Lines>154</Lines>
  <Paragraphs>43</Paragraphs>
  <TotalTime>8</TotalTime>
  <ScaleCrop>false</ScaleCrop>
  <LinksUpToDate>false</LinksUpToDate>
  <CharactersWithSpaces>23792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2021-06-23T01:29:00Z</dcterms:created>
  <dc:creator>lhj</dc:creator>
  <cp:lastModifiedBy>千叶长生</cp:lastModifiedBy>
  <cp:lastPrinted>2023-04-07T02:04:00Z</cp:lastPrinted>
  <dcterms:modified xsi:type="dcterms:W3CDTF">2023-08-08T05:53:55Z</dcterms:modified>
  <dc:title>附件2</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CD7CA96A3F164CE5A615F9EBD3FD7390</vt:lpwstr>
  </property>
</Properties>
</file>