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28CDB">
      <w:pPr>
        <w:adjustRightInd w:val="0"/>
        <w:snapToGrid w:val="0"/>
        <w:spacing w:line="288" w:lineRule="auto"/>
        <w:jc w:val="right"/>
        <w:outlineLvl w:val="0"/>
        <w:rPr>
          <w:rFonts w:hint="eastAsia" w:ascii="华文仿宋" w:hAnsi="华文仿宋" w:eastAsia="华文仿宋" w:cs="华文仿宋"/>
          <w:b/>
          <w:bCs/>
          <w:color w:val="auto"/>
          <w:kern w:val="21"/>
          <w:sz w:val="44"/>
          <w:szCs w:val="44"/>
          <w:highlight w:val="none"/>
        </w:rPr>
      </w:pPr>
    </w:p>
    <w:p w14:paraId="18929018">
      <w:pPr>
        <w:rPr>
          <w:rFonts w:hint="eastAsia" w:ascii="仿宋_GB2312" w:hAnsi="仿宋_GB2312" w:eastAsia="仿宋_GB2312" w:cs="仿宋_GB2312"/>
          <w:color w:val="auto"/>
          <w:sz w:val="36"/>
          <w:szCs w:val="36"/>
          <w:highlight w:val="none"/>
          <w:u w:val="single"/>
        </w:rPr>
      </w:pPr>
    </w:p>
    <w:p w14:paraId="49AE96CD">
      <w:pPr>
        <w:rPr>
          <w:rFonts w:hint="eastAsia" w:ascii="仿宋_GB2312" w:hAnsi="仿宋_GB2312" w:eastAsia="仿宋_GB2312" w:cs="仿宋_GB2312"/>
          <w:color w:val="auto"/>
          <w:sz w:val="36"/>
          <w:szCs w:val="36"/>
          <w:highlight w:val="none"/>
          <w:u w:val="single"/>
        </w:rPr>
      </w:pPr>
    </w:p>
    <w:p w14:paraId="49DC0526">
      <w:pPr>
        <w:rPr>
          <w:rFonts w:hint="eastAsia" w:ascii="仿宋_GB2312" w:hAnsi="仿宋_GB2312" w:eastAsia="仿宋_GB2312" w:cs="仿宋_GB2312"/>
          <w:color w:val="auto"/>
          <w:sz w:val="36"/>
          <w:szCs w:val="36"/>
          <w:highlight w:val="none"/>
          <w:u w:val="single"/>
        </w:rPr>
      </w:pPr>
    </w:p>
    <w:p w14:paraId="18BE5202">
      <w:pPr>
        <w:adjustRightInd w:val="0"/>
        <w:snapToGrid w:val="0"/>
        <w:jc w:val="center"/>
        <w:outlineLvl w:val="0"/>
        <w:rPr>
          <w:rFonts w:ascii="方正小标宋_GBK" w:eastAsia="方正小标宋_GBK"/>
          <w:bCs/>
          <w:color w:val="auto"/>
          <w:kern w:val="21"/>
          <w:sz w:val="72"/>
          <w:szCs w:val="72"/>
          <w:highlight w:val="none"/>
        </w:rPr>
      </w:pPr>
      <w:r>
        <w:rPr>
          <w:rFonts w:hint="eastAsia" w:ascii="方正小标宋_GBK" w:eastAsia="方正小标宋_GBK"/>
          <w:bCs/>
          <w:color w:val="auto"/>
          <w:kern w:val="21"/>
          <w:sz w:val="72"/>
          <w:szCs w:val="72"/>
          <w:highlight w:val="none"/>
        </w:rPr>
        <w:t>建设项目环境影响报告表</w:t>
      </w:r>
    </w:p>
    <w:p w14:paraId="585CC9FA">
      <w:pPr>
        <w:adjustRightInd w:val="0"/>
        <w:snapToGrid w:val="0"/>
        <w:spacing w:before="192" w:beforeLines="80"/>
        <w:jc w:val="center"/>
        <w:rPr>
          <w:rFonts w:ascii="楷体_GB2312" w:eastAsia="楷体_GB2312"/>
          <w:bCs/>
          <w:color w:val="auto"/>
          <w:kern w:val="21"/>
          <w:sz w:val="48"/>
          <w:szCs w:val="48"/>
          <w:highlight w:val="none"/>
          <w:u w:val="single"/>
        </w:rPr>
      </w:pPr>
      <w:r>
        <w:rPr>
          <w:rFonts w:hint="eastAsia" w:ascii="楷体_GB2312" w:eastAsia="楷体_GB2312"/>
          <w:bCs/>
          <w:color w:val="auto"/>
          <w:kern w:val="21"/>
          <w:sz w:val="48"/>
          <w:szCs w:val="48"/>
          <w:highlight w:val="none"/>
        </w:rPr>
        <w:t>（污染影响类）</w:t>
      </w:r>
    </w:p>
    <w:p w14:paraId="7ABD5EF2">
      <w:pPr>
        <w:ind w:firstLine="1040"/>
        <w:rPr>
          <w:rFonts w:eastAsia="仿宋"/>
          <w:color w:val="auto"/>
          <w:kern w:val="21"/>
          <w:sz w:val="44"/>
          <w:szCs w:val="44"/>
          <w:highlight w:val="none"/>
          <w:u w:val="single"/>
        </w:rPr>
      </w:pPr>
    </w:p>
    <w:p w14:paraId="4DF07608">
      <w:pPr>
        <w:pStyle w:val="23"/>
        <w:ind w:left="420"/>
        <w:rPr>
          <w:color w:val="auto"/>
          <w:highlight w:val="none"/>
          <w:u w:val="single"/>
        </w:rPr>
      </w:pPr>
    </w:p>
    <w:p w14:paraId="1CECDE29">
      <w:pPr>
        <w:ind w:firstLine="1040"/>
        <w:rPr>
          <w:rFonts w:eastAsia="仿宋"/>
          <w:color w:val="auto"/>
          <w:kern w:val="21"/>
          <w:sz w:val="44"/>
          <w:szCs w:val="44"/>
          <w:highlight w:val="none"/>
          <w:u w:val="single"/>
        </w:rPr>
      </w:pPr>
    </w:p>
    <w:p w14:paraId="461388C9">
      <w:pPr>
        <w:ind w:firstLine="1040"/>
        <w:rPr>
          <w:rFonts w:eastAsia="仿宋"/>
          <w:color w:val="auto"/>
          <w:kern w:val="21"/>
          <w:sz w:val="44"/>
          <w:szCs w:val="44"/>
          <w:highlight w:val="none"/>
        </w:rPr>
      </w:pPr>
    </w:p>
    <w:p w14:paraId="76736234">
      <w:pPr>
        <w:adjustRightInd w:val="0"/>
        <w:snapToGrid w:val="0"/>
        <w:spacing w:line="288" w:lineRule="auto"/>
        <w:ind w:left="2518" w:leftChars="342" w:hanging="1800" w:hangingChars="500"/>
        <w:rPr>
          <w:rFonts w:ascii="仿宋_GB2312" w:eastAsia="仿宋_GB2312"/>
          <w:color w:val="auto"/>
          <w:kern w:val="21"/>
          <w:sz w:val="36"/>
          <w:szCs w:val="36"/>
          <w:highlight w:val="none"/>
          <w:u w:val="single"/>
        </w:rPr>
      </w:pPr>
      <w:r>
        <w:rPr>
          <w:rFonts w:hint="eastAsia" w:ascii="仿宋_GB2312" w:eastAsia="仿宋_GB2312"/>
          <w:color w:val="auto"/>
          <w:sz w:val="36"/>
          <w:szCs w:val="36"/>
          <w:highlight w:val="none"/>
        </w:rPr>
        <w:t>项目名称：</w:t>
      </w:r>
      <w:r>
        <w:rPr>
          <w:rFonts w:hint="eastAsia" w:ascii="仿宋_GB2312" w:eastAsia="仿宋_GB2312"/>
          <w:color w:val="auto"/>
          <w:sz w:val="36"/>
          <w:szCs w:val="36"/>
          <w:highlight w:val="none"/>
          <w:u w:val="single"/>
        </w:rPr>
        <w:t xml:space="preserve">长春新区民康康复医院建设项目       </w:t>
      </w:r>
    </w:p>
    <w:p w14:paraId="438B6744">
      <w:pPr>
        <w:adjustRightInd w:val="0"/>
        <w:snapToGrid w:val="0"/>
        <w:spacing w:line="360" w:lineRule="auto"/>
        <w:ind w:left="3958" w:leftChars="342" w:hanging="3240" w:hangingChars="900"/>
        <w:rPr>
          <w:rFonts w:ascii="仿宋_GB2312" w:eastAsia="仿宋_GB2312"/>
          <w:color w:val="auto"/>
          <w:kern w:val="21"/>
          <w:sz w:val="36"/>
          <w:szCs w:val="36"/>
          <w:highlight w:val="none"/>
          <w:u w:val="single"/>
        </w:rPr>
      </w:pPr>
      <w:r>
        <w:rPr>
          <w:rFonts w:hint="eastAsia" w:ascii="仿宋_GB2312" w:eastAsia="仿宋_GB2312"/>
          <w:color w:val="auto"/>
          <w:kern w:val="21"/>
          <w:sz w:val="36"/>
          <w:szCs w:val="36"/>
          <w:highlight w:val="none"/>
        </w:rPr>
        <w:t>建设单位（盖章）：</w:t>
      </w:r>
      <w:r>
        <w:rPr>
          <w:rFonts w:hint="eastAsia" w:ascii="仿宋_GB2312" w:eastAsia="仿宋_GB2312"/>
          <w:color w:val="auto"/>
          <w:kern w:val="21"/>
          <w:sz w:val="36"/>
          <w:szCs w:val="36"/>
          <w:highlight w:val="none"/>
          <w:u w:val="single"/>
        </w:rPr>
        <w:t>长春民康康复医院有限公司</w:t>
      </w:r>
      <w:r>
        <w:rPr>
          <w:rFonts w:hint="eastAsia" w:ascii="仿宋_GB2312" w:eastAsia="仿宋_GB2312"/>
          <w:color w:val="auto"/>
          <w:sz w:val="36"/>
          <w:szCs w:val="36"/>
          <w:highlight w:val="none"/>
          <w:u w:val="single"/>
        </w:rPr>
        <w:t xml:space="preserve">   </w:t>
      </w:r>
    </w:p>
    <w:p w14:paraId="560577A4">
      <w:pPr>
        <w:adjustRightInd w:val="0"/>
        <w:snapToGrid w:val="0"/>
        <w:spacing w:line="360" w:lineRule="auto"/>
        <w:ind w:firstLine="720" w:firstLineChars="200"/>
        <w:jc w:val="left"/>
        <w:rPr>
          <w:rFonts w:ascii="仿宋_GB2312" w:eastAsia="仿宋_GB2312"/>
          <w:color w:val="auto"/>
          <w:kern w:val="21"/>
          <w:sz w:val="36"/>
          <w:szCs w:val="36"/>
          <w:highlight w:val="none"/>
          <w:u w:val="single"/>
        </w:rPr>
      </w:pPr>
      <w:r>
        <w:rPr>
          <w:rFonts w:hint="eastAsia" w:ascii="仿宋_GB2312" w:eastAsia="仿宋_GB2312"/>
          <w:color w:val="auto"/>
          <w:kern w:val="21"/>
          <w:sz w:val="36"/>
          <w:szCs w:val="36"/>
          <w:highlight w:val="none"/>
        </w:rPr>
        <w:t>编制日期：</w:t>
      </w:r>
      <w:r>
        <w:rPr>
          <w:rFonts w:hint="eastAsia" w:ascii="仿宋_GB2312" w:eastAsia="仿宋_GB2312"/>
          <w:color w:val="auto"/>
          <w:kern w:val="21"/>
          <w:sz w:val="36"/>
          <w:szCs w:val="36"/>
          <w:highlight w:val="none"/>
          <w:u w:val="single"/>
        </w:rPr>
        <w:t xml:space="preserve">           2024年11月             </w:t>
      </w:r>
      <w:bookmarkStart w:id="0" w:name="_Hlk57884087"/>
    </w:p>
    <w:p w14:paraId="2ACBA38C">
      <w:pPr>
        <w:pStyle w:val="36"/>
        <w:rPr>
          <w:rFonts w:hint="default"/>
          <w:color w:val="auto"/>
          <w:highlight w:val="none"/>
        </w:rPr>
      </w:pPr>
    </w:p>
    <w:p w14:paraId="614E0AF3">
      <w:pPr>
        <w:pStyle w:val="36"/>
        <w:rPr>
          <w:rFonts w:hint="default"/>
          <w:color w:val="auto"/>
          <w:highlight w:val="none"/>
        </w:rPr>
      </w:pPr>
    </w:p>
    <w:p w14:paraId="0A06E4FF">
      <w:pPr>
        <w:pStyle w:val="36"/>
        <w:rPr>
          <w:rFonts w:hint="default"/>
          <w:color w:val="auto"/>
          <w:highlight w:val="none"/>
        </w:rPr>
      </w:pPr>
    </w:p>
    <w:p w14:paraId="458BC083">
      <w:pPr>
        <w:pStyle w:val="36"/>
        <w:rPr>
          <w:rFonts w:hint="default"/>
          <w:color w:val="auto"/>
          <w:highlight w:val="none"/>
        </w:rPr>
      </w:pPr>
    </w:p>
    <w:p w14:paraId="1D652C12">
      <w:pPr>
        <w:rPr>
          <w:color w:val="auto"/>
          <w:highlight w:val="none"/>
        </w:rPr>
      </w:pPr>
    </w:p>
    <w:p w14:paraId="4D587725">
      <w:pPr>
        <w:rPr>
          <w:color w:val="auto"/>
          <w:highlight w:val="none"/>
        </w:rPr>
      </w:pPr>
    </w:p>
    <w:p w14:paraId="55DFA0A7">
      <w:pPr>
        <w:rPr>
          <w:color w:val="auto"/>
          <w:highlight w:val="none"/>
        </w:rPr>
      </w:pPr>
    </w:p>
    <w:p w14:paraId="7F231B2E">
      <w:pPr>
        <w:rPr>
          <w:color w:val="auto"/>
          <w:highlight w:val="none"/>
        </w:rPr>
      </w:pPr>
    </w:p>
    <w:p w14:paraId="00D69EDD">
      <w:pPr>
        <w:pStyle w:val="36"/>
        <w:rPr>
          <w:rFonts w:hint="default"/>
          <w:color w:val="auto"/>
          <w:highlight w:val="none"/>
        </w:rPr>
      </w:pPr>
    </w:p>
    <w:p w14:paraId="44992E2C">
      <w:pPr>
        <w:rPr>
          <w:color w:val="auto"/>
          <w:highlight w:val="none"/>
        </w:rPr>
      </w:pPr>
    </w:p>
    <w:p w14:paraId="438D1611">
      <w:pPr>
        <w:rPr>
          <w:color w:val="auto"/>
          <w:highlight w:val="none"/>
        </w:rPr>
      </w:pPr>
    </w:p>
    <w:p w14:paraId="16946571">
      <w:pPr>
        <w:pStyle w:val="36"/>
        <w:rPr>
          <w:rFonts w:hint="default"/>
          <w:color w:val="auto"/>
          <w:highlight w:val="none"/>
        </w:rPr>
      </w:pPr>
    </w:p>
    <w:p w14:paraId="56045CAB">
      <w:pPr>
        <w:pStyle w:val="36"/>
        <w:rPr>
          <w:rFonts w:hint="default"/>
          <w:color w:val="auto"/>
          <w:highlight w:val="none"/>
        </w:rPr>
      </w:pPr>
    </w:p>
    <w:p w14:paraId="0063E3F1">
      <w:pPr>
        <w:adjustRightInd w:val="0"/>
        <w:snapToGrid w:val="0"/>
        <w:spacing w:line="288" w:lineRule="auto"/>
        <w:rPr>
          <w:rFonts w:ascii="仿宋_GB2312" w:eastAsia="仿宋_GB2312"/>
          <w:color w:val="auto"/>
          <w:kern w:val="21"/>
          <w:sz w:val="36"/>
          <w:szCs w:val="36"/>
          <w:highlight w:val="none"/>
          <w:u w:val="single"/>
        </w:rPr>
      </w:pPr>
    </w:p>
    <w:bookmarkEnd w:id="0"/>
    <w:p w14:paraId="132C4389">
      <w:pPr>
        <w:adjustRightInd w:val="0"/>
        <w:snapToGrid w:val="0"/>
        <w:spacing w:line="288" w:lineRule="auto"/>
        <w:jc w:val="center"/>
        <w:rPr>
          <w:rFonts w:ascii="楷体_GB2312" w:eastAsia="楷体_GB2312"/>
          <w:color w:val="auto"/>
          <w:sz w:val="36"/>
          <w:szCs w:val="36"/>
          <w:highlight w:val="none"/>
          <w:u w:val="single"/>
        </w:rPr>
      </w:pPr>
      <w:r>
        <w:rPr>
          <w:rFonts w:hint="eastAsia" w:ascii="楷体_GB2312" w:eastAsia="楷体_GB2312"/>
          <w:color w:val="auto"/>
          <w:kern w:val="21"/>
          <w:sz w:val="36"/>
          <w:szCs w:val="36"/>
          <w:highlight w:val="none"/>
        </w:rPr>
        <w:t>中华人民共和国生态环境部制</w:t>
      </w:r>
    </w:p>
    <w:p w14:paraId="6133C37D">
      <w:pPr>
        <w:pStyle w:val="36"/>
        <w:rPr>
          <w:rFonts w:hint="default"/>
          <w:color w:val="auto"/>
          <w:highlight w:val="none"/>
        </w:rPr>
        <w:sectPr>
          <w:footerReference r:id="rId3" w:type="default"/>
          <w:pgSz w:w="11906" w:h="16838"/>
          <w:pgMar w:top="1701" w:right="1531" w:bottom="1701" w:left="1531" w:header="851" w:footer="1077" w:gutter="0"/>
          <w:pgNumType w:start="3"/>
          <w:cols w:space="720" w:num="1"/>
          <w:docGrid w:linePitch="312" w:charSpace="0"/>
        </w:sectPr>
      </w:pPr>
    </w:p>
    <w:p w14:paraId="1C7E824D">
      <w:pPr>
        <w:jc w:val="center"/>
        <w:rPr>
          <w:color w:val="auto"/>
          <w:sz w:val="32"/>
          <w:szCs w:val="32"/>
          <w:highlight w:val="none"/>
        </w:rPr>
      </w:pPr>
      <w:r>
        <w:rPr>
          <w:rFonts w:hint="eastAsia"/>
          <w:color w:val="auto"/>
          <w:sz w:val="32"/>
          <w:szCs w:val="32"/>
          <w:highlight w:val="none"/>
        </w:rPr>
        <w:t>修改清单</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85"/>
        <w:gridCol w:w="6417"/>
        <w:gridCol w:w="1858"/>
      </w:tblGrid>
      <w:tr w14:paraId="043E1C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33" w:type="pct"/>
            <w:tcBorders>
              <w:tl2br w:val="nil"/>
              <w:tr2bl w:val="nil"/>
            </w:tcBorders>
            <w:vAlign w:val="center"/>
          </w:tcPr>
          <w:p w14:paraId="3C597ECB">
            <w:pPr>
              <w:pStyle w:val="24"/>
              <w:jc w:val="center"/>
              <w:outlineLvl w:val="0"/>
              <w:rPr>
                <w:rFonts w:hint="default" w:ascii="Times New Roman" w:hAnsi="Times New Roman" w:cs="Times New Roman"/>
                <w:snapToGrid w:val="0"/>
                <w:color w:val="auto"/>
                <w:szCs w:val="24"/>
                <w:highlight w:val="none"/>
              </w:rPr>
            </w:pPr>
            <w:r>
              <w:rPr>
                <w:rFonts w:hint="default" w:ascii="Times New Roman" w:hAnsi="Times New Roman" w:cs="Times New Roman"/>
                <w:snapToGrid w:val="0"/>
                <w:color w:val="auto"/>
                <w:szCs w:val="24"/>
                <w:highlight w:val="none"/>
              </w:rPr>
              <w:t>序号</w:t>
            </w:r>
          </w:p>
        </w:tc>
        <w:tc>
          <w:tcPr>
            <w:tcW w:w="3540" w:type="pct"/>
            <w:tcBorders>
              <w:tl2br w:val="nil"/>
              <w:tr2bl w:val="nil"/>
            </w:tcBorders>
            <w:vAlign w:val="center"/>
          </w:tcPr>
          <w:p w14:paraId="5061FBC6">
            <w:pPr>
              <w:pStyle w:val="24"/>
              <w:jc w:val="center"/>
              <w:outlineLvl w:val="0"/>
              <w:rPr>
                <w:rFonts w:hint="default" w:ascii="Times New Roman" w:hAnsi="Times New Roman" w:cs="Times New Roman"/>
                <w:snapToGrid w:val="0"/>
                <w:color w:val="auto"/>
                <w:szCs w:val="24"/>
                <w:highlight w:val="none"/>
              </w:rPr>
            </w:pPr>
            <w:r>
              <w:rPr>
                <w:rFonts w:hint="default" w:ascii="Times New Roman" w:hAnsi="Times New Roman" w:cs="Times New Roman"/>
                <w:snapToGrid w:val="0"/>
                <w:color w:val="auto"/>
                <w:szCs w:val="24"/>
                <w:highlight w:val="none"/>
              </w:rPr>
              <w:t>修改内容</w:t>
            </w:r>
          </w:p>
        </w:tc>
        <w:tc>
          <w:tcPr>
            <w:tcW w:w="1025" w:type="pct"/>
            <w:tcBorders>
              <w:tl2br w:val="nil"/>
              <w:tr2bl w:val="nil"/>
            </w:tcBorders>
            <w:vAlign w:val="center"/>
          </w:tcPr>
          <w:p w14:paraId="5A04C673">
            <w:pPr>
              <w:pStyle w:val="24"/>
              <w:jc w:val="center"/>
              <w:outlineLvl w:val="0"/>
              <w:rPr>
                <w:rFonts w:hint="default" w:ascii="Times New Roman" w:hAnsi="Times New Roman" w:cs="Times New Roman"/>
                <w:snapToGrid w:val="0"/>
                <w:color w:val="auto"/>
                <w:szCs w:val="24"/>
                <w:highlight w:val="none"/>
              </w:rPr>
            </w:pPr>
            <w:r>
              <w:rPr>
                <w:rFonts w:hint="default" w:ascii="Times New Roman" w:hAnsi="Times New Roman" w:cs="Times New Roman"/>
                <w:snapToGrid w:val="0"/>
                <w:color w:val="auto"/>
                <w:szCs w:val="24"/>
                <w:highlight w:val="none"/>
              </w:rPr>
              <w:t>是否修改</w:t>
            </w:r>
          </w:p>
        </w:tc>
      </w:tr>
      <w:tr w14:paraId="49A3A9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33" w:type="pct"/>
            <w:tcBorders>
              <w:tl2br w:val="nil"/>
              <w:tr2bl w:val="nil"/>
            </w:tcBorders>
            <w:vAlign w:val="center"/>
          </w:tcPr>
          <w:p w14:paraId="5DE08ABF">
            <w:pPr>
              <w:pStyle w:val="24"/>
              <w:jc w:val="center"/>
              <w:outlineLvl w:val="0"/>
              <w:rPr>
                <w:rFonts w:hint="eastAsia"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val="en-US" w:eastAsia="zh-CN"/>
              </w:rPr>
              <w:t>1</w:t>
            </w:r>
          </w:p>
        </w:tc>
        <w:tc>
          <w:tcPr>
            <w:tcW w:w="3540" w:type="pct"/>
            <w:tcBorders>
              <w:tl2br w:val="nil"/>
              <w:tr2bl w:val="nil"/>
            </w:tcBorders>
            <w:vAlign w:val="center"/>
          </w:tcPr>
          <w:p w14:paraId="0A379B4E">
            <w:pPr>
              <w:pStyle w:val="24"/>
              <w:jc w:val="center"/>
              <w:outlineLvl w:val="0"/>
              <w:rPr>
                <w:rFonts w:hint="default" w:ascii="Times New Roman" w:hAnsi="Times New Roman" w:cs="Times New Roman"/>
                <w:snapToGrid w:val="0"/>
                <w:color w:val="auto"/>
                <w:szCs w:val="24"/>
                <w:highlight w:val="none"/>
              </w:rPr>
            </w:pPr>
            <w:r>
              <w:rPr>
                <w:rFonts w:hint="default" w:ascii="Times New Roman" w:hAnsi="Times New Roman" w:cs="Times New Roman"/>
                <w:snapToGrid w:val="0"/>
                <w:color w:val="auto"/>
                <w:szCs w:val="24"/>
                <w:highlight w:val="none"/>
              </w:rPr>
              <w:t>完善规划符合性分析内容，项目位于工业区，租用长春天宝英联汽车饰件有限公司，按规划“近期将维持现有的工业企业不变，中远期企业全部外迁，发展现代服务业”，报告应结合周围企事业单位分布，细化相容性分析。</w:t>
            </w:r>
          </w:p>
        </w:tc>
        <w:tc>
          <w:tcPr>
            <w:tcW w:w="1025" w:type="pct"/>
            <w:tcBorders>
              <w:tl2br w:val="nil"/>
              <w:tr2bl w:val="nil"/>
            </w:tcBorders>
            <w:vAlign w:val="center"/>
          </w:tcPr>
          <w:p w14:paraId="124DB19E">
            <w:pPr>
              <w:pStyle w:val="24"/>
              <w:spacing w:before="0" w:beforeAutospacing="0" w:after="0" w:afterAutospacing="0"/>
              <w:jc w:val="center"/>
              <w:outlineLvl w:val="0"/>
              <w:rPr>
                <w:rFonts w:hint="default" w:ascii="Times New Roman" w:hAnsi="Times New Roman" w:eastAsia="宋体" w:cs="Times New Roman"/>
                <w:snapToGrid w:val="0"/>
                <w:color w:val="auto"/>
                <w:szCs w:val="24"/>
                <w:highlight w:val="none"/>
                <w:lang w:val="en-US" w:eastAsia="zh-CN"/>
              </w:rPr>
            </w:pPr>
            <w:r>
              <w:rPr>
                <w:rFonts w:hint="default" w:ascii="Times New Roman" w:hAnsi="Times New Roman" w:cs="Times New Roman"/>
                <w:snapToGrid w:val="0"/>
                <w:color w:val="auto"/>
                <w:szCs w:val="24"/>
                <w:highlight w:val="none"/>
                <w:lang w:eastAsia="zh-CN"/>
              </w:rPr>
              <w:t>已细化</w:t>
            </w:r>
            <w:r>
              <w:rPr>
                <w:rFonts w:hint="eastAsia" w:ascii="Times New Roman" w:hAnsi="Times New Roman" w:cs="Times New Roman"/>
                <w:snapToGrid w:val="0"/>
                <w:color w:val="auto"/>
                <w:szCs w:val="24"/>
                <w:highlight w:val="none"/>
                <w:lang w:eastAsia="zh-CN"/>
              </w:rPr>
              <w:t>，</w:t>
            </w:r>
            <w:r>
              <w:rPr>
                <w:rFonts w:hint="default" w:ascii="Times New Roman" w:hAnsi="Times New Roman" w:cs="Times New Roman"/>
                <w:snapToGrid w:val="0"/>
                <w:color w:val="auto"/>
                <w:szCs w:val="24"/>
                <w:highlight w:val="none"/>
                <w:lang w:val="en-US" w:eastAsia="zh-CN"/>
              </w:rPr>
              <w:t>P11</w:t>
            </w:r>
          </w:p>
        </w:tc>
      </w:tr>
      <w:tr w14:paraId="319711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33" w:type="pct"/>
            <w:tcBorders>
              <w:tl2br w:val="nil"/>
              <w:tr2bl w:val="nil"/>
            </w:tcBorders>
            <w:vAlign w:val="center"/>
          </w:tcPr>
          <w:p w14:paraId="26A2E3F0">
            <w:pPr>
              <w:pStyle w:val="24"/>
              <w:jc w:val="center"/>
              <w:outlineLvl w:val="0"/>
              <w:rPr>
                <w:rFonts w:hint="eastAsia"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val="en-US" w:eastAsia="zh-CN"/>
              </w:rPr>
              <w:t>2</w:t>
            </w:r>
          </w:p>
        </w:tc>
        <w:tc>
          <w:tcPr>
            <w:tcW w:w="3540" w:type="pct"/>
            <w:tcBorders>
              <w:tl2br w:val="nil"/>
              <w:tr2bl w:val="nil"/>
            </w:tcBorders>
            <w:vAlign w:val="center"/>
          </w:tcPr>
          <w:p w14:paraId="520F366B">
            <w:pPr>
              <w:pStyle w:val="24"/>
              <w:jc w:val="center"/>
              <w:outlineLvl w:val="0"/>
              <w:rPr>
                <w:rFonts w:hint="default" w:ascii="Times New Roman" w:hAnsi="Times New Roman" w:eastAsia="宋体" w:cs="Times New Roman"/>
                <w:snapToGrid w:val="0"/>
                <w:color w:val="auto"/>
                <w:szCs w:val="24"/>
                <w:highlight w:val="none"/>
              </w:rPr>
            </w:pPr>
            <w:r>
              <w:rPr>
                <w:rFonts w:hint="default" w:ascii="Times New Roman" w:hAnsi="Times New Roman" w:eastAsia="宋体" w:cs="Times New Roman"/>
                <w:snapToGrid w:val="0"/>
                <w:color w:val="auto"/>
                <w:szCs w:val="24"/>
                <w:highlight w:val="none"/>
              </w:rPr>
              <w:t>复核医院周围环境描述及企事业单位分布，核准周围保护目标距离。复核声环境功能区划及评价标准。</w:t>
            </w:r>
          </w:p>
        </w:tc>
        <w:tc>
          <w:tcPr>
            <w:tcW w:w="1025" w:type="pct"/>
            <w:tcBorders>
              <w:tl2br w:val="nil"/>
              <w:tr2bl w:val="nil"/>
            </w:tcBorders>
            <w:vAlign w:val="center"/>
          </w:tcPr>
          <w:p w14:paraId="2CA7849C">
            <w:pPr>
              <w:pStyle w:val="24"/>
              <w:spacing w:before="0" w:beforeAutospacing="0" w:after="0" w:afterAutospacing="0"/>
              <w:jc w:val="center"/>
              <w:outlineLvl w:val="0"/>
              <w:rPr>
                <w:rFonts w:hint="default"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eastAsia="zh-CN"/>
              </w:rPr>
              <w:t>已复核，</w:t>
            </w:r>
            <w:r>
              <w:rPr>
                <w:rFonts w:hint="eastAsia" w:ascii="Times New Roman" w:hAnsi="Times New Roman" w:cs="Times New Roman"/>
                <w:snapToGrid w:val="0"/>
                <w:color w:val="auto"/>
                <w:szCs w:val="24"/>
                <w:highlight w:val="none"/>
                <w:lang w:val="en-US" w:eastAsia="zh-CN"/>
              </w:rPr>
              <w:t>P13、P24</w:t>
            </w:r>
          </w:p>
        </w:tc>
      </w:tr>
      <w:tr w14:paraId="1D6D5C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33" w:type="pct"/>
            <w:tcBorders>
              <w:tl2br w:val="nil"/>
              <w:tr2bl w:val="nil"/>
            </w:tcBorders>
            <w:vAlign w:val="center"/>
          </w:tcPr>
          <w:p w14:paraId="0B767C17">
            <w:pPr>
              <w:pStyle w:val="24"/>
              <w:jc w:val="center"/>
              <w:outlineLvl w:val="0"/>
              <w:rPr>
                <w:rFonts w:hint="eastAsia"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val="en-US" w:eastAsia="zh-CN"/>
              </w:rPr>
              <w:t>3</w:t>
            </w:r>
          </w:p>
        </w:tc>
        <w:tc>
          <w:tcPr>
            <w:tcW w:w="3540" w:type="pct"/>
            <w:tcBorders>
              <w:tl2br w:val="nil"/>
              <w:tr2bl w:val="nil"/>
            </w:tcBorders>
            <w:vAlign w:val="center"/>
          </w:tcPr>
          <w:p w14:paraId="5B8339B3">
            <w:pPr>
              <w:pStyle w:val="24"/>
              <w:jc w:val="center"/>
              <w:outlineLvl w:val="0"/>
              <w:rPr>
                <w:rFonts w:hint="default" w:ascii="Times New Roman" w:hAnsi="Times New Roman" w:eastAsia="宋体" w:cs="Times New Roman"/>
                <w:snapToGrid w:val="0"/>
                <w:color w:val="auto"/>
                <w:szCs w:val="24"/>
                <w:highlight w:val="none"/>
              </w:rPr>
            </w:pPr>
            <w:r>
              <w:rPr>
                <w:rFonts w:hint="default" w:ascii="Times New Roman" w:hAnsi="Times New Roman" w:eastAsia="宋体" w:cs="Times New Roman"/>
                <w:snapToGrid w:val="0"/>
                <w:color w:val="auto"/>
                <w:szCs w:val="24"/>
                <w:highlight w:val="none"/>
              </w:rPr>
              <w:t>应细化医院租用的构筑物利用历史，是否有遗留环境问题，应充分论证项目由工业企业转变为医院的合理性及环境可行性。</w:t>
            </w:r>
          </w:p>
        </w:tc>
        <w:tc>
          <w:tcPr>
            <w:tcW w:w="1025" w:type="pct"/>
            <w:tcBorders>
              <w:tl2br w:val="nil"/>
              <w:tr2bl w:val="nil"/>
            </w:tcBorders>
            <w:vAlign w:val="center"/>
          </w:tcPr>
          <w:p w14:paraId="54495C78">
            <w:pPr>
              <w:pStyle w:val="24"/>
              <w:spacing w:before="0" w:beforeAutospacing="0" w:after="0" w:afterAutospacing="0"/>
              <w:jc w:val="center"/>
              <w:outlineLvl w:val="0"/>
              <w:rPr>
                <w:rFonts w:hint="default"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eastAsia="zh-CN"/>
              </w:rPr>
              <w:t>已细化，</w:t>
            </w:r>
            <w:r>
              <w:rPr>
                <w:rFonts w:hint="eastAsia" w:ascii="Times New Roman" w:hAnsi="Times New Roman" w:cs="Times New Roman"/>
                <w:snapToGrid w:val="0"/>
                <w:color w:val="auto"/>
                <w:szCs w:val="24"/>
                <w:highlight w:val="none"/>
                <w:lang w:val="en-US" w:eastAsia="zh-CN"/>
              </w:rPr>
              <w:t>P22</w:t>
            </w:r>
          </w:p>
        </w:tc>
      </w:tr>
      <w:tr w14:paraId="4F4BC6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33" w:type="pct"/>
            <w:tcBorders>
              <w:tl2br w:val="nil"/>
              <w:tr2bl w:val="nil"/>
            </w:tcBorders>
            <w:vAlign w:val="center"/>
          </w:tcPr>
          <w:p w14:paraId="0787820E">
            <w:pPr>
              <w:pStyle w:val="24"/>
              <w:jc w:val="center"/>
              <w:outlineLvl w:val="0"/>
              <w:rPr>
                <w:rFonts w:hint="eastAsia"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val="en-US" w:eastAsia="zh-CN"/>
              </w:rPr>
              <w:t>4</w:t>
            </w:r>
          </w:p>
        </w:tc>
        <w:tc>
          <w:tcPr>
            <w:tcW w:w="3540" w:type="pct"/>
            <w:tcBorders>
              <w:tl2br w:val="nil"/>
              <w:tr2bl w:val="nil"/>
            </w:tcBorders>
            <w:vAlign w:val="center"/>
          </w:tcPr>
          <w:p w14:paraId="74950656">
            <w:pPr>
              <w:pStyle w:val="24"/>
              <w:jc w:val="center"/>
              <w:outlineLvl w:val="0"/>
              <w:rPr>
                <w:rFonts w:hint="default" w:ascii="Times New Roman" w:hAnsi="Times New Roman" w:eastAsia="宋体" w:cs="Times New Roman"/>
                <w:snapToGrid w:val="0"/>
                <w:color w:val="auto"/>
                <w:szCs w:val="24"/>
                <w:highlight w:val="none"/>
              </w:rPr>
            </w:pPr>
            <w:r>
              <w:rPr>
                <w:rFonts w:hint="default" w:ascii="Times New Roman" w:hAnsi="Times New Roman" w:eastAsia="宋体" w:cs="Times New Roman"/>
                <w:snapToGrid w:val="0"/>
                <w:color w:val="auto"/>
                <w:szCs w:val="24"/>
                <w:highlight w:val="none"/>
              </w:rPr>
              <w:t>明确项目是否配有检验室，说明主要检测项目、废弃物排放和处理情况。明确备用柴油的储存位置；核实主要原材料的使用种类。复核用排水环节及用排水平衡，明确纯水使用情况，复核病床用水量、是否有洗衣用水、药材清洗及设备清洗用排水等，复核废水水质，复核污水处理站规模，优化污水处理站处理工艺，细化消毒工艺，二氧化氯是否现场制备。复核采用化粪池作为应急池的合理性。明确污水处理站建设形式，完善医院恶臭气体废气源强核算内容，强化恶臭污染治理措施，明确排气筒设置内容。</w:t>
            </w:r>
          </w:p>
        </w:tc>
        <w:tc>
          <w:tcPr>
            <w:tcW w:w="1025" w:type="pct"/>
            <w:tcBorders>
              <w:tl2br w:val="nil"/>
              <w:tr2bl w:val="nil"/>
            </w:tcBorders>
            <w:vAlign w:val="center"/>
          </w:tcPr>
          <w:p w14:paraId="1420F460">
            <w:pPr>
              <w:pStyle w:val="24"/>
              <w:spacing w:before="0" w:beforeAutospacing="0" w:after="0" w:afterAutospacing="0"/>
              <w:jc w:val="center"/>
              <w:outlineLvl w:val="0"/>
              <w:rPr>
                <w:rFonts w:hint="default"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eastAsia="zh-CN"/>
              </w:rPr>
              <w:t>已明确，</w:t>
            </w:r>
            <w:r>
              <w:rPr>
                <w:rFonts w:hint="eastAsia" w:ascii="Times New Roman" w:hAnsi="Times New Roman" w:cs="Times New Roman"/>
                <w:snapToGrid w:val="0"/>
                <w:color w:val="auto"/>
                <w:szCs w:val="24"/>
                <w:highlight w:val="none"/>
                <w:lang w:val="en-US" w:eastAsia="zh-CN"/>
              </w:rPr>
              <w:t>P11、P14-P16、P19-P20、P32、P35、P39</w:t>
            </w:r>
          </w:p>
        </w:tc>
      </w:tr>
      <w:tr w14:paraId="61E843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33" w:type="pct"/>
            <w:tcBorders>
              <w:tl2br w:val="nil"/>
              <w:tr2bl w:val="nil"/>
            </w:tcBorders>
            <w:vAlign w:val="center"/>
          </w:tcPr>
          <w:p w14:paraId="2904CBAD">
            <w:pPr>
              <w:pStyle w:val="24"/>
              <w:jc w:val="center"/>
              <w:outlineLvl w:val="0"/>
              <w:rPr>
                <w:rFonts w:hint="eastAsia"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val="en-US" w:eastAsia="zh-CN"/>
              </w:rPr>
              <w:t>5</w:t>
            </w:r>
          </w:p>
        </w:tc>
        <w:tc>
          <w:tcPr>
            <w:tcW w:w="3540" w:type="pct"/>
            <w:tcBorders>
              <w:tl2br w:val="nil"/>
              <w:tr2bl w:val="nil"/>
            </w:tcBorders>
            <w:vAlign w:val="center"/>
          </w:tcPr>
          <w:p w14:paraId="38067E0B">
            <w:pPr>
              <w:pStyle w:val="24"/>
              <w:jc w:val="center"/>
              <w:outlineLvl w:val="0"/>
              <w:rPr>
                <w:rFonts w:hint="default" w:ascii="Times New Roman" w:hAnsi="Times New Roman" w:eastAsia="宋体" w:cs="Times New Roman"/>
                <w:snapToGrid w:val="0"/>
                <w:color w:val="auto"/>
                <w:szCs w:val="24"/>
                <w:highlight w:val="none"/>
              </w:rPr>
            </w:pPr>
            <w:r>
              <w:rPr>
                <w:rFonts w:hint="default" w:ascii="Times New Roman" w:hAnsi="Times New Roman" w:eastAsia="宋体" w:cs="Times New Roman"/>
                <w:snapToGrid w:val="0"/>
                <w:color w:val="auto"/>
                <w:szCs w:val="24"/>
                <w:highlight w:val="none"/>
              </w:rPr>
              <w:t>复核医疗废物产生量、污水处理站污泥产生量，细化医疗废物、污泥等存贮措施，细化污泥处置措施。细化医废暂存间建设要求和项目建成后的危废管理的要求。</w:t>
            </w:r>
          </w:p>
        </w:tc>
        <w:tc>
          <w:tcPr>
            <w:tcW w:w="1025" w:type="pct"/>
            <w:tcBorders>
              <w:tl2br w:val="nil"/>
              <w:tr2bl w:val="nil"/>
            </w:tcBorders>
            <w:vAlign w:val="center"/>
          </w:tcPr>
          <w:p w14:paraId="6C1E4FCC">
            <w:pPr>
              <w:pStyle w:val="24"/>
              <w:spacing w:before="0" w:beforeAutospacing="0" w:after="0" w:afterAutospacing="0"/>
              <w:jc w:val="center"/>
              <w:outlineLvl w:val="0"/>
              <w:rPr>
                <w:rFonts w:hint="default"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val="en-US" w:eastAsia="zh-CN"/>
              </w:rPr>
              <w:t>已复核，P46-P47</w:t>
            </w:r>
          </w:p>
        </w:tc>
      </w:tr>
      <w:tr w14:paraId="1E8CD6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33" w:type="pct"/>
            <w:tcBorders>
              <w:tl2br w:val="nil"/>
              <w:tr2bl w:val="nil"/>
            </w:tcBorders>
            <w:vAlign w:val="center"/>
          </w:tcPr>
          <w:p w14:paraId="2667636F">
            <w:pPr>
              <w:pStyle w:val="24"/>
              <w:jc w:val="center"/>
              <w:outlineLvl w:val="0"/>
              <w:rPr>
                <w:rFonts w:hint="eastAsia"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val="en-US" w:eastAsia="zh-CN"/>
              </w:rPr>
              <w:t>6</w:t>
            </w:r>
          </w:p>
        </w:tc>
        <w:tc>
          <w:tcPr>
            <w:tcW w:w="3540" w:type="pct"/>
            <w:tcBorders>
              <w:tl2br w:val="nil"/>
              <w:tr2bl w:val="nil"/>
            </w:tcBorders>
            <w:vAlign w:val="center"/>
          </w:tcPr>
          <w:p w14:paraId="675E539E">
            <w:pPr>
              <w:pStyle w:val="24"/>
              <w:jc w:val="center"/>
              <w:outlineLvl w:val="0"/>
              <w:rPr>
                <w:rFonts w:hint="default" w:ascii="Times New Roman" w:hAnsi="Times New Roman" w:eastAsia="宋体" w:cs="Times New Roman"/>
                <w:snapToGrid w:val="0"/>
                <w:color w:val="auto"/>
                <w:szCs w:val="24"/>
                <w:highlight w:val="none"/>
              </w:rPr>
            </w:pPr>
            <w:r>
              <w:rPr>
                <w:rFonts w:hint="default" w:ascii="Times New Roman" w:hAnsi="Times New Roman" w:eastAsia="宋体" w:cs="Times New Roman"/>
                <w:snapToGrid w:val="0"/>
                <w:color w:val="auto"/>
                <w:szCs w:val="24"/>
                <w:highlight w:val="none"/>
              </w:rPr>
              <w:t>复核风险物质、存贮量及Q值，完善环境风险分析及风险防范措施内容。完善分区防渗措施。</w:t>
            </w:r>
          </w:p>
        </w:tc>
        <w:tc>
          <w:tcPr>
            <w:tcW w:w="1025" w:type="pct"/>
            <w:tcBorders>
              <w:tl2br w:val="nil"/>
              <w:tr2bl w:val="nil"/>
            </w:tcBorders>
            <w:vAlign w:val="center"/>
          </w:tcPr>
          <w:p w14:paraId="28BABA61">
            <w:pPr>
              <w:pStyle w:val="24"/>
              <w:spacing w:before="0" w:beforeAutospacing="0" w:after="0" w:afterAutospacing="0"/>
              <w:jc w:val="center"/>
              <w:outlineLvl w:val="0"/>
              <w:rPr>
                <w:rFonts w:hint="default"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val="en-US" w:eastAsia="zh-CN"/>
              </w:rPr>
              <w:t>已复核完善，P47、P51-P55</w:t>
            </w:r>
          </w:p>
        </w:tc>
      </w:tr>
      <w:tr w14:paraId="655066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33" w:type="pct"/>
            <w:tcBorders>
              <w:tl2br w:val="nil"/>
              <w:tr2bl w:val="nil"/>
            </w:tcBorders>
            <w:vAlign w:val="center"/>
          </w:tcPr>
          <w:p w14:paraId="1C1C660F">
            <w:pPr>
              <w:pStyle w:val="24"/>
              <w:jc w:val="center"/>
              <w:outlineLvl w:val="0"/>
              <w:rPr>
                <w:rFonts w:hint="eastAsia"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val="en-US" w:eastAsia="zh-CN"/>
              </w:rPr>
              <w:t>7</w:t>
            </w:r>
          </w:p>
        </w:tc>
        <w:tc>
          <w:tcPr>
            <w:tcW w:w="3540" w:type="pct"/>
            <w:tcBorders>
              <w:tl2br w:val="nil"/>
              <w:tr2bl w:val="nil"/>
            </w:tcBorders>
            <w:vAlign w:val="center"/>
          </w:tcPr>
          <w:p w14:paraId="08840BA5">
            <w:pPr>
              <w:pStyle w:val="24"/>
              <w:jc w:val="center"/>
              <w:outlineLvl w:val="0"/>
              <w:rPr>
                <w:rFonts w:hint="default" w:ascii="Times New Roman" w:hAnsi="Times New Roman" w:eastAsia="宋体" w:cs="Times New Roman"/>
                <w:snapToGrid w:val="0"/>
                <w:color w:val="auto"/>
                <w:szCs w:val="24"/>
                <w:highlight w:val="none"/>
              </w:rPr>
            </w:pPr>
            <w:r>
              <w:rPr>
                <w:rFonts w:hint="default" w:ascii="Times New Roman" w:hAnsi="Times New Roman" w:eastAsia="宋体" w:cs="Times New Roman"/>
                <w:snapToGrid w:val="0"/>
                <w:color w:val="auto"/>
                <w:szCs w:val="24"/>
                <w:highlight w:val="none"/>
              </w:rPr>
              <w:t>复核环境保护措施监督检查清单及建设项目污染物排放量汇总表内容，规范附图、附件。</w:t>
            </w:r>
          </w:p>
        </w:tc>
        <w:tc>
          <w:tcPr>
            <w:tcW w:w="1025" w:type="pct"/>
            <w:tcBorders>
              <w:tl2br w:val="nil"/>
              <w:tr2bl w:val="nil"/>
            </w:tcBorders>
            <w:vAlign w:val="center"/>
          </w:tcPr>
          <w:p w14:paraId="4CBF6347">
            <w:pPr>
              <w:pStyle w:val="24"/>
              <w:jc w:val="center"/>
              <w:outlineLvl w:val="0"/>
              <w:rPr>
                <w:rFonts w:hint="default" w:ascii="Times New Roman" w:hAnsi="Times New Roman" w:eastAsia="宋体" w:cs="Times New Roman"/>
                <w:snapToGrid w:val="0"/>
                <w:color w:val="auto"/>
                <w:szCs w:val="24"/>
                <w:highlight w:val="none"/>
                <w:lang w:val="en-US" w:eastAsia="zh-CN"/>
              </w:rPr>
            </w:pPr>
            <w:r>
              <w:rPr>
                <w:rFonts w:hint="eastAsia" w:ascii="Times New Roman" w:hAnsi="Times New Roman" w:cs="Times New Roman"/>
                <w:snapToGrid w:val="0"/>
                <w:color w:val="auto"/>
                <w:szCs w:val="24"/>
                <w:highlight w:val="none"/>
                <w:lang w:eastAsia="zh-CN"/>
              </w:rPr>
              <w:t>已复核，</w:t>
            </w:r>
            <w:r>
              <w:rPr>
                <w:rFonts w:hint="eastAsia" w:ascii="Times New Roman" w:hAnsi="Times New Roman" w:cs="Times New Roman"/>
                <w:snapToGrid w:val="0"/>
                <w:color w:val="auto"/>
                <w:szCs w:val="24"/>
                <w:highlight w:val="none"/>
                <w:lang w:val="en-US" w:eastAsia="zh-CN"/>
              </w:rPr>
              <w:t>P57-P60、P62</w:t>
            </w:r>
          </w:p>
        </w:tc>
      </w:tr>
    </w:tbl>
    <w:p w14:paraId="00092142">
      <w:pPr>
        <w:pStyle w:val="36"/>
        <w:rPr>
          <w:rFonts w:hint="default"/>
          <w:color w:val="auto"/>
          <w:highlight w:val="none"/>
        </w:rPr>
        <w:sectPr>
          <w:pgSz w:w="11906" w:h="16838"/>
          <w:pgMar w:top="1701" w:right="1531" w:bottom="1701" w:left="1531" w:header="851" w:footer="1077" w:gutter="0"/>
          <w:pgNumType w:start="3"/>
          <w:cols w:space="720" w:num="1"/>
          <w:docGrid w:linePitch="312" w:charSpace="0"/>
        </w:sectPr>
      </w:pPr>
    </w:p>
    <w:p w14:paraId="01270ED9">
      <w:pPr>
        <w:pStyle w:val="2"/>
        <w:spacing w:line="240" w:lineRule="auto"/>
        <w:rPr>
          <w:rFonts w:hint="eastAsia" w:ascii="黑体" w:hAnsi="黑体"/>
          <w:snapToGrid w:val="0"/>
          <w:color w:val="auto"/>
          <w:highlight w:val="none"/>
        </w:rPr>
      </w:pPr>
      <w:r>
        <w:rPr>
          <w:rFonts w:hint="eastAsia" w:ascii="黑体" w:hAnsi="黑体"/>
          <w:snapToGrid w:val="0"/>
          <w:color w:val="auto"/>
          <w:highlight w:val="none"/>
        </w:rPr>
        <w:t>一、建设项目基本情况</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9"/>
        <w:gridCol w:w="3000"/>
        <w:gridCol w:w="2212"/>
        <w:gridCol w:w="2639"/>
      </w:tblGrid>
      <w:tr w14:paraId="06648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9" w:type="dxa"/>
            <w:tcMar>
              <w:top w:w="16" w:type="dxa"/>
              <w:left w:w="16" w:type="dxa"/>
              <w:right w:w="16" w:type="dxa"/>
            </w:tcMar>
            <w:vAlign w:val="center"/>
          </w:tcPr>
          <w:p w14:paraId="5271465D">
            <w:pPr>
              <w:adjustRightInd w:val="0"/>
              <w:snapToGrid w:val="0"/>
              <w:jc w:val="center"/>
              <w:rPr>
                <w:color w:val="auto"/>
                <w:sz w:val="24"/>
                <w:highlight w:val="none"/>
              </w:rPr>
            </w:pPr>
            <w:r>
              <w:rPr>
                <w:color w:val="auto"/>
                <w:sz w:val="24"/>
                <w:highlight w:val="none"/>
              </w:rPr>
              <w:t>建设项目名称</w:t>
            </w:r>
          </w:p>
        </w:tc>
        <w:tc>
          <w:tcPr>
            <w:tcW w:w="7851" w:type="dxa"/>
            <w:gridSpan w:val="3"/>
            <w:vAlign w:val="center"/>
          </w:tcPr>
          <w:p w14:paraId="5EA54C14">
            <w:pPr>
              <w:adjustRightInd w:val="0"/>
              <w:snapToGrid w:val="0"/>
              <w:jc w:val="center"/>
              <w:rPr>
                <w:color w:val="auto"/>
                <w:sz w:val="24"/>
                <w:highlight w:val="none"/>
              </w:rPr>
            </w:pPr>
            <w:r>
              <w:rPr>
                <w:rFonts w:hint="eastAsia"/>
                <w:color w:val="auto"/>
                <w:sz w:val="24"/>
                <w:highlight w:val="none"/>
              </w:rPr>
              <w:t>长春新区民康康复医院建设项目</w:t>
            </w:r>
          </w:p>
        </w:tc>
      </w:tr>
      <w:tr w14:paraId="2CB9B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9" w:type="dxa"/>
            <w:tcMar>
              <w:top w:w="16" w:type="dxa"/>
              <w:left w:w="16" w:type="dxa"/>
              <w:right w:w="16" w:type="dxa"/>
            </w:tcMar>
            <w:vAlign w:val="center"/>
          </w:tcPr>
          <w:p w14:paraId="5ACD11DD">
            <w:pPr>
              <w:adjustRightInd w:val="0"/>
              <w:snapToGrid w:val="0"/>
              <w:jc w:val="center"/>
              <w:rPr>
                <w:color w:val="auto"/>
                <w:sz w:val="24"/>
                <w:highlight w:val="none"/>
              </w:rPr>
            </w:pPr>
            <w:r>
              <w:rPr>
                <w:color w:val="auto"/>
                <w:sz w:val="24"/>
                <w:highlight w:val="none"/>
              </w:rPr>
              <w:t>项目代码</w:t>
            </w:r>
          </w:p>
        </w:tc>
        <w:tc>
          <w:tcPr>
            <w:tcW w:w="7851" w:type="dxa"/>
            <w:gridSpan w:val="3"/>
            <w:vAlign w:val="center"/>
          </w:tcPr>
          <w:p w14:paraId="0833225B">
            <w:pPr>
              <w:adjustRightInd w:val="0"/>
              <w:snapToGrid w:val="0"/>
              <w:jc w:val="center"/>
              <w:rPr>
                <w:color w:val="auto"/>
                <w:sz w:val="24"/>
                <w:highlight w:val="none"/>
              </w:rPr>
            </w:pPr>
            <w:r>
              <w:rPr>
                <w:color w:val="auto"/>
                <w:sz w:val="24"/>
                <w:highlight w:val="none"/>
              </w:rPr>
              <w:t>/</w:t>
            </w:r>
          </w:p>
        </w:tc>
      </w:tr>
      <w:tr w14:paraId="74E24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9" w:type="dxa"/>
            <w:tcMar>
              <w:top w:w="16" w:type="dxa"/>
              <w:left w:w="16" w:type="dxa"/>
              <w:right w:w="16" w:type="dxa"/>
            </w:tcMar>
            <w:vAlign w:val="center"/>
          </w:tcPr>
          <w:p w14:paraId="6B18050B">
            <w:pPr>
              <w:adjustRightInd w:val="0"/>
              <w:snapToGrid w:val="0"/>
              <w:jc w:val="center"/>
              <w:rPr>
                <w:color w:val="auto"/>
                <w:sz w:val="24"/>
                <w:highlight w:val="none"/>
              </w:rPr>
            </w:pPr>
            <w:r>
              <w:rPr>
                <w:color w:val="auto"/>
                <w:sz w:val="24"/>
                <w:highlight w:val="none"/>
              </w:rPr>
              <w:t>建设单位联系人</w:t>
            </w:r>
          </w:p>
        </w:tc>
        <w:tc>
          <w:tcPr>
            <w:tcW w:w="3000" w:type="dxa"/>
            <w:vAlign w:val="center"/>
          </w:tcPr>
          <w:p w14:paraId="13865DBA">
            <w:pPr>
              <w:adjustRightInd w:val="0"/>
              <w:snapToGrid w:val="0"/>
              <w:jc w:val="center"/>
              <w:rPr>
                <w:color w:val="auto"/>
                <w:sz w:val="24"/>
                <w:highlight w:val="none"/>
              </w:rPr>
            </w:pPr>
            <w:r>
              <w:rPr>
                <w:rFonts w:hint="eastAsia"/>
                <w:color w:val="auto"/>
                <w:sz w:val="24"/>
                <w:highlight w:val="none"/>
              </w:rPr>
              <w:t>赵健</w:t>
            </w:r>
          </w:p>
        </w:tc>
        <w:tc>
          <w:tcPr>
            <w:tcW w:w="2212" w:type="dxa"/>
            <w:vAlign w:val="center"/>
          </w:tcPr>
          <w:p w14:paraId="24C65D3F">
            <w:pPr>
              <w:adjustRightInd w:val="0"/>
              <w:snapToGrid w:val="0"/>
              <w:jc w:val="center"/>
              <w:rPr>
                <w:color w:val="auto"/>
                <w:sz w:val="24"/>
                <w:highlight w:val="none"/>
              </w:rPr>
            </w:pPr>
            <w:r>
              <w:rPr>
                <w:color w:val="auto"/>
                <w:sz w:val="24"/>
                <w:highlight w:val="none"/>
              </w:rPr>
              <w:t>联系方式</w:t>
            </w:r>
          </w:p>
        </w:tc>
        <w:tc>
          <w:tcPr>
            <w:tcW w:w="2639" w:type="dxa"/>
            <w:vAlign w:val="center"/>
          </w:tcPr>
          <w:p w14:paraId="68F407F6">
            <w:pPr>
              <w:adjustRightInd w:val="0"/>
              <w:snapToGrid w:val="0"/>
              <w:jc w:val="center"/>
              <w:rPr>
                <w:color w:val="auto"/>
                <w:sz w:val="24"/>
                <w:highlight w:val="none"/>
              </w:rPr>
            </w:pPr>
            <w:r>
              <w:rPr>
                <w:color w:val="auto"/>
                <w:sz w:val="24"/>
                <w:highlight w:val="none"/>
              </w:rPr>
              <w:t>13756859650</w:t>
            </w:r>
          </w:p>
        </w:tc>
      </w:tr>
      <w:tr w14:paraId="37242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9" w:type="dxa"/>
            <w:tcMar>
              <w:top w:w="16" w:type="dxa"/>
              <w:left w:w="16" w:type="dxa"/>
              <w:right w:w="16" w:type="dxa"/>
            </w:tcMar>
            <w:vAlign w:val="center"/>
          </w:tcPr>
          <w:p w14:paraId="289F6B15">
            <w:pPr>
              <w:adjustRightInd w:val="0"/>
              <w:snapToGrid w:val="0"/>
              <w:jc w:val="center"/>
              <w:rPr>
                <w:color w:val="auto"/>
                <w:sz w:val="24"/>
                <w:highlight w:val="none"/>
              </w:rPr>
            </w:pPr>
            <w:r>
              <w:rPr>
                <w:color w:val="auto"/>
                <w:sz w:val="24"/>
                <w:highlight w:val="none"/>
              </w:rPr>
              <w:t>建设地点</w:t>
            </w:r>
          </w:p>
        </w:tc>
        <w:tc>
          <w:tcPr>
            <w:tcW w:w="7851" w:type="dxa"/>
            <w:gridSpan w:val="3"/>
            <w:vAlign w:val="center"/>
          </w:tcPr>
          <w:p w14:paraId="06DBBE67">
            <w:pPr>
              <w:adjustRightInd w:val="0"/>
              <w:snapToGrid w:val="0"/>
              <w:jc w:val="center"/>
              <w:rPr>
                <w:color w:val="auto"/>
                <w:sz w:val="24"/>
                <w:highlight w:val="none"/>
              </w:rPr>
            </w:pPr>
            <w:r>
              <w:rPr>
                <w:color w:val="auto"/>
                <w:sz w:val="24"/>
                <w:highlight w:val="none"/>
              </w:rPr>
              <w:t>长春市高新开发区光谷大街866号1号办公楼</w:t>
            </w:r>
          </w:p>
        </w:tc>
      </w:tr>
      <w:tr w14:paraId="666F2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9" w:type="dxa"/>
            <w:tcMar>
              <w:top w:w="16" w:type="dxa"/>
              <w:left w:w="16" w:type="dxa"/>
              <w:right w:w="16" w:type="dxa"/>
            </w:tcMar>
            <w:vAlign w:val="center"/>
          </w:tcPr>
          <w:p w14:paraId="0183C7E5">
            <w:pPr>
              <w:adjustRightInd w:val="0"/>
              <w:snapToGrid w:val="0"/>
              <w:jc w:val="center"/>
              <w:rPr>
                <w:color w:val="auto"/>
                <w:sz w:val="24"/>
                <w:highlight w:val="none"/>
              </w:rPr>
            </w:pPr>
            <w:r>
              <w:rPr>
                <w:color w:val="auto"/>
                <w:sz w:val="24"/>
                <w:highlight w:val="none"/>
              </w:rPr>
              <w:t>地理坐标</w:t>
            </w:r>
          </w:p>
        </w:tc>
        <w:tc>
          <w:tcPr>
            <w:tcW w:w="7851" w:type="dxa"/>
            <w:gridSpan w:val="3"/>
            <w:vAlign w:val="center"/>
          </w:tcPr>
          <w:p w14:paraId="37983D29">
            <w:pPr>
              <w:jc w:val="center"/>
              <w:rPr>
                <w:color w:val="auto"/>
                <w:sz w:val="24"/>
                <w:highlight w:val="none"/>
              </w:rPr>
            </w:pPr>
            <w:r>
              <w:rPr>
                <w:color w:val="auto"/>
                <w:sz w:val="24"/>
                <w:highlight w:val="none"/>
              </w:rPr>
              <w:t>125度</w:t>
            </w:r>
            <w:r>
              <w:rPr>
                <w:rFonts w:hint="eastAsia"/>
                <w:color w:val="auto"/>
                <w:sz w:val="24"/>
                <w:highlight w:val="none"/>
              </w:rPr>
              <w:t>15</w:t>
            </w:r>
            <w:r>
              <w:rPr>
                <w:color w:val="auto"/>
                <w:sz w:val="24"/>
                <w:highlight w:val="none"/>
              </w:rPr>
              <w:t>分</w:t>
            </w:r>
            <w:r>
              <w:rPr>
                <w:rFonts w:hint="eastAsia"/>
                <w:color w:val="auto"/>
                <w:sz w:val="24"/>
                <w:highlight w:val="none"/>
              </w:rPr>
              <w:t>12.221</w:t>
            </w:r>
            <w:r>
              <w:rPr>
                <w:color w:val="auto"/>
                <w:sz w:val="24"/>
                <w:highlight w:val="none"/>
              </w:rPr>
              <w:t>秒，4</w:t>
            </w:r>
            <w:r>
              <w:rPr>
                <w:rFonts w:hint="eastAsia"/>
                <w:color w:val="auto"/>
                <w:sz w:val="24"/>
                <w:highlight w:val="none"/>
              </w:rPr>
              <w:t>4</w:t>
            </w:r>
            <w:r>
              <w:rPr>
                <w:color w:val="auto"/>
                <w:sz w:val="24"/>
                <w:highlight w:val="none"/>
              </w:rPr>
              <w:t>度</w:t>
            </w:r>
            <w:r>
              <w:rPr>
                <w:rFonts w:hint="eastAsia"/>
                <w:color w:val="auto"/>
                <w:sz w:val="24"/>
                <w:highlight w:val="none"/>
              </w:rPr>
              <w:t>50</w:t>
            </w:r>
            <w:r>
              <w:rPr>
                <w:color w:val="auto"/>
                <w:sz w:val="24"/>
                <w:highlight w:val="none"/>
              </w:rPr>
              <w:t>分</w:t>
            </w:r>
            <w:r>
              <w:rPr>
                <w:rFonts w:hint="eastAsia"/>
                <w:color w:val="auto"/>
                <w:sz w:val="24"/>
                <w:highlight w:val="none"/>
              </w:rPr>
              <w:t>12.753</w:t>
            </w:r>
            <w:r>
              <w:rPr>
                <w:color w:val="auto"/>
                <w:sz w:val="24"/>
                <w:highlight w:val="none"/>
              </w:rPr>
              <w:t>秒</w:t>
            </w:r>
          </w:p>
        </w:tc>
      </w:tr>
      <w:tr w14:paraId="60919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19" w:type="dxa"/>
            <w:tcMar>
              <w:top w:w="16" w:type="dxa"/>
              <w:left w:w="16" w:type="dxa"/>
              <w:right w:w="16" w:type="dxa"/>
            </w:tcMar>
            <w:vAlign w:val="center"/>
          </w:tcPr>
          <w:p w14:paraId="50E1399B">
            <w:pPr>
              <w:adjustRightInd w:val="0"/>
              <w:snapToGrid w:val="0"/>
              <w:jc w:val="center"/>
              <w:rPr>
                <w:color w:val="auto"/>
                <w:sz w:val="24"/>
                <w:highlight w:val="none"/>
              </w:rPr>
            </w:pPr>
            <w:r>
              <w:rPr>
                <w:color w:val="auto"/>
                <w:sz w:val="24"/>
                <w:highlight w:val="none"/>
              </w:rPr>
              <w:t>国民经济</w:t>
            </w:r>
          </w:p>
          <w:p w14:paraId="6B6BCC11">
            <w:pPr>
              <w:adjustRightInd w:val="0"/>
              <w:snapToGrid w:val="0"/>
              <w:jc w:val="center"/>
              <w:rPr>
                <w:color w:val="auto"/>
                <w:sz w:val="24"/>
                <w:highlight w:val="none"/>
              </w:rPr>
            </w:pPr>
            <w:r>
              <w:rPr>
                <w:color w:val="auto"/>
                <w:sz w:val="24"/>
                <w:highlight w:val="none"/>
              </w:rPr>
              <w:t>行业类别</w:t>
            </w:r>
          </w:p>
        </w:tc>
        <w:tc>
          <w:tcPr>
            <w:tcW w:w="3000" w:type="dxa"/>
            <w:vAlign w:val="center"/>
          </w:tcPr>
          <w:p w14:paraId="2180A36F">
            <w:pPr>
              <w:adjustRightInd w:val="0"/>
              <w:snapToGrid w:val="0"/>
              <w:jc w:val="center"/>
              <w:rPr>
                <w:color w:val="auto"/>
                <w:sz w:val="24"/>
                <w:highlight w:val="none"/>
              </w:rPr>
            </w:pPr>
            <w:r>
              <w:rPr>
                <w:color w:val="auto"/>
                <w:sz w:val="24"/>
                <w:highlight w:val="none"/>
              </w:rPr>
              <w:t>Q84</w:t>
            </w:r>
            <w:bookmarkStart w:id="1" w:name="OLE_LINK1"/>
            <w:r>
              <w:rPr>
                <w:rFonts w:hint="eastAsia"/>
                <w:color w:val="auto"/>
                <w:sz w:val="24"/>
                <w:highlight w:val="none"/>
              </w:rPr>
              <w:t>11</w:t>
            </w:r>
            <w:bookmarkEnd w:id="1"/>
            <w:r>
              <w:rPr>
                <w:rFonts w:hint="eastAsia"/>
                <w:color w:val="auto"/>
                <w:sz w:val="24"/>
                <w:highlight w:val="none"/>
              </w:rPr>
              <w:t>综合医院</w:t>
            </w:r>
          </w:p>
        </w:tc>
        <w:tc>
          <w:tcPr>
            <w:tcW w:w="2212" w:type="dxa"/>
            <w:vAlign w:val="center"/>
          </w:tcPr>
          <w:p w14:paraId="5F0AAB85">
            <w:pPr>
              <w:adjustRightInd w:val="0"/>
              <w:snapToGrid w:val="0"/>
              <w:jc w:val="center"/>
              <w:rPr>
                <w:color w:val="auto"/>
                <w:sz w:val="24"/>
                <w:highlight w:val="none"/>
              </w:rPr>
            </w:pPr>
            <w:bookmarkStart w:id="2" w:name="_Hlk49843745"/>
            <w:r>
              <w:rPr>
                <w:color w:val="auto"/>
                <w:sz w:val="24"/>
                <w:highlight w:val="none"/>
              </w:rPr>
              <w:t>建设项目</w:t>
            </w:r>
          </w:p>
          <w:p w14:paraId="3762F11F">
            <w:pPr>
              <w:adjustRightInd w:val="0"/>
              <w:snapToGrid w:val="0"/>
              <w:jc w:val="center"/>
              <w:rPr>
                <w:color w:val="auto"/>
                <w:sz w:val="24"/>
                <w:highlight w:val="none"/>
              </w:rPr>
            </w:pPr>
            <w:r>
              <w:rPr>
                <w:color w:val="auto"/>
                <w:sz w:val="24"/>
                <w:highlight w:val="none"/>
              </w:rPr>
              <w:t>行业类别</w:t>
            </w:r>
            <w:bookmarkEnd w:id="2"/>
          </w:p>
        </w:tc>
        <w:tc>
          <w:tcPr>
            <w:tcW w:w="2639" w:type="dxa"/>
            <w:vAlign w:val="center"/>
          </w:tcPr>
          <w:p w14:paraId="69C90A00">
            <w:pPr>
              <w:widowControl/>
              <w:jc w:val="left"/>
              <w:rPr>
                <w:color w:val="auto"/>
                <w:sz w:val="24"/>
                <w:highlight w:val="none"/>
              </w:rPr>
            </w:pPr>
            <w:r>
              <w:rPr>
                <w:color w:val="auto"/>
                <w:sz w:val="24"/>
                <w:highlight w:val="none"/>
              </w:rPr>
              <w:t>四十九、卫生84</w:t>
            </w:r>
            <w:r>
              <w:rPr>
                <w:rFonts w:hint="eastAsia"/>
                <w:color w:val="auto"/>
                <w:sz w:val="24"/>
                <w:highlight w:val="none"/>
              </w:rPr>
              <w:t>医院</w:t>
            </w:r>
            <w:r>
              <w:rPr>
                <w:color w:val="auto"/>
                <w:sz w:val="24"/>
                <w:highlight w:val="none"/>
              </w:rPr>
              <w:t>84</w:t>
            </w:r>
            <w:r>
              <w:rPr>
                <w:rFonts w:hint="eastAsia"/>
                <w:color w:val="auto"/>
                <w:sz w:val="24"/>
                <w:highlight w:val="none"/>
              </w:rPr>
              <w:t>1</w:t>
            </w:r>
          </w:p>
        </w:tc>
      </w:tr>
      <w:tr w14:paraId="4C67D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19" w:type="dxa"/>
            <w:tcMar>
              <w:top w:w="16" w:type="dxa"/>
              <w:left w:w="16" w:type="dxa"/>
              <w:right w:w="16" w:type="dxa"/>
            </w:tcMar>
            <w:vAlign w:val="center"/>
          </w:tcPr>
          <w:p w14:paraId="4C50AA59">
            <w:pPr>
              <w:adjustRightInd w:val="0"/>
              <w:snapToGrid w:val="0"/>
              <w:jc w:val="center"/>
              <w:rPr>
                <w:color w:val="auto"/>
                <w:sz w:val="24"/>
                <w:highlight w:val="none"/>
              </w:rPr>
            </w:pPr>
            <w:r>
              <w:rPr>
                <w:color w:val="auto"/>
                <w:sz w:val="24"/>
                <w:highlight w:val="none"/>
              </w:rPr>
              <w:t>建设性质</w:t>
            </w:r>
          </w:p>
        </w:tc>
        <w:tc>
          <w:tcPr>
            <w:tcW w:w="3000" w:type="dxa"/>
            <w:vAlign w:val="center"/>
          </w:tcPr>
          <w:p w14:paraId="4DA4026E">
            <w:pPr>
              <w:jc w:val="left"/>
              <w:rPr>
                <w:color w:val="auto"/>
                <w:sz w:val="24"/>
                <w:highlight w:val="none"/>
              </w:rPr>
            </w:pPr>
            <w:r>
              <w:rPr>
                <w:color w:val="auto"/>
                <w:sz w:val="24"/>
                <w:highlight w:val="none"/>
              </w:rPr>
              <w:t>☑新建（迁建）</w:t>
            </w:r>
          </w:p>
          <w:p w14:paraId="27FE1798">
            <w:pPr>
              <w:jc w:val="left"/>
              <w:rPr>
                <w:color w:val="auto"/>
                <w:sz w:val="24"/>
                <w:highlight w:val="none"/>
              </w:rPr>
            </w:pPr>
            <w:r>
              <w:rPr>
                <w:color w:val="auto"/>
                <w:sz w:val="24"/>
                <w:highlight w:val="none"/>
              </w:rPr>
              <w:t>□改建</w:t>
            </w:r>
          </w:p>
          <w:p w14:paraId="59DBEFB1">
            <w:pPr>
              <w:jc w:val="left"/>
              <w:rPr>
                <w:color w:val="auto"/>
                <w:sz w:val="24"/>
                <w:highlight w:val="none"/>
              </w:rPr>
            </w:pPr>
            <w:r>
              <w:rPr>
                <w:color w:val="auto"/>
                <w:sz w:val="24"/>
                <w:highlight w:val="none"/>
              </w:rPr>
              <w:t>□扩建</w:t>
            </w:r>
          </w:p>
          <w:p w14:paraId="65875275">
            <w:pPr>
              <w:jc w:val="left"/>
              <w:rPr>
                <w:color w:val="auto"/>
                <w:sz w:val="24"/>
                <w:highlight w:val="none"/>
              </w:rPr>
            </w:pPr>
            <w:r>
              <w:rPr>
                <w:color w:val="auto"/>
                <w:sz w:val="24"/>
                <w:highlight w:val="none"/>
              </w:rPr>
              <w:t>□技术改造</w:t>
            </w:r>
          </w:p>
        </w:tc>
        <w:tc>
          <w:tcPr>
            <w:tcW w:w="2212" w:type="dxa"/>
            <w:vAlign w:val="center"/>
          </w:tcPr>
          <w:p w14:paraId="137347B2">
            <w:pPr>
              <w:adjustRightInd w:val="0"/>
              <w:snapToGrid w:val="0"/>
              <w:jc w:val="center"/>
              <w:rPr>
                <w:color w:val="auto"/>
                <w:sz w:val="24"/>
                <w:highlight w:val="none"/>
              </w:rPr>
            </w:pPr>
            <w:r>
              <w:rPr>
                <w:color w:val="auto"/>
                <w:sz w:val="24"/>
                <w:highlight w:val="none"/>
              </w:rPr>
              <w:t>建设项目</w:t>
            </w:r>
          </w:p>
          <w:p w14:paraId="48922E70">
            <w:pPr>
              <w:adjustRightInd w:val="0"/>
              <w:snapToGrid w:val="0"/>
              <w:jc w:val="center"/>
              <w:rPr>
                <w:color w:val="auto"/>
                <w:sz w:val="24"/>
                <w:highlight w:val="none"/>
              </w:rPr>
            </w:pPr>
            <w:r>
              <w:rPr>
                <w:color w:val="auto"/>
                <w:sz w:val="24"/>
                <w:highlight w:val="none"/>
              </w:rPr>
              <w:t>申报情形</w:t>
            </w:r>
          </w:p>
        </w:tc>
        <w:tc>
          <w:tcPr>
            <w:tcW w:w="2639" w:type="dxa"/>
            <w:vAlign w:val="center"/>
          </w:tcPr>
          <w:p w14:paraId="2B0C5010">
            <w:pPr>
              <w:jc w:val="left"/>
              <w:rPr>
                <w:color w:val="auto"/>
                <w:sz w:val="24"/>
                <w:highlight w:val="none"/>
              </w:rPr>
            </w:pPr>
            <w:r>
              <w:rPr>
                <w:color w:val="auto"/>
                <w:sz w:val="24"/>
                <w:highlight w:val="none"/>
              </w:rPr>
              <w:sym w:font="Wingdings 2" w:char="0052"/>
            </w:r>
            <w:r>
              <w:rPr>
                <w:color w:val="auto"/>
                <w:sz w:val="24"/>
                <w:highlight w:val="none"/>
              </w:rPr>
              <w:t>首次申报项目</w:t>
            </w:r>
          </w:p>
          <w:p w14:paraId="12683355">
            <w:pPr>
              <w:jc w:val="left"/>
              <w:rPr>
                <w:color w:val="auto"/>
                <w:sz w:val="24"/>
                <w:highlight w:val="none"/>
              </w:rPr>
            </w:pPr>
            <w:r>
              <w:rPr>
                <w:color w:val="auto"/>
                <w:sz w:val="24"/>
                <w:highlight w:val="none"/>
              </w:rPr>
              <w:t>□不予批准后再次申报项目</w:t>
            </w:r>
          </w:p>
          <w:p w14:paraId="4285FC3A">
            <w:pPr>
              <w:jc w:val="left"/>
              <w:rPr>
                <w:color w:val="auto"/>
                <w:sz w:val="24"/>
                <w:highlight w:val="none"/>
              </w:rPr>
            </w:pPr>
            <w:r>
              <w:rPr>
                <w:color w:val="auto"/>
                <w:sz w:val="24"/>
                <w:highlight w:val="none"/>
              </w:rPr>
              <w:t>□超五年重新审核项目</w:t>
            </w:r>
          </w:p>
          <w:p w14:paraId="292A0753">
            <w:pPr>
              <w:jc w:val="left"/>
              <w:rPr>
                <w:color w:val="auto"/>
                <w:sz w:val="24"/>
                <w:highlight w:val="none"/>
              </w:rPr>
            </w:pPr>
            <w:r>
              <w:rPr>
                <w:color w:val="auto"/>
                <w:sz w:val="24"/>
                <w:highlight w:val="none"/>
              </w:rPr>
              <w:t>□重大变动重新报批项目</w:t>
            </w:r>
          </w:p>
        </w:tc>
      </w:tr>
      <w:tr w14:paraId="75BD7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19" w:type="dxa"/>
            <w:tcMar>
              <w:top w:w="16" w:type="dxa"/>
              <w:left w:w="16" w:type="dxa"/>
              <w:right w:w="16" w:type="dxa"/>
            </w:tcMar>
            <w:vAlign w:val="center"/>
          </w:tcPr>
          <w:p w14:paraId="466B858F">
            <w:pPr>
              <w:adjustRightInd w:val="0"/>
              <w:snapToGrid w:val="0"/>
              <w:jc w:val="center"/>
              <w:rPr>
                <w:color w:val="auto"/>
                <w:sz w:val="24"/>
                <w:highlight w:val="none"/>
              </w:rPr>
            </w:pPr>
            <w:r>
              <w:rPr>
                <w:color w:val="auto"/>
                <w:sz w:val="24"/>
                <w:highlight w:val="none"/>
              </w:rPr>
              <w:t>项目审批（核准/备案）部门（选填）</w:t>
            </w:r>
          </w:p>
        </w:tc>
        <w:tc>
          <w:tcPr>
            <w:tcW w:w="3000" w:type="dxa"/>
            <w:vAlign w:val="center"/>
          </w:tcPr>
          <w:p w14:paraId="25EF8BFA">
            <w:pPr>
              <w:adjustRightInd w:val="0"/>
              <w:snapToGrid w:val="0"/>
              <w:jc w:val="center"/>
              <w:rPr>
                <w:color w:val="auto"/>
                <w:sz w:val="24"/>
                <w:highlight w:val="none"/>
              </w:rPr>
            </w:pPr>
            <w:r>
              <w:rPr>
                <w:color w:val="auto"/>
                <w:sz w:val="24"/>
                <w:highlight w:val="none"/>
              </w:rPr>
              <w:t>/</w:t>
            </w:r>
          </w:p>
        </w:tc>
        <w:tc>
          <w:tcPr>
            <w:tcW w:w="2212" w:type="dxa"/>
            <w:vAlign w:val="center"/>
          </w:tcPr>
          <w:p w14:paraId="71D9C52B">
            <w:pPr>
              <w:adjustRightInd w:val="0"/>
              <w:snapToGrid w:val="0"/>
              <w:rPr>
                <w:color w:val="auto"/>
                <w:sz w:val="24"/>
                <w:highlight w:val="none"/>
              </w:rPr>
            </w:pPr>
            <w:r>
              <w:rPr>
                <w:color w:val="auto"/>
                <w:sz w:val="24"/>
                <w:highlight w:val="none"/>
              </w:rPr>
              <w:t>项目审批（核准/备案）文号（选填）</w:t>
            </w:r>
          </w:p>
        </w:tc>
        <w:tc>
          <w:tcPr>
            <w:tcW w:w="2639" w:type="dxa"/>
            <w:vAlign w:val="center"/>
          </w:tcPr>
          <w:p w14:paraId="4A6DEA2C">
            <w:pPr>
              <w:adjustRightInd w:val="0"/>
              <w:snapToGrid w:val="0"/>
              <w:jc w:val="center"/>
              <w:rPr>
                <w:color w:val="auto"/>
                <w:sz w:val="24"/>
                <w:highlight w:val="none"/>
              </w:rPr>
            </w:pPr>
            <w:r>
              <w:rPr>
                <w:color w:val="auto"/>
                <w:sz w:val="24"/>
                <w:highlight w:val="none"/>
              </w:rPr>
              <w:t>/</w:t>
            </w:r>
          </w:p>
        </w:tc>
      </w:tr>
      <w:tr w14:paraId="5A5D2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9" w:type="dxa"/>
            <w:tcMar>
              <w:top w:w="16" w:type="dxa"/>
              <w:left w:w="16" w:type="dxa"/>
              <w:right w:w="16" w:type="dxa"/>
            </w:tcMar>
            <w:vAlign w:val="center"/>
          </w:tcPr>
          <w:p w14:paraId="003F3542">
            <w:pPr>
              <w:adjustRightInd w:val="0"/>
              <w:snapToGrid w:val="0"/>
              <w:jc w:val="center"/>
              <w:rPr>
                <w:color w:val="auto"/>
                <w:sz w:val="24"/>
                <w:highlight w:val="none"/>
              </w:rPr>
            </w:pPr>
            <w:r>
              <w:rPr>
                <w:color w:val="auto"/>
                <w:sz w:val="24"/>
                <w:highlight w:val="none"/>
              </w:rPr>
              <w:t>总投资（万元）</w:t>
            </w:r>
          </w:p>
        </w:tc>
        <w:tc>
          <w:tcPr>
            <w:tcW w:w="3000" w:type="dxa"/>
            <w:vAlign w:val="center"/>
          </w:tcPr>
          <w:p w14:paraId="13EAE2F2">
            <w:pPr>
              <w:adjustRightInd w:val="0"/>
              <w:snapToGrid w:val="0"/>
              <w:jc w:val="center"/>
              <w:rPr>
                <w:color w:val="auto"/>
                <w:sz w:val="24"/>
                <w:highlight w:val="none"/>
              </w:rPr>
            </w:pPr>
            <w:r>
              <w:rPr>
                <w:rFonts w:hint="eastAsia"/>
                <w:color w:val="auto"/>
                <w:sz w:val="24"/>
                <w:highlight w:val="none"/>
              </w:rPr>
              <w:t>300</w:t>
            </w:r>
          </w:p>
        </w:tc>
        <w:tc>
          <w:tcPr>
            <w:tcW w:w="2212" w:type="dxa"/>
            <w:tcMar>
              <w:top w:w="16" w:type="dxa"/>
              <w:left w:w="16" w:type="dxa"/>
              <w:right w:w="16" w:type="dxa"/>
            </w:tcMar>
            <w:vAlign w:val="center"/>
          </w:tcPr>
          <w:p w14:paraId="351119B6">
            <w:pPr>
              <w:adjustRightInd w:val="0"/>
              <w:snapToGrid w:val="0"/>
              <w:jc w:val="center"/>
              <w:rPr>
                <w:color w:val="auto"/>
                <w:sz w:val="24"/>
                <w:highlight w:val="none"/>
              </w:rPr>
            </w:pPr>
            <w:r>
              <w:rPr>
                <w:color w:val="auto"/>
                <w:sz w:val="24"/>
                <w:highlight w:val="none"/>
              </w:rPr>
              <w:t>环保投资（万元）</w:t>
            </w:r>
          </w:p>
        </w:tc>
        <w:tc>
          <w:tcPr>
            <w:tcW w:w="2639" w:type="dxa"/>
            <w:vAlign w:val="center"/>
          </w:tcPr>
          <w:p w14:paraId="6C141B03">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27.2</w:t>
            </w:r>
          </w:p>
        </w:tc>
      </w:tr>
      <w:tr w14:paraId="4405C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9" w:type="dxa"/>
            <w:tcMar>
              <w:top w:w="16" w:type="dxa"/>
              <w:left w:w="16" w:type="dxa"/>
              <w:right w:w="16" w:type="dxa"/>
            </w:tcMar>
            <w:vAlign w:val="center"/>
          </w:tcPr>
          <w:p w14:paraId="41DA01A3">
            <w:pPr>
              <w:adjustRightInd w:val="0"/>
              <w:snapToGrid w:val="0"/>
              <w:jc w:val="center"/>
              <w:rPr>
                <w:color w:val="auto"/>
                <w:sz w:val="24"/>
                <w:highlight w:val="none"/>
              </w:rPr>
            </w:pPr>
            <w:r>
              <w:rPr>
                <w:color w:val="auto"/>
                <w:sz w:val="24"/>
                <w:highlight w:val="none"/>
              </w:rPr>
              <w:t>环保投资占比（%）</w:t>
            </w:r>
          </w:p>
        </w:tc>
        <w:tc>
          <w:tcPr>
            <w:tcW w:w="3000" w:type="dxa"/>
            <w:vAlign w:val="center"/>
          </w:tcPr>
          <w:p w14:paraId="637DAC85">
            <w:pPr>
              <w:adjustRightInd w:val="0"/>
              <w:snapToGrid w:val="0"/>
              <w:jc w:val="center"/>
              <w:rPr>
                <w:color w:val="auto"/>
                <w:sz w:val="24"/>
                <w:highlight w:val="none"/>
              </w:rPr>
            </w:pPr>
            <w:r>
              <w:rPr>
                <w:rFonts w:hint="eastAsia"/>
                <w:color w:val="auto"/>
                <w:sz w:val="24"/>
                <w:highlight w:val="none"/>
                <w:lang w:val="en-US" w:eastAsia="zh-CN"/>
              </w:rPr>
              <w:t>9</w:t>
            </w:r>
            <w:r>
              <w:rPr>
                <w:rFonts w:hint="eastAsia"/>
                <w:color w:val="auto"/>
                <w:sz w:val="24"/>
                <w:highlight w:val="none"/>
              </w:rPr>
              <w:t>.06</w:t>
            </w:r>
          </w:p>
        </w:tc>
        <w:tc>
          <w:tcPr>
            <w:tcW w:w="2212" w:type="dxa"/>
            <w:tcMar>
              <w:top w:w="16" w:type="dxa"/>
              <w:left w:w="16" w:type="dxa"/>
              <w:right w:w="16" w:type="dxa"/>
            </w:tcMar>
            <w:vAlign w:val="center"/>
          </w:tcPr>
          <w:p w14:paraId="67505024">
            <w:pPr>
              <w:adjustRightInd w:val="0"/>
              <w:snapToGrid w:val="0"/>
              <w:jc w:val="center"/>
              <w:rPr>
                <w:color w:val="auto"/>
                <w:sz w:val="24"/>
                <w:highlight w:val="none"/>
              </w:rPr>
            </w:pPr>
            <w:r>
              <w:rPr>
                <w:color w:val="auto"/>
                <w:sz w:val="24"/>
                <w:highlight w:val="none"/>
              </w:rPr>
              <w:t>施工工期</w:t>
            </w:r>
          </w:p>
        </w:tc>
        <w:tc>
          <w:tcPr>
            <w:tcW w:w="2639" w:type="dxa"/>
            <w:vAlign w:val="center"/>
          </w:tcPr>
          <w:p w14:paraId="0F1F6F84">
            <w:pPr>
              <w:adjustRightInd w:val="0"/>
              <w:snapToGrid w:val="0"/>
              <w:jc w:val="center"/>
              <w:rPr>
                <w:color w:val="auto"/>
                <w:sz w:val="24"/>
                <w:highlight w:val="none"/>
              </w:rPr>
            </w:pPr>
            <w:r>
              <w:rPr>
                <w:rFonts w:hint="eastAsia"/>
                <w:color w:val="auto"/>
                <w:sz w:val="24"/>
                <w:highlight w:val="none"/>
              </w:rPr>
              <w:t>2</w:t>
            </w:r>
            <w:r>
              <w:rPr>
                <w:color w:val="auto"/>
                <w:sz w:val="24"/>
                <w:highlight w:val="none"/>
              </w:rPr>
              <w:t>个月</w:t>
            </w:r>
          </w:p>
        </w:tc>
      </w:tr>
      <w:tr w14:paraId="64FF0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9" w:type="dxa"/>
            <w:tcMar>
              <w:top w:w="16" w:type="dxa"/>
              <w:left w:w="16" w:type="dxa"/>
              <w:right w:w="16" w:type="dxa"/>
            </w:tcMar>
            <w:vAlign w:val="center"/>
          </w:tcPr>
          <w:p w14:paraId="2CA7F0D3">
            <w:pPr>
              <w:adjustRightInd w:val="0"/>
              <w:snapToGrid w:val="0"/>
              <w:jc w:val="center"/>
              <w:rPr>
                <w:color w:val="auto"/>
                <w:sz w:val="24"/>
                <w:highlight w:val="none"/>
              </w:rPr>
            </w:pPr>
            <w:r>
              <w:rPr>
                <w:color w:val="auto"/>
                <w:sz w:val="24"/>
                <w:highlight w:val="none"/>
              </w:rPr>
              <w:t>是否开工建设</w:t>
            </w:r>
          </w:p>
        </w:tc>
        <w:tc>
          <w:tcPr>
            <w:tcW w:w="3000" w:type="dxa"/>
            <w:vAlign w:val="center"/>
          </w:tcPr>
          <w:p w14:paraId="41CEA665">
            <w:pPr>
              <w:adjustRightInd w:val="0"/>
              <w:snapToGrid w:val="0"/>
              <w:rPr>
                <w:color w:val="auto"/>
                <w:sz w:val="24"/>
                <w:highlight w:val="none"/>
              </w:rPr>
            </w:pPr>
            <w:r>
              <w:rPr>
                <w:color w:val="auto"/>
                <w:sz w:val="24"/>
                <w:highlight w:val="none"/>
              </w:rPr>
              <w:sym w:font="Wingdings 2" w:char="0052"/>
            </w:r>
            <w:r>
              <w:rPr>
                <w:color w:val="auto"/>
                <w:sz w:val="24"/>
                <w:highlight w:val="none"/>
              </w:rPr>
              <w:t>否</w:t>
            </w:r>
          </w:p>
          <w:p w14:paraId="2FD23F11">
            <w:pPr>
              <w:adjustRightInd w:val="0"/>
              <w:snapToGrid w:val="0"/>
              <w:rPr>
                <w:color w:val="auto"/>
                <w:sz w:val="24"/>
                <w:highlight w:val="none"/>
              </w:rPr>
            </w:pPr>
            <w:r>
              <w:rPr>
                <w:color w:val="auto"/>
                <w:sz w:val="24"/>
                <w:highlight w:val="none"/>
              </w:rPr>
              <w:t>□是：</w:t>
            </w:r>
          </w:p>
        </w:tc>
        <w:tc>
          <w:tcPr>
            <w:tcW w:w="2212" w:type="dxa"/>
            <w:tcMar>
              <w:top w:w="16" w:type="dxa"/>
              <w:left w:w="16" w:type="dxa"/>
              <w:right w:w="16" w:type="dxa"/>
            </w:tcMar>
            <w:vAlign w:val="center"/>
          </w:tcPr>
          <w:p w14:paraId="2FCA48DE">
            <w:pPr>
              <w:adjustRightInd w:val="0"/>
              <w:snapToGrid w:val="0"/>
              <w:jc w:val="center"/>
              <w:rPr>
                <w:color w:val="auto"/>
                <w:sz w:val="24"/>
                <w:highlight w:val="none"/>
              </w:rPr>
            </w:pPr>
            <w:r>
              <w:rPr>
                <w:color w:val="auto"/>
                <w:spacing w:val="-6"/>
                <w:sz w:val="24"/>
                <w:highlight w:val="none"/>
              </w:rPr>
              <w:t>用地面积（m</w:t>
            </w:r>
            <w:r>
              <w:rPr>
                <w:color w:val="auto"/>
                <w:spacing w:val="-6"/>
                <w:sz w:val="24"/>
                <w:highlight w:val="none"/>
                <w:vertAlign w:val="superscript"/>
              </w:rPr>
              <w:t>2</w:t>
            </w:r>
            <w:r>
              <w:rPr>
                <w:color w:val="auto"/>
                <w:spacing w:val="-6"/>
                <w:sz w:val="24"/>
                <w:highlight w:val="none"/>
              </w:rPr>
              <w:t>）</w:t>
            </w:r>
          </w:p>
        </w:tc>
        <w:tc>
          <w:tcPr>
            <w:tcW w:w="2639" w:type="dxa"/>
            <w:vAlign w:val="center"/>
          </w:tcPr>
          <w:p w14:paraId="7E5A3061">
            <w:pPr>
              <w:adjustRightInd w:val="0"/>
              <w:snapToGrid w:val="0"/>
              <w:jc w:val="center"/>
              <w:rPr>
                <w:color w:val="auto"/>
                <w:sz w:val="24"/>
                <w:highlight w:val="none"/>
              </w:rPr>
            </w:pPr>
            <w:r>
              <w:rPr>
                <w:rFonts w:hint="eastAsia"/>
                <w:color w:val="auto"/>
                <w:sz w:val="24"/>
                <w:highlight w:val="none"/>
              </w:rPr>
              <w:t>4500</w:t>
            </w:r>
          </w:p>
        </w:tc>
      </w:tr>
      <w:tr w14:paraId="2B726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19" w:type="dxa"/>
            <w:vAlign w:val="center"/>
          </w:tcPr>
          <w:p w14:paraId="25DF2859">
            <w:pPr>
              <w:autoSpaceDE w:val="0"/>
              <w:autoSpaceDN w:val="0"/>
              <w:adjustRightInd w:val="0"/>
              <w:snapToGrid w:val="0"/>
              <w:jc w:val="center"/>
              <w:rPr>
                <w:color w:val="auto"/>
                <w:kern w:val="0"/>
                <w:sz w:val="24"/>
                <w:highlight w:val="none"/>
              </w:rPr>
            </w:pPr>
            <w:r>
              <w:rPr>
                <w:color w:val="auto"/>
                <w:kern w:val="0"/>
                <w:sz w:val="24"/>
                <w:highlight w:val="none"/>
              </w:rPr>
              <w:t>专项评价设置情况</w:t>
            </w:r>
          </w:p>
        </w:tc>
        <w:tc>
          <w:tcPr>
            <w:tcW w:w="7851" w:type="dxa"/>
            <w:gridSpan w:val="3"/>
            <w:vAlign w:val="center"/>
          </w:tcPr>
          <w:p w14:paraId="7D1BB818">
            <w:pPr>
              <w:autoSpaceDE w:val="0"/>
              <w:autoSpaceDN w:val="0"/>
              <w:adjustRightInd w:val="0"/>
              <w:snapToGrid w:val="0"/>
              <w:jc w:val="center"/>
              <w:rPr>
                <w:color w:val="auto"/>
                <w:kern w:val="0"/>
                <w:sz w:val="24"/>
                <w:highlight w:val="none"/>
              </w:rPr>
            </w:pPr>
            <w:r>
              <w:rPr>
                <w:color w:val="auto"/>
                <w:kern w:val="0"/>
                <w:sz w:val="24"/>
                <w:highlight w:val="none"/>
              </w:rPr>
              <w:t>无</w:t>
            </w:r>
          </w:p>
        </w:tc>
      </w:tr>
      <w:tr w14:paraId="0E34F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019" w:type="dxa"/>
            <w:vAlign w:val="center"/>
          </w:tcPr>
          <w:p w14:paraId="5E1E399A">
            <w:pPr>
              <w:autoSpaceDE w:val="0"/>
              <w:autoSpaceDN w:val="0"/>
              <w:adjustRightInd w:val="0"/>
              <w:snapToGrid w:val="0"/>
              <w:jc w:val="center"/>
              <w:rPr>
                <w:color w:val="auto"/>
                <w:kern w:val="0"/>
                <w:sz w:val="24"/>
                <w:highlight w:val="none"/>
              </w:rPr>
            </w:pPr>
            <w:r>
              <w:rPr>
                <w:color w:val="auto"/>
                <w:kern w:val="0"/>
                <w:sz w:val="24"/>
                <w:highlight w:val="none"/>
              </w:rPr>
              <w:t>规划情况</w:t>
            </w:r>
          </w:p>
        </w:tc>
        <w:tc>
          <w:tcPr>
            <w:tcW w:w="7851" w:type="dxa"/>
            <w:gridSpan w:val="3"/>
            <w:vAlign w:val="center"/>
          </w:tcPr>
          <w:p w14:paraId="4894C421">
            <w:pPr>
              <w:autoSpaceDE w:val="0"/>
              <w:autoSpaceDN w:val="0"/>
              <w:spacing w:before="120" w:beforeLines="50" w:line="360" w:lineRule="auto"/>
              <w:ind w:firstLine="480" w:firstLineChars="200"/>
              <w:rPr>
                <w:color w:val="auto"/>
                <w:highlight w:val="none"/>
              </w:rPr>
            </w:pPr>
            <w:r>
              <w:rPr>
                <w:color w:val="auto"/>
                <w:kern w:val="0"/>
                <w:sz w:val="24"/>
                <w:highlight w:val="none"/>
              </w:rPr>
              <w:t>《长春高新技术产业开发区分区规划（2018-2030）（部分区域）》</w:t>
            </w:r>
          </w:p>
        </w:tc>
      </w:tr>
      <w:tr w14:paraId="453B3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19" w:type="dxa"/>
            <w:vAlign w:val="center"/>
          </w:tcPr>
          <w:p w14:paraId="2013D30A">
            <w:pPr>
              <w:autoSpaceDE w:val="0"/>
              <w:autoSpaceDN w:val="0"/>
              <w:adjustRightInd w:val="0"/>
              <w:snapToGrid w:val="0"/>
              <w:jc w:val="center"/>
              <w:rPr>
                <w:color w:val="auto"/>
                <w:kern w:val="0"/>
                <w:sz w:val="24"/>
                <w:highlight w:val="none"/>
              </w:rPr>
            </w:pPr>
            <w:r>
              <w:rPr>
                <w:color w:val="auto"/>
                <w:kern w:val="0"/>
                <w:sz w:val="24"/>
                <w:highlight w:val="none"/>
              </w:rPr>
              <w:t>规划环境影响评价情况</w:t>
            </w:r>
          </w:p>
        </w:tc>
        <w:tc>
          <w:tcPr>
            <w:tcW w:w="7851" w:type="dxa"/>
            <w:gridSpan w:val="3"/>
            <w:vAlign w:val="center"/>
          </w:tcPr>
          <w:p w14:paraId="3393DBC2">
            <w:pPr>
              <w:autoSpaceDE w:val="0"/>
              <w:autoSpaceDN w:val="0"/>
              <w:spacing w:line="360" w:lineRule="auto"/>
              <w:ind w:firstLine="480" w:firstLineChars="200"/>
              <w:jc w:val="left"/>
              <w:rPr>
                <w:color w:val="auto"/>
                <w:kern w:val="0"/>
                <w:sz w:val="24"/>
                <w:highlight w:val="none"/>
              </w:rPr>
            </w:pPr>
            <w:r>
              <w:rPr>
                <w:rFonts w:hint="eastAsia"/>
                <w:color w:val="auto"/>
                <w:kern w:val="0"/>
                <w:sz w:val="24"/>
                <w:highlight w:val="none"/>
              </w:rPr>
              <w:t>规划环境影响评价文件名称：《长春高新技术产业开发区分区规划（2018-2030）（部分区域）环境影响报告书》</w:t>
            </w:r>
          </w:p>
          <w:p w14:paraId="4A627300">
            <w:pPr>
              <w:autoSpaceDE w:val="0"/>
              <w:autoSpaceDN w:val="0"/>
              <w:spacing w:line="360" w:lineRule="auto"/>
              <w:ind w:firstLine="480" w:firstLineChars="200"/>
              <w:jc w:val="left"/>
              <w:rPr>
                <w:color w:val="auto"/>
                <w:kern w:val="0"/>
                <w:sz w:val="24"/>
                <w:highlight w:val="none"/>
              </w:rPr>
            </w:pPr>
            <w:r>
              <w:rPr>
                <w:rFonts w:hint="eastAsia"/>
                <w:color w:val="auto"/>
                <w:kern w:val="0"/>
                <w:sz w:val="24"/>
                <w:highlight w:val="none"/>
              </w:rPr>
              <w:t>审查机关：吉林省生态环境厅</w:t>
            </w:r>
          </w:p>
          <w:p w14:paraId="3DE29274">
            <w:pPr>
              <w:autoSpaceDE w:val="0"/>
              <w:autoSpaceDN w:val="0"/>
              <w:spacing w:line="360" w:lineRule="auto"/>
              <w:ind w:firstLine="480" w:firstLineChars="200"/>
              <w:jc w:val="left"/>
              <w:rPr>
                <w:color w:val="auto"/>
                <w:kern w:val="0"/>
                <w:sz w:val="24"/>
                <w:highlight w:val="none"/>
              </w:rPr>
            </w:pPr>
            <w:r>
              <w:rPr>
                <w:rFonts w:hint="eastAsia"/>
                <w:color w:val="auto"/>
                <w:kern w:val="0"/>
                <w:sz w:val="24"/>
                <w:highlight w:val="none"/>
              </w:rPr>
              <w:t>审查文件名称及文号：《吉林省生态环境厅关于长春高新技术产业开发区分区规划（2018-2030）（部分区域）环境影响报告书》审查意见的函（吉环函〔2019〕556号）</w:t>
            </w:r>
          </w:p>
          <w:p w14:paraId="3819429C">
            <w:pPr>
              <w:autoSpaceDE w:val="0"/>
              <w:autoSpaceDN w:val="0"/>
              <w:spacing w:line="360" w:lineRule="auto"/>
              <w:ind w:firstLine="480" w:firstLineChars="200"/>
              <w:jc w:val="left"/>
              <w:rPr>
                <w:color w:val="auto"/>
                <w:kern w:val="0"/>
                <w:sz w:val="24"/>
                <w:highlight w:val="none"/>
              </w:rPr>
            </w:pPr>
            <w:r>
              <w:rPr>
                <w:rFonts w:hint="eastAsia"/>
                <w:color w:val="auto"/>
                <w:kern w:val="0"/>
                <w:sz w:val="24"/>
                <w:highlight w:val="none"/>
              </w:rPr>
              <w:t>文件名称：《长春高新技术产业开发区区域规划环境影响跟踪评价报告书》审批机关：吉林省生态环境厅</w:t>
            </w:r>
          </w:p>
          <w:p w14:paraId="3C1D25AD">
            <w:pPr>
              <w:autoSpaceDE w:val="0"/>
              <w:autoSpaceDN w:val="0"/>
              <w:spacing w:line="360" w:lineRule="auto"/>
              <w:ind w:firstLine="480" w:firstLineChars="200"/>
              <w:jc w:val="left"/>
              <w:rPr>
                <w:color w:val="auto"/>
                <w:kern w:val="0"/>
                <w:sz w:val="24"/>
                <w:highlight w:val="none"/>
              </w:rPr>
            </w:pPr>
            <w:r>
              <w:rPr>
                <w:rFonts w:hint="eastAsia"/>
                <w:color w:val="auto"/>
                <w:kern w:val="0"/>
                <w:sz w:val="24"/>
                <w:highlight w:val="none"/>
              </w:rPr>
              <w:t>审查文件名称及文号：吉林省环境保护厅关于《长春高新技术产业开发区区域规划环境影响跟踪评价报告书的审查意见》（吉环环评字〔2021〕44号）；</w:t>
            </w:r>
          </w:p>
        </w:tc>
      </w:tr>
      <w:tr w14:paraId="05F06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9" w:type="dxa"/>
            <w:vAlign w:val="center"/>
          </w:tcPr>
          <w:p w14:paraId="0ACE9862">
            <w:pPr>
              <w:autoSpaceDE w:val="0"/>
              <w:autoSpaceDN w:val="0"/>
              <w:adjustRightInd w:val="0"/>
              <w:snapToGrid w:val="0"/>
              <w:jc w:val="center"/>
              <w:rPr>
                <w:color w:val="auto"/>
                <w:kern w:val="0"/>
                <w:sz w:val="24"/>
                <w:highlight w:val="none"/>
              </w:rPr>
            </w:pPr>
            <w:r>
              <w:rPr>
                <w:color w:val="auto"/>
                <w:kern w:val="0"/>
                <w:sz w:val="24"/>
                <w:highlight w:val="none"/>
              </w:rPr>
              <w:t>规划及规划环境影响评价符合性分析</w:t>
            </w:r>
          </w:p>
        </w:tc>
        <w:tc>
          <w:tcPr>
            <w:tcW w:w="7851" w:type="dxa"/>
            <w:gridSpan w:val="3"/>
            <w:vAlign w:val="center"/>
          </w:tcPr>
          <w:p w14:paraId="32B89203">
            <w:pPr>
              <w:keepNext/>
              <w:tabs>
                <w:tab w:val="left" w:pos="0"/>
              </w:tabs>
              <w:spacing w:line="360" w:lineRule="auto"/>
              <w:ind w:firstLine="482" w:firstLineChars="200"/>
              <w:rPr>
                <w:b/>
                <w:bCs/>
                <w:color w:val="auto"/>
                <w:sz w:val="24"/>
                <w:highlight w:val="none"/>
              </w:rPr>
            </w:pPr>
            <w:r>
              <w:rPr>
                <w:b/>
                <w:bCs/>
                <w:color w:val="auto"/>
                <w:sz w:val="24"/>
                <w:highlight w:val="none"/>
              </w:rPr>
              <w:t>1、规划符合性分析</w:t>
            </w:r>
          </w:p>
          <w:p w14:paraId="6DC64F95">
            <w:pPr>
              <w:autoSpaceDE w:val="0"/>
              <w:autoSpaceDN w:val="0"/>
              <w:spacing w:line="360" w:lineRule="auto"/>
              <w:ind w:firstLine="480" w:firstLineChars="200"/>
              <w:jc w:val="left"/>
              <w:rPr>
                <w:color w:val="auto"/>
                <w:kern w:val="0"/>
                <w:sz w:val="24"/>
                <w:highlight w:val="none"/>
              </w:rPr>
            </w:pPr>
            <w:r>
              <w:rPr>
                <w:rFonts w:hint="eastAsia"/>
                <w:color w:val="auto"/>
                <w:kern w:val="0"/>
                <w:sz w:val="24"/>
                <w:highlight w:val="none"/>
              </w:rPr>
              <w:t>开发区分为北部产业片区、东部产业片区、西部产业片区、中部产业片区、南部产业片区。</w:t>
            </w:r>
          </w:p>
          <w:p w14:paraId="6BE806CE">
            <w:pPr>
              <w:autoSpaceDE w:val="0"/>
              <w:autoSpaceDN w:val="0"/>
              <w:spacing w:line="360" w:lineRule="auto"/>
              <w:ind w:firstLine="480" w:firstLineChars="200"/>
              <w:jc w:val="left"/>
              <w:rPr>
                <w:color w:val="auto"/>
                <w:kern w:val="0"/>
                <w:sz w:val="24"/>
                <w:highlight w:val="none"/>
              </w:rPr>
            </w:pPr>
            <w:r>
              <w:rPr>
                <w:rFonts w:hint="eastAsia"/>
                <w:color w:val="auto"/>
                <w:kern w:val="0"/>
                <w:sz w:val="24"/>
                <w:highlight w:val="none"/>
              </w:rPr>
              <w:t>本项目位于</w:t>
            </w:r>
            <w:r>
              <w:rPr>
                <w:color w:val="auto"/>
                <w:sz w:val="24"/>
                <w:highlight w:val="none"/>
              </w:rPr>
              <w:t>长春市高新开发区光谷大街866号1号办公楼</w:t>
            </w:r>
            <w:r>
              <w:rPr>
                <w:rFonts w:hint="eastAsia"/>
                <w:color w:val="auto"/>
                <w:kern w:val="0"/>
                <w:sz w:val="24"/>
                <w:highlight w:val="none"/>
              </w:rPr>
              <w:t>，属于北部产业片区，该片区规划期内维持现有的以光电子与信息产业、汽车及零部件产业为主导产业，新能源材料为辅的综合性产业园区。</w:t>
            </w:r>
            <w:r>
              <w:rPr>
                <w:rFonts w:hint="eastAsia"/>
                <w:color w:val="auto"/>
                <w:kern w:val="0"/>
                <w:sz w:val="24"/>
                <w:highlight w:val="none"/>
                <w:lang w:eastAsia="zh-CN"/>
              </w:rPr>
              <w:t>根据</w:t>
            </w:r>
            <w:r>
              <w:rPr>
                <w:rFonts w:hint="eastAsia"/>
                <w:color w:val="auto"/>
                <w:kern w:val="0"/>
                <w:sz w:val="24"/>
                <w:highlight w:val="none"/>
              </w:rPr>
              <w:t>《长春高新技术产业开发区分区规划（2018-2030）（部分区域）环境影响报告书》</w:t>
            </w:r>
            <w:r>
              <w:rPr>
                <w:rFonts w:hint="eastAsia"/>
                <w:color w:val="auto"/>
                <w:kern w:val="0"/>
                <w:sz w:val="24"/>
                <w:highlight w:val="none"/>
                <w:lang w:eastAsia="zh-CN"/>
              </w:rPr>
              <w:t>中规划产业结构合理性分析“关于北部产业片区，</w:t>
            </w:r>
            <w:r>
              <w:rPr>
                <w:rFonts w:hint="eastAsia"/>
                <w:color w:val="auto"/>
                <w:kern w:val="0"/>
                <w:sz w:val="24"/>
                <w:highlight w:val="none"/>
                <w:lang w:val="en-US" w:eastAsia="zh-CN"/>
              </w:rPr>
              <w:t>近期将维持现有的工业企业不变，中远期企业全部外迁，发展现代服务业</w:t>
            </w:r>
            <w:r>
              <w:rPr>
                <w:rFonts w:hint="eastAsia"/>
                <w:color w:val="auto"/>
                <w:kern w:val="0"/>
                <w:sz w:val="24"/>
                <w:highlight w:val="none"/>
                <w:lang w:eastAsia="zh-CN"/>
              </w:rPr>
              <w:t>”</w:t>
            </w:r>
            <w:r>
              <w:rPr>
                <w:rFonts w:hint="eastAsia"/>
                <w:color w:val="auto"/>
                <w:kern w:val="0"/>
                <w:sz w:val="24"/>
                <w:highlight w:val="none"/>
              </w:rPr>
              <w:t>。本项目</w:t>
            </w:r>
            <w:r>
              <w:rPr>
                <w:rFonts w:hint="eastAsia"/>
                <w:color w:val="auto"/>
                <w:kern w:val="0"/>
                <w:sz w:val="24"/>
                <w:highlight w:val="none"/>
                <w:lang w:eastAsia="zh-CN"/>
              </w:rPr>
              <w:t>为</w:t>
            </w:r>
            <w:r>
              <w:rPr>
                <w:rFonts w:hint="eastAsia"/>
                <w:color w:val="auto"/>
                <w:kern w:val="0"/>
                <w:sz w:val="24"/>
                <w:highlight w:val="none"/>
              </w:rPr>
              <w:t>综合医院建设项目，属于国家统计局令36号《现代服务业统计分类》（2023年7月14日）中“现代生活服务业”中的医疗健康服务，符合北部片区</w:t>
            </w:r>
            <w:r>
              <w:rPr>
                <w:rFonts w:hint="eastAsia"/>
                <w:color w:val="auto"/>
                <w:kern w:val="0"/>
                <w:sz w:val="24"/>
                <w:highlight w:val="none"/>
                <w:lang w:eastAsia="zh-CN"/>
              </w:rPr>
              <w:t>远期</w:t>
            </w:r>
            <w:r>
              <w:rPr>
                <w:rFonts w:hint="eastAsia"/>
                <w:color w:val="auto"/>
                <w:kern w:val="0"/>
                <w:sz w:val="24"/>
                <w:highlight w:val="none"/>
              </w:rPr>
              <w:t>规划发展定位要求。</w:t>
            </w:r>
            <w:r>
              <w:rPr>
                <w:rFonts w:hint="eastAsia"/>
                <w:color w:val="auto"/>
                <w:kern w:val="0"/>
                <w:sz w:val="24"/>
                <w:highlight w:val="none"/>
              </w:rPr>
              <w:t>项目与开发区规划相对位置关系详见附图2。</w:t>
            </w:r>
          </w:p>
          <w:p w14:paraId="3F59FA75">
            <w:pPr>
              <w:keepNext/>
              <w:tabs>
                <w:tab w:val="left" w:pos="0"/>
              </w:tabs>
              <w:spacing w:line="360" w:lineRule="auto"/>
              <w:ind w:firstLine="482" w:firstLineChars="200"/>
              <w:rPr>
                <w:b/>
                <w:bCs/>
                <w:color w:val="auto"/>
                <w:sz w:val="24"/>
                <w:highlight w:val="none"/>
              </w:rPr>
            </w:pPr>
            <w:r>
              <w:rPr>
                <w:rFonts w:hint="eastAsia"/>
                <w:b/>
                <w:bCs/>
                <w:color w:val="auto"/>
                <w:sz w:val="24"/>
                <w:highlight w:val="none"/>
              </w:rPr>
              <w:t>2、规划环评符合性分析</w:t>
            </w:r>
          </w:p>
          <w:p w14:paraId="79EA2A73">
            <w:pPr>
              <w:keepNext/>
              <w:tabs>
                <w:tab w:val="left" w:pos="0"/>
              </w:tabs>
              <w:spacing w:line="360" w:lineRule="auto"/>
              <w:ind w:firstLine="480" w:firstLineChars="200"/>
              <w:rPr>
                <w:color w:val="auto"/>
                <w:sz w:val="24"/>
                <w:highlight w:val="none"/>
              </w:rPr>
            </w:pPr>
            <w:r>
              <w:rPr>
                <w:rFonts w:hint="eastAsia"/>
                <w:color w:val="auto"/>
                <w:sz w:val="24"/>
                <w:highlight w:val="none"/>
              </w:rPr>
              <w:t>项目与《长春高新技术产业开发区分区规划（2018-2030）（部分区域）》及《吉林省生态环境厅关于长春高新技术产业开发区分区规划（2018-2030）（部分区域）环境影响报告书》审查意见的函（吉环函〔2019〕556号）相符性分析详见下表：</w:t>
            </w:r>
          </w:p>
          <w:p w14:paraId="276B76B7">
            <w:pPr>
              <w:pStyle w:val="8"/>
              <w:widowControl/>
              <w:tabs>
                <w:tab w:val="left" w:pos="2880"/>
                <w:tab w:val="left" w:pos="6300"/>
              </w:tabs>
              <w:snapToGrid w:val="0"/>
              <w:spacing w:before="0" w:after="0" w:line="240" w:lineRule="auto"/>
              <w:textAlignment w:val="auto"/>
              <w:rPr>
                <w:rFonts w:ascii="Times New Roman" w:hAnsi="Times New Roman" w:eastAsia="宋体"/>
                <w:b/>
                <w:bCs/>
                <w:color w:val="auto"/>
                <w:spacing w:val="-11"/>
                <w:kern w:val="2"/>
                <w:sz w:val="21"/>
                <w:szCs w:val="21"/>
                <w:highlight w:val="none"/>
              </w:rPr>
            </w:pPr>
            <w:r>
              <w:rPr>
                <w:rFonts w:hint="eastAsia" w:ascii="Times New Roman" w:hAnsi="Times New Roman" w:eastAsia="宋体"/>
                <w:b/>
                <w:bCs/>
                <w:color w:val="auto"/>
                <w:spacing w:val="-11"/>
                <w:kern w:val="2"/>
                <w:szCs w:val="24"/>
                <w:highlight w:val="none"/>
              </w:rPr>
              <w:t>表1-1与《长春高新技术产业开发区分区规划（2018-2030）（部分区域）》相符性分析</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4840"/>
              <w:gridCol w:w="1271"/>
              <w:gridCol w:w="874"/>
            </w:tblGrid>
            <w:tr w14:paraId="46803F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pct"/>
                  <w:vAlign w:val="center"/>
                </w:tcPr>
                <w:p w14:paraId="60B6048C">
                  <w:pPr>
                    <w:jc w:val="center"/>
                    <w:rPr>
                      <w:color w:val="auto"/>
                      <w:highlight w:val="none"/>
                    </w:rPr>
                  </w:pPr>
                  <w:r>
                    <w:rPr>
                      <w:rFonts w:hint="eastAsia"/>
                      <w:color w:val="auto"/>
                      <w:highlight w:val="none"/>
                    </w:rPr>
                    <w:t>类别</w:t>
                  </w:r>
                </w:p>
              </w:tc>
              <w:tc>
                <w:tcPr>
                  <w:tcW w:w="3169" w:type="pct"/>
                  <w:vAlign w:val="center"/>
                </w:tcPr>
                <w:p w14:paraId="41D9664C">
                  <w:pPr>
                    <w:jc w:val="center"/>
                    <w:rPr>
                      <w:color w:val="auto"/>
                      <w:highlight w:val="none"/>
                    </w:rPr>
                  </w:pPr>
                  <w:r>
                    <w:rPr>
                      <w:rFonts w:hint="eastAsia"/>
                      <w:color w:val="auto"/>
                      <w:highlight w:val="none"/>
                    </w:rPr>
                    <w:t>规划环评要求</w:t>
                  </w:r>
                </w:p>
              </w:tc>
              <w:tc>
                <w:tcPr>
                  <w:tcW w:w="832" w:type="pct"/>
                  <w:vAlign w:val="center"/>
                </w:tcPr>
                <w:p w14:paraId="4C36399D">
                  <w:pPr>
                    <w:jc w:val="center"/>
                    <w:rPr>
                      <w:color w:val="auto"/>
                      <w:highlight w:val="none"/>
                    </w:rPr>
                  </w:pPr>
                  <w:r>
                    <w:rPr>
                      <w:rFonts w:hint="eastAsia"/>
                      <w:color w:val="auto"/>
                      <w:highlight w:val="none"/>
                    </w:rPr>
                    <w:t>本项目</w:t>
                  </w:r>
                </w:p>
              </w:tc>
              <w:tc>
                <w:tcPr>
                  <w:tcW w:w="572" w:type="pct"/>
                  <w:vAlign w:val="center"/>
                </w:tcPr>
                <w:p w14:paraId="574D2B3A">
                  <w:pPr>
                    <w:jc w:val="center"/>
                    <w:rPr>
                      <w:color w:val="auto"/>
                      <w:highlight w:val="none"/>
                    </w:rPr>
                  </w:pPr>
                  <w:r>
                    <w:rPr>
                      <w:rFonts w:hint="eastAsia"/>
                      <w:color w:val="auto"/>
                      <w:highlight w:val="none"/>
                    </w:rPr>
                    <w:t>符合性</w:t>
                  </w:r>
                </w:p>
              </w:tc>
            </w:tr>
            <w:tr w14:paraId="379A1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pct"/>
                  <w:vAlign w:val="center"/>
                </w:tcPr>
                <w:p w14:paraId="4104FC97">
                  <w:pPr>
                    <w:jc w:val="center"/>
                    <w:rPr>
                      <w:color w:val="auto"/>
                      <w:highlight w:val="none"/>
                    </w:rPr>
                  </w:pPr>
                  <w:r>
                    <w:rPr>
                      <w:rFonts w:hint="eastAsia"/>
                      <w:color w:val="auto"/>
                      <w:highlight w:val="none"/>
                    </w:rPr>
                    <w:t>产业定位相符性</w:t>
                  </w:r>
                </w:p>
              </w:tc>
              <w:tc>
                <w:tcPr>
                  <w:tcW w:w="3169" w:type="pct"/>
                  <w:vAlign w:val="center"/>
                </w:tcPr>
                <w:p w14:paraId="775AF2C3">
                  <w:pPr>
                    <w:jc w:val="center"/>
                    <w:rPr>
                      <w:color w:val="auto"/>
                      <w:highlight w:val="none"/>
                    </w:rPr>
                  </w:pPr>
                  <w:r>
                    <w:rPr>
                      <w:rFonts w:hint="eastAsia"/>
                      <w:color w:val="auto"/>
                      <w:highlight w:val="none"/>
                    </w:rPr>
                    <w:t>长春高新技术产业开发区包括北部、东部、西部、中部、南部等5个产业片区。其中，北部产业片区重点发展以光电子与信息产业、汽车及零部件等产业为主，新能源材料为辅的相关产业；东部产业片区重点发展动漫、生物与医药和汽车及零部件等相关产业；西部产业片区重点发展以汽车及零部件为主，以光电子与信息为辅的相关产业；中部产业片区重点发展以生物与医药制造、汽车及零部件、光电子与信息为主，电气机械和设备制造、软件及服务外包为辅的相关产业；南部产业片区重点发展以生物与医药、汽车及零部件、智能制造为主，动漫及相关产业、软件及外包服务产业为辅的相关产业。目前，北部、东部、西部和中部等4个产业片区已基本开发完全，其中，国家级开发区位于东、中、西部等3个产业片区内，均属于建成区，此次用地性质和产业布局均未发生变化。</w:t>
                  </w:r>
                </w:p>
              </w:tc>
              <w:tc>
                <w:tcPr>
                  <w:tcW w:w="832" w:type="pct"/>
                  <w:vAlign w:val="center"/>
                </w:tcPr>
                <w:p w14:paraId="77200EBC">
                  <w:pPr>
                    <w:jc w:val="center"/>
                    <w:rPr>
                      <w:color w:val="auto"/>
                      <w:highlight w:val="none"/>
                    </w:rPr>
                  </w:pPr>
                  <w:r>
                    <w:rPr>
                      <w:rFonts w:hint="eastAsia"/>
                      <w:color w:val="auto"/>
                      <w:highlight w:val="none"/>
                    </w:rPr>
                    <w:t>项目位于长春市高新开发区光谷大街866号，本项目属于现代服务业，符合北部片区规划发展定位要求。</w:t>
                  </w:r>
                </w:p>
              </w:tc>
              <w:tc>
                <w:tcPr>
                  <w:tcW w:w="572" w:type="pct"/>
                  <w:vAlign w:val="center"/>
                </w:tcPr>
                <w:p w14:paraId="23E231B8">
                  <w:pPr>
                    <w:jc w:val="center"/>
                    <w:rPr>
                      <w:color w:val="auto"/>
                      <w:highlight w:val="none"/>
                    </w:rPr>
                  </w:pPr>
                  <w:r>
                    <w:rPr>
                      <w:rFonts w:hint="eastAsia"/>
                      <w:color w:val="auto"/>
                      <w:highlight w:val="none"/>
                    </w:rPr>
                    <w:t>符合</w:t>
                  </w:r>
                </w:p>
              </w:tc>
            </w:tr>
            <w:tr w14:paraId="25B1A7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pct"/>
                  <w:vAlign w:val="center"/>
                </w:tcPr>
                <w:p w14:paraId="2D797BBD">
                  <w:pPr>
                    <w:jc w:val="center"/>
                    <w:rPr>
                      <w:color w:val="auto"/>
                      <w:highlight w:val="none"/>
                    </w:rPr>
                  </w:pPr>
                  <w:r>
                    <w:rPr>
                      <w:rFonts w:hint="eastAsia"/>
                      <w:color w:val="auto"/>
                      <w:highlight w:val="none"/>
                    </w:rPr>
                    <w:t>环境准入负面清单</w:t>
                  </w:r>
                </w:p>
              </w:tc>
              <w:tc>
                <w:tcPr>
                  <w:tcW w:w="3169" w:type="pct"/>
                  <w:vAlign w:val="center"/>
                </w:tcPr>
                <w:p w14:paraId="288CC493">
                  <w:pPr>
                    <w:jc w:val="center"/>
                    <w:rPr>
                      <w:color w:val="auto"/>
                      <w:highlight w:val="none"/>
                    </w:rPr>
                  </w:pPr>
                  <w:r>
                    <w:rPr>
                      <w:rFonts w:hint="eastAsia"/>
                      <w:color w:val="auto"/>
                      <w:highlight w:val="none"/>
                    </w:rPr>
                    <w:t>工业项目应符合产业政策，不得采用国家、省和本市淘汰的或禁止使用的工艺、技术和设备，不得建设生产工艺或污染防治技术不成熟的项目；限制列入环境保护综合名录（2015年版）的高污染、高环境风险产品的生产。</w:t>
                  </w:r>
                </w:p>
              </w:tc>
              <w:tc>
                <w:tcPr>
                  <w:tcW w:w="832" w:type="pct"/>
                  <w:vAlign w:val="center"/>
                </w:tcPr>
                <w:p w14:paraId="3B5DF6BF">
                  <w:pPr>
                    <w:jc w:val="center"/>
                    <w:rPr>
                      <w:color w:val="auto"/>
                      <w:highlight w:val="none"/>
                    </w:rPr>
                  </w:pPr>
                  <w:r>
                    <w:rPr>
                      <w:rFonts w:hint="eastAsia"/>
                      <w:color w:val="auto"/>
                      <w:highlight w:val="none"/>
                    </w:rPr>
                    <w:t>项目不涉及高污染、高环境风险产品的生产。</w:t>
                  </w:r>
                </w:p>
              </w:tc>
              <w:tc>
                <w:tcPr>
                  <w:tcW w:w="572" w:type="pct"/>
                  <w:vAlign w:val="center"/>
                </w:tcPr>
                <w:p w14:paraId="1ECFD1D5">
                  <w:pPr>
                    <w:jc w:val="center"/>
                    <w:rPr>
                      <w:color w:val="auto"/>
                      <w:highlight w:val="none"/>
                    </w:rPr>
                  </w:pPr>
                  <w:r>
                    <w:rPr>
                      <w:rFonts w:hint="eastAsia"/>
                      <w:color w:val="auto"/>
                      <w:highlight w:val="none"/>
                    </w:rPr>
                    <w:t>符合</w:t>
                  </w:r>
                </w:p>
              </w:tc>
            </w:tr>
            <w:tr w14:paraId="784D0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pct"/>
                  <w:vAlign w:val="center"/>
                </w:tcPr>
                <w:p w14:paraId="2B629349">
                  <w:pPr>
                    <w:jc w:val="center"/>
                    <w:rPr>
                      <w:color w:val="auto"/>
                      <w:highlight w:val="none"/>
                    </w:rPr>
                  </w:pPr>
                  <w:r>
                    <w:rPr>
                      <w:rFonts w:hint="eastAsia"/>
                      <w:color w:val="auto"/>
                      <w:highlight w:val="none"/>
                    </w:rPr>
                    <w:t>给水工程</w:t>
                  </w:r>
                </w:p>
              </w:tc>
              <w:tc>
                <w:tcPr>
                  <w:tcW w:w="3169" w:type="pct"/>
                  <w:vAlign w:val="center"/>
                </w:tcPr>
                <w:p w14:paraId="7FB93121">
                  <w:pPr>
                    <w:jc w:val="center"/>
                    <w:rPr>
                      <w:color w:val="auto"/>
                      <w:highlight w:val="none"/>
                    </w:rPr>
                  </w:pPr>
                  <w:r>
                    <w:rPr>
                      <w:rFonts w:hint="eastAsia"/>
                      <w:color w:val="auto"/>
                      <w:highlight w:val="none"/>
                    </w:rPr>
                    <w:t>高新分区现状依靠长春第三净水厂区内供水，供水规模22万m</w:t>
                  </w:r>
                  <w:r>
                    <w:rPr>
                      <w:rFonts w:hint="eastAsia"/>
                      <w:color w:val="auto"/>
                      <w:highlight w:val="none"/>
                      <w:vertAlign w:val="superscript"/>
                    </w:rPr>
                    <w:t>3</w:t>
                  </w:r>
                  <w:r>
                    <w:rPr>
                      <w:rFonts w:hint="eastAsia"/>
                      <w:color w:val="auto"/>
                      <w:highlight w:val="none"/>
                    </w:rPr>
                    <w:t>/d，也是全市最重要的区域水厂，水源为新立城水库。区内主干供水管网已形成，前进大街、飞跃路、超越大街、超达大街、锦湖大路等铺有区域主干供水管道，管径DN800～DN1200mm。</w:t>
                  </w:r>
                </w:p>
              </w:tc>
              <w:tc>
                <w:tcPr>
                  <w:tcW w:w="832" w:type="pct"/>
                  <w:vAlign w:val="center"/>
                </w:tcPr>
                <w:p w14:paraId="7E9EC87A">
                  <w:pPr>
                    <w:jc w:val="center"/>
                    <w:rPr>
                      <w:color w:val="auto"/>
                      <w:highlight w:val="none"/>
                    </w:rPr>
                  </w:pPr>
                  <w:r>
                    <w:rPr>
                      <w:rFonts w:hint="eastAsia"/>
                      <w:color w:val="auto"/>
                      <w:highlight w:val="none"/>
                    </w:rPr>
                    <w:t>项目由市政管网供水，用水量较小。</w:t>
                  </w:r>
                </w:p>
              </w:tc>
              <w:tc>
                <w:tcPr>
                  <w:tcW w:w="572" w:type="pct"/>
                  <w:vAlign w:val="center"/>
                </w:tcPr>
                <w:p w14:paraId="2C7DFC83">
                  <w:pPr>
                    <w:jc w:val="center"/>
                    <w:rPr>
                      <w:color w:val="auto"/>
                      <w:highlight w:val="none"/>
                    </w:rPr>
                  </w:pPr>
                  <w:r>
                    <w:rPr>
                      <w:rFonts w:hint="eastAsia"/>
                      <w:color w:val="auto"/>
                      <w:highlight w:val="none"/>
                    </w:rPr>
                    <w:t>符合</w:t>
                  </w:r>
                </w:p>
              </w:tc>
            </w:tr>
            <w:tr w14:paraId="512161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pct"/>
                  <w:vAlign w:val="center"/>
                </w:tcPr>
                <w:p w14:paraId="3D486276">
                  <w:pPr>
                    <w:jc w:val="center"/>
                    <w:rPr>
                      <w:color w:val="auto"/>
                      <w:highlight w:val="none"/>
                    </w:rPr>
                  </w:pPr>
                  <w:r>
                    <w:rPr>
                      <w:rFonts w:hint="eastAsia"/>
                      <w:color w:val="auto"/>
                      <w:highlight w:val="none"/>
                    </w:rPr>
                    <w:t>排水工程</w:t>
                  </w:r>
                </w:p>
              </w:tc>
              <w:tc>
                <w:tcPr>
                  <w:tcW w:w="3169" w:type="pct"/>
                  <w:vAlign w:val="center"/>
                </w:tcPr>
                <w:p w14:paraId="1CF628B4">
                  <w:pPr>
                    <w:jc w:val="center"/>
                    <w:rPr>
                      <w:color w:val="auto"/>
                      <w:highlight w:val="none"/>
                    </w:rPr>
                  </w:pPr>
                  <w:r>
                    <w:rPr>
                      <w:rFonts w:hint="eastAsia"/>
                      <w:color w:val="auto"/>
                      <w:highlight w:val="none"/>
                    </w:rPr>
                    <w:t>高新区现状排水去向为2座已建污水处理厂—南部污水处理厂（高新范围内）和南部污水处理厂（高新范围外），两水厂现状处理规模分别为15万t/d和10万t/d，其中南部污水处理厂另有中水回用处理工艺，处理规模5万t/d。</w:t>
                  </w:r>
                </w:p>
              </w:tc>
              <w:tc>
                <w:tcPr>
                  <w:tcW w:w="832" w:type="pct"/>
                  <w:vAlign w:val="center"/>
                </w:tcPr>
                <w:p w14:paraId="2A844115">
                  <w:pPr>
                    <w:jc w:val="center"/>
                    <w:rPr>
                      <w:color w:val="auto"/>
                      <w:highlight w:val="none"/>
                    </w:rPr>
                  </w:pPr>
                  <w:r>
                    <w:rPr>
                      <w:rFonts w:hint="eastAsia"/>
                      <w:color w:val="auto"/>
                      <w:highlight w:val="none"/>
                    </w:rPr>
                    <w:t>项目废水经市政管网排入长春市南部污水处理厂处理。</w:t>
                  </w:r>
                </w:p>
              </w:tc>
              <w:tc>
                <w:tcPr>
                  <w:tcW w:w="572" w:type="pct"/>
                  <w:vAlign w:val="center"/>
                </w:tcPr>
                <w:p w14:paraId="2EC1853E">
                  <w:pPr>
                    <w:jc w:val="center"/>
                    <w:rPr>
                      <w:color w:val="auto"/>
                      <w:highlight w:val="none"/>
                    </w:rPr>
                  </w:pPr>
                  <w:r>
                    <w:rPr>
                      <w:rFonts w:hint="eastAsia"/>
                      <w:color w:val="auto"/>
                      <w:highlight w:val="none"/>
                    </w:rPr>
                    <w:t>符合</w:t>
                  </w:r>
                </w:p>
              </w:tc>
            </w:tr>
            <w:tr w14:paraId="6B1420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pct"/>
                  <w:vAlign w:val="center"/>
                </w:tcPr>
                <w:p w14:paraId="08A0C4FE">
                  <w:pPr>
                    <w:jc w:val="center"/>
                    <w:rPr>
                      <w:color w:val="auto"/>
                      <w:highlight w:val="none"/>
                    </w:rPr>
                  </w:pPr>
                  <w:r>
                    <w:rPr>
                      <w:rFonts w:hint="eastAsia"/>
                      <w:color w:val="auto"/>
                      <w:highlight w:val="none"/>
                    </w:rPr>
                    <w:t>供热工程</w:t>
                  </w:r>
                </w:p>
              </w:tc>
              <w:tc>
                <w:tcPr>
                  <w:tcW w:w="3169" w:type="pct"/>
                  <w:vAlign w:val="center"/>
                </w:tcPr>
                <w:p w14:paraId="1AB1EB17">
                  <w:pPr>
                    <w:jc w:val="center"/>
                    <w:rPr>
                      <w:color w:val="auto"/>
                      <w:highlight w:val="none"/>
                    </w:rPr>
                  </w:pPr>
                  <w:r>
                    <w:rPr>
                      <w:rFonts w:hint="eastAsia"/>
                      <w:color w:val="auto"/>
                      <w:highlight w:val="none"/>
                    </w:rPr>
                    <w:t>高新分区现有集中供热公司6家，分别为大唐长春第三热电厂、吉林省宇光能源股份有限公司长春高新热力分公司、长春市供热（集团）有限公司高新分公司、长春高新热力有限公司、长春市热力集团高新热力有限公司（原轻轨锅炉房）、同鑫热力高新热力公司（原5514锅炉房）。</w:t>
                  </w:r>
                </w:p>
              </w:tc>
              <w:tc>
                <w:tcPr>
                  <w:tcW w:w="832" w:type="pct"/>
                  <w:vAlign w:val="center"/>
                </w:tcPr>
                <w:p w14:paraId="36948847">
                  <w:pPr>
                    <w:jc w:val="center"/>
                    <w:rPr>
                      <w:color w:val="auto"/>
                      <w:highlight w:val="none"/>
                    </w:rPr>
                  </w:pPr>
                  <w:r>
                    <w:rPr>
                      <w:rFonts w:hint="eastAsia"/>
                      <w:color w:val="auto"/>
                      <w:highlight w:val="none"/>
                    </w:rPr>
                    <w:t>项目电采暖。</w:t>
                  </w:r>
                </w:p>
              </w:tc>
              <w:tc>
                <w:tcPr>
                  <w:tcW w:w="572" w:type="pct"/>
                  <w:vAlign w:val="center"/>
                </w:tcPr>
                <w:p w14:paraId="7B3CEB19">
                  <w:pPr>
                    <w:jc w:val="center"/>
                    <w:rPr>
                      <w:color w:val="auto"/>
                      <w:highlight w:val="none"/>
                    </w:rPr>
                  </w:pPr>
                  <w:r>
                    <w:rPr>
                      <w:rFonts w:hint="eastAsia"/>
                      <w:color w:val="auto"/>
                      <w:highlight w:val="none"/>
                    </w:rPr>
                    <w:t>符合</w:t>
                  </w:r>
                </w:p>
              </w:tc>
            </w:tr>
          </w:tbl>
          <w:p w14:paraId="7E1FA529">
            <w:pPr>
              <w:rPr>
                <w:color w:val="auto"/>
                <w:highlight w:val="none"/>
              </w:rPr>
            </w:pPr>
          </w:p>
          <w:p w14:paraId="1F100684">
            <w:pPr>
              <w:pStyle w:val="8"/>
              <w:widowControl/>
              <w:tabs>
                <w:tab w:val="left" w:pos="2880"/>
                <w:tab w:val="left" w:pos="6300"/>
              </w:tabs>
              <w:snapToGrid w:val="0"/>
              <w:spacing w:before="0" w:after="0" w:line="240" w:lineRule="auto"/>
              <w:textAlignment w:val="auto"/>
              <w:rPr>
                <w:rFonts w:ascii="Times New Roman" w:hAnsi="Times New Roman" w:eastAsia="宋体"/>
                <w:b/>
                <w:bCs/>
                <w:color w:val="auto"/>
                <w:spacing w:val="-11"/>
                <w:kern w:val="2"/>
                <w:szCs w:val="24"/>
                <w:highlight w:val="none"/>
              </w:rPr>
            </w:pPr>
            <w:r>
              <w:rPr>
                <w:rFonts w:hint="eastAsia" w:ascii="Times New Roman" w:hAnsi="Times New Roman" w:eastAsia="宋体"/>
                <w:b/>
                <w:bCs/>
                <w:color w:val="auto"/>
                <w:spacing w:val="-11"/>
                <w:kern w:val="2"/>
                <w:szCs w:val="24"/>
                <w:highlight w:val="none"/>
              </w:rPr>
              <w:t>表1-2与《长春高新技术产业开发区分区规划（2018-2030）（部分区域）》审查意见相符性分析</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663"/>
              <w:gridCol w:w="1635"/>
              <w:gridCol w:w="812"/>
            </w:tblGrid>
            <w:tr w14:paraId="010620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44D6A9BB">
                  <w:pPr>
                    <w:jc w:val="center"/>
                    <w:rPr>
                      <w:color w:val="auto"/>
                      <w:highlight w:val="none"/>
                    </w:rPr>
                  </w:pPr>
                  <w:r>
                    <w:rPr>
                      <w:rFonts w:hint="eastAsia"/>
                      <w:color w:val="auto"/>
                      <w:highlight w:val="none"/>
                    </w:rPr>
                    <w:t>序号</w:t>
                  </w:r>
                </w:p>
              </w:tc>
              <w:tc>
                <w:tcPr>
                  <w:tcW w:w="3054" w:type="pct"/>
                  <w:vAlign w:val="center"/>
                </w:tcPr>
                <w:p w14:paraId="7A3A321D">
                  <w:pPr>
                    <w:jc w:val="center"/>
                    <w:rPr>
                      <w:color w:val="auto"/>
                      <w:highlight w:val="none"/>
                    </w:rPr>
                  </w:pPr>
                  <w:r>
                    <w:rPr>
                      <w:rFonts w:hint="eastAsia"/>
                      <w:color w:val="auto"/>
                      <w:highlight w:val="none"/>
                    </w:rPr>
                    <w:t>批复要求</w:t>
                  </w:r>
                </w:p>
              </w:tc>
              <w:tc>
                <w:tcPr>
                  <w:tcW w:w="1071" w:type="pct"/>
                  <w:vAlign w:val="center"/>
                </w:tcPr>
                <w:p w14:paraId="25A171CE">
                  <w:pPr>
                    <w:jc w:val="center"/>
                    <w:rPr>
                      <w:color w:val="auto"/>
                      <w:highlight w:val="none"/>
                    </w:rPr>
                  </w:pPr>
                  <w:r>
                    <w:rPr>
                      <w:rFonts w:hint="eastAsia"/>
                      <w:color w:val="auto"/>
                      <w:highlight w:val="none"/>
                    </w:rPr>
                    <w:t>本项目</w:t>
                  </w:r>
                </w:p>
              </w:tc>
              <w:tc>
                <w:tcPr>
                  <w:tcW w:w="531" w:type="pct"/>
                  <w:vAlign w:val="center"/>
                </w:tcPr>
                <w:p w14:paraId="3D97BBA3">
                  <w:pPr>
                    <w:jc w:val="center"/>
                    <w:rPr>
                      <w:color w:val="auto"/>
                      <w:highlight w:val="none"/>
                    </w:rPr>
                  </w:pPr>
                  <w:r>
                    <w:rPr>
                      <w:rFonts w:hint="eastAsia"/>
                      <w:color w:val="auto"/>
                      <w:highlight w:val="none"/>
                    </w:rPr>
                    <w:t>符合性</w:t>
                  </w:r>
                </w:p>
              </w:tc>
            </w:tr>
            <w:tr w14:paraId="0A615A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63270D5B">
                  <w:pPr>
                    <w:jc w:val="center"/>
                    <w:rPr>
                      <w:color w:val="auto"/>
                      <w:highlight w:val="none"/>
                    </w:rPr>
                  </w:pPr>
                  <w:r>
                    <w:rPr>
                      <w:rFonts w:hint="eastAsia"/>
                      <w:color w:val="auto"/>
                      <w:highlight w:val="none"/>
                    </w:rPr>
                    <w:t>1</w:t>
                  </w:r>
                </w:p>
              </w:tc>
              <w:tc>
                <w:tcPr>
                  <w:tcW w:w="3054" w:type="pct"/>
                  <w:vAlign w:val="center"/>
                </w:tcPr>
                <w:p w14:paraId="6C3844CF">
                  <w:pPr>
                    <w:jc w:val="center"/>
                    <w:rPr>
                      <w:color w:val="auto"/>
                      <w:highlight w:val="none"/>
                    </w:rPr>
                  </w:pPr>
                  <w:r>
                    <w:rPr>
                      <w:rFonts w:hint="eastAsia"/>
                      <w:color w:val="auto"/>
                      <w:highlight w:val="none"/>
                    </w:rPr>
                    <w:t>依据长春市规划和自然资源局新区分局出具的《关于在＜长春新区国土空间规划＞中修订高新区产业布局规划的说明》承诺，下一步开展的长春新区国土空间规划应参照开发区用地规划调整，确保开发区用地规划与长春新区国土空间规划相符。</w:t>
                  </w:r>
                </w:p>
              </w:tc>
              <w:tc>
                <w:tcPr>
                  <w:tcW w:w="1071" w:type="pct"/>
                  <w:vAlign w:val="center"/>
                </w:tcPr>
                <w:p w14:paraId="45B49BF4">
                  <w:pPr>
                    <w:jc w:val="center"/>
                    <w:rPr>
                      <w:color w:val="auto"/>
                      <w:highlight w:val="none"/>
                    </w:rPr>
                  </w:pPr>
                  <w:r>
                    <w:rPr>
                      <w:rFonts w:hint="eastAsia"/>
                      <w:color w:val="auto"/>
                      <w:highlight w:val="none"/>
                    </w:rPr>
                    <w:t>项目位于长春市高新开发区光谷大街866号，符合开发区用地规划。</w:t>
                  </w:r>
                </w:p>
              </w:tc>
              <w:tc>
                <w:tcPr>
                  <w:tcW w:w="531" w:type="pct"/>
                  <w:vAlign w:val="center"/>
                </w:tcPr>
                <w:p w14:paraId="3CCFC911">
                  <w:pPr>
                    <w:jc w:val="center"/>
                    <w:rPr>
                      <w:color w:val="auto"/>
                      <w:highlight w:val="none"/>
                    </w:rPr>
                  </w:pPr>
                  <w:r>
                    <w:rPr>
                      <w:rFonts w:hint="eastAsia"/>
                      <w:color w:val="auto"/>
                      <w:highlight w:val="none"/>
                    </w:rPr>
                    <w:t>符合</w:t>
                  </w:r>
                </w:p>
              </w:tc>
            </w:tr>
            <w:tr w14:paraId="449335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53D806B5">
                  <w:pPr>
                    <w:jc w:val="center"/>
                    <w:rPr>
                      <w:color w:val="auto"/>
                      <w:highlight w:val="none"/>
                    </w:rPr>
                  </w:pPr>
                  <w:r>
                    <w:rPr>
                      <w:rFonts w:hint="eastAsia"/>
                      <w:color w:val="auto"/>
                      <w:highlight w:val="none"/>
                    </w:rPr>
                    <w:t>2</w:t>
                  </w:r>
                </w:p>
              </w:tc>
              <w:tc>
                <w:tcPr>
                  <w:tcW w:w="3054" w:type="pct"/>
                  <w:vAlign w:val="center"/>
                </w:tcPr>
                <w:p w14:paraId="21861D2E">
                  <w:pPr>
                    <w:jc w:val="center"/>
                    <w:rPr>
                      <w:color w:val="auto"/>
                      <w:highlight w:val="none"/>
                    </w:rPr>
                  </w:pPr>
                  <w:r>
                    <w:rPr>
                      <w:rFonts w:hint="eastAsia"/>
                      <w:color w:val="auto"/>
                      <w:highlight w:val="none"/>
                    </w:rPr>
                    <w:t>按照搬迁计划，在2030年底前，完成区内8家化工等相关企业的搬迁工作，过渡期间，加强区内企业环境管理，杜绝环境风险事故发生。禁止对列入搬迁计划的企业进行改、扩建。同时，开发区内应在居民区周边、开发区边界环城高速公路内侧规划绿化隔离带，避免或减轻周围企业对居民的影响</w:t>
                  </w:r>
                </w:p>
              </w:tc>
              <w:tc>
                <w:tcPr>
                  <w:tcW w:w="1071" w:type="pct"/>
                  <w:vAlign w:val="center"/>
                </w:tcPr>
                <w:p w14:paraId="311A35DE">
                  <w:pPr>
                    <w:jc w:val="center"/>
                    <w:rPr>
                      <w:color w:val="auto"/>
                      <w:highlight w:val="none"/>
                    </w:rPr>
                  </w:pPr>
                  <w:r>
                    <w:rPr>
                      <w:rFonts w:hint="eastAsia"/>
                      <w:color w:val="auto"/>
                      <w:highlight w:val="none"/>
                    </w:rPr>
                    <w:t>不涉及</w:t>
                  </w:r>
                </w:p>
              </w:tc>
              <w:tc>
                <w:tcPr>
                  <w:tcW w:w="531" w:type="pct"/>
                  <w:vAlign w:val="center"/>
                </w:tcPr>
                <w:p w14:paraId="55915C6A">
                  <w:pPr>
                    <w:jc w:val="center"/>
                    <w:rPr>
                      <w:color w:val="auto"/>
                      <w:highlight w:val="none"/>
                    </w:rPr>
                  </w:pPr>
                  <w:r>
                    <w:rPr>
                      <w:rFonts w:hint="eastAsia"/>
                      <w:color w:val="auto"/>
                      <w:highlight w:val="none"/>
                    </w:rPr>
                    <w:t>/</w:t>
                  </w:r>
                </w:p>
              </w:tc>
            </w:tr>
            <w:tr w14:paraId="263925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5E73D980">
                  <w:pPr>
                    <w:jc w:val="center"/>
                    <w:rPr>
                      <w:color w:val="auto"/>
                      <w:highlight w:val="none"/>
                    </w:rPr>
                  </w:pPr>
                  <w:r>
                    <w:rPr>
                      <w:rFonts w:hint="eastAsia"/>
                      <w:color w:val="auto"/>
                      <w:highlight w:val="none"/>
                    </w:rPr>
                    <w:t>3</w:t>
                  </w:r>
                </w:p>
              </w:tc>
              <w:tc>
                <w:tcPr>
                  <w:tcW w:w="3054" w:type="pct"/>
                  <w:vAlign w:val="center"/>
                </w:tcPr>
                <w:p w14:paraId="1D6BE8BB">
                  <w:pPr>
                    <w:jc w:val="center"/>
                    <w:rPr>
                      <w:color w:val="auto"/>
                      <w:highlight w:val="none"/>
                    </w:rPr>
                  </w:pPr>
                  <w:r>
                    <w:rPr>
                      <w:rFonts w:hint="eastAsia"/>
                      <w:color w:val="auto"/>
                      <w:highlight w:val="none"/>
                    </w:rPr>
                    <w:t>开发区部分区域位于大屯机场（军用）北侧净空区域内，建议开发区建设项目严格按照《长春市南部新城区副中心区域建筑高度控制图》要求的高度进行建设</w:t>
                  </w:r>
                </w:p>
              </w:tc>
              <w:tc>
                <w:tcPr>
                  <w:tcW w:w="1071" w:type="pct"/>
                  <w:vAlign w:val="center"/>
                </w:tcPr>
                <w:p w14:paraId="4FCC109E">
                  <w:pPr>
                    <w:jc w:val="center"/>
                    <w:rPr>
                      <w:color w:val="auto"/>
                      <w:highlight w:val="none"/>
                    </w:rPr>
                  </w:pPr>
                  <w:r>
                    <w:rPr>
                      <w:rFonts w:hint="eastAsia"/>
                      <w:color w:val="auto"/>
                      <w:highlight w:val="none"/>
                    </w:rPr>
                    <w:t>不涉及</w:t>
                  </w:r>
                </w:p>
              </w:tc>
              <w:tc>
                <w:tcPr>
                  <w:tcW w:w="531" w:type="pct"/>
                  <w:vAlign w:val="center"/>
                </w:tcPr>
                <w:p w14:paraId="62A67090">
                  <w:pPr>
                    <w:jc w:val="center"/>
                    <w:rPr>
                      <w:color w:val="auto"/>
                      <w:highlight w:val="none"/>
                    </w:rPr>
                  </w:pPr>
                  <w:r>
                    <w:rPr>
                      <w:rFonts w:hint="eastAsia"/>
                      <w:color w:val="auto"/>
                      <w:highlight w:val="none"/>
                    </w:rPr>
                    <w:t>/</w:t>
                  </w:r>
                </w:p>
              </w:tc>
            </w:tr>
            <w:tr w14:paraId="4196A5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7951E3CF">
                  <w:pPr>
                    <w:jc w:val="center"/>
                    <w:rPr>
                      <w:color w:val="auto"/>
                      <w:highlight w:val="none"/>
                    </w:rPr>
                  </w:pPr>
                  <w:r>
                    <w:rPr>
                      <w:rFonts w:hint="eastAsia"/>
                      <w:color w:val="auto"/>
                      <w:highlight w:val="none"/>
                    </w:rPr>
                    <w:t>4</w:t>
                  </w:r>
                </w:p>
              </w:tc>
              <w:tc>
                <w:tcPr>
                  <w:tcW w:w="3054" w:type="pct"/>
                  <w:vAlign w:val="center"/>
                </w:tcPr>
                <w:p w14:paraId="559D7C53">
                  <w:pPr>
                    <w:jc w:val="center"/>
                    <w:rPr>
                      <w:color w:val="auto"/>
                      <w:highlight w:val="none"/>
                    </w:rPr>
                  </w:pPr>
                  <w:r>
                    <w:rPr>
                      <w:rFonts w:hint="eastAsia"/>
                      <w:color w:val="auto"/>
                      <w:highlight w:val="none"/>
                    </w:rPr>
                    <w:t>评价范围内地表水体</w:t>
                  </w:r>
                  <w:r>
                    <w:rPr>
                      <w:rFonts w:hint="eastAsia"/>
                      <w:color w:val="auto"/>
                      <w:highlight w:val="none"/>
                      <w:lang w:eastAsia="zh-CN"/>
                    </w:rPr>
                    <w:t>－</w:t>
                  </w:r>
                  <w:r>
                    <w:rPr>
                      <w:rFonts w:hint="eastAsia"/>
                      <w:color w:val="auto"/>
                      <w:highlight w:val="none"/>
                    </w:rPr>
                    <w:t>新凯河、永春河和富裕河环境质量不达标，建议开发区管委会可协商当地政府适时、适当提高污水集中处理设施的排放标准；制定农村污染整治方案，对区内农村生活垃圾、畜禽粪便、生活污水等统一收集、集中处理，禁止未经处理直接排放；限制水污染物排放量大的企业入区；制定排水管网改造方案，加快将区内雨污合流管网改造为雨污分流制</w:t>
                  </w:r>
                </w:p>
              </w:tc>
              <w:tc>
                <w:tcPr>
                  <w:tcW w:w="1071" w:type="pct"/>
                  <w:vAlign w:val="center"/>
                </w:tcPr>
                <w:p w14:paraId="15B76D5F">
                  <w:pPr>
                    <w:jc w:val="center"/>
                    <w:rPr>
                      <w:color w:val="auto"/>
                      <w:highlight w:val="none"/>
                    </w:rPr>
                  </w:pPr>
                  <w:r>
                    <w:rPr>
                      <w:rFonts w:hint="eastAsia"/>
                      <w:color w:val="auto"/>
                      <w:highlight w:val="none"/>
                    </w:rPr>
                    <w:t>本项目混合废水经院内污水站处理后经市政管网排入长春市南部污水处理厂处理。</w:t>
                  </w:r>
                </w:p>
              </w:tc>
              <w:tc>
                <w:tcPr>
                  <w:tcW w:w="531" w:type="pct"/>
                  <w:vAlign w:val="center"/>
                </w:tcPr>
                <w:p w14:paraId="38EB9A99">
                  <w:pPr>
                    <w:jc w:val="center"/>
                    <w:rPr>
                      <w:color w:val="auto"/>
                      <w:highlight w:val="none"/>
                    </w:rPr>
                  </w:pPr>
                  <w:r>
                    <w:rPr>
                      <w:rFonts w:hint="eastAsia"/>
                      <w:color w:val="auto"/>
                      <w:highlight w:val="none"/>
                    </w:rPr>
                    <w:t>符合</w:t>
                  </w:r>
                </w:p>
              </w:tc>
            </w:tr>
            <w:tr w14:paraId="5D9E5D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4B4C18D3">
                  <w:pPr>
                    <w:jc w:val="center"/>
                    <w:rPr>
                      <w:color w:val="auto"/>
                      <w:highlight w:val="none"/>
                    </w:rPr>
                  </w:pPr>
                  <w:r>
                    <w:rPr>
                      <w:rFonts w:hint="eastAsia"/>
                      <w:color w:val="auto"/>
                      <w:highlight w:val="none"/>
                    </w:rPr>
                    <w:t>5</w:t>
                  </w:r>
                </w:p>
              </w:tc>
              <w:tc>
                <w:tcPr>
                  <w:tcW w:w="3054" w:type="pct"/>
                  <w:vAlign w:val="center"/>
                </w:tcPr>
                <w:p w14:paraId="41613031">
                  <w:pPr>
                    <w:jc w:val="center"/>
                    <w:rPr>
                      <w:color w:val="auto"/>
                      <w:highlight w:val="none"/>
                    </w:rPr>
                  </w:pPr>
                  <w:r>
                    <w:rPr>
                      <w:rFonts w:hint="eastAsia"/>
                      <w:color w:val="auto"/>
                      <w:highlight w:val="none"/>
                    </w:rPr>
                    <w:t>鉴于区内南部污水处理厂和区外依托的南部污水处理厂已接近满负荷运行。开发区应确保开发区产生的生产废水和生活污水能够被有效接纳和处理，加快研究制定开发区污水集中收集处理方案，明确污水处理设施建设计划</w:t>
                  </w:r>
                </w:p>
              </w:tc>
              <w:tc>
                <w:tcPr>
                  <w:tcW w:w="1071" w:type="pct"/>
                  <w:vAlign w:val="center"/>
                </w:tcPr>
                <w:p w14:paraId="4882A3F6">
                  <w:pPr>
                    <w:jc w:val="center"/>
                    <w:rPr>
                      <w:color w:val="auto"/>
                      <w:highlight w:val="none"/>
                    </w:rPr>
                  </w:pPr>
                  <w:r>
                    <w:rPr>
                      <w:rFonts w:hint="eastAsia"/>
                      <w:color w:val="auto"/>
                      <w:highlight w:val="none"/>
                    </w:rPr>
                    <w:t>长春市南部污水处理厂能够接纳和处理本项目混合废水。</w:t>
                  </w:r>
                </w:p>
              </w:tc>
              <w:tc>
                <w:tcPr>
                  <w:tcW w:w="531" w:type="pct"/>
                  <w:vAlign w:val="center"/>
                </w:tcPr>
                <w:p w14:paraId="56D8FE3D">
                  <w:pPr>
                    <w:jc w:val="center"/>
                    <w:rPr>
                      <w:color w:val="auto"/>
                      <w:highlight w:val="none"/>
                    </w:rPr>
                  </w:pPr>
                  <w:r>
                    <w:rPr>
                      <w:rFonts w:hint="eastAsia"/>
                      <w:color w:val="auto"/>
                      <w:highlight w:val="none"/>
                    </w:rPr>
                    <w:t>符合</w:t>
                  </w:r>
                </w:p>
              </w:tc>
            </w:tr>
            <w:tr w14:paraId="496EFC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trPr>
              <w:tc>
                <w:tcPr>
                  <w:tcW w:w="342" w:type="pct"/>
                  <w:vAlign w:val="center"/>
                </w:tcPr>
                <w:p w14:paraId="1F6C3A17">
                  <w:pPr>
                    <w:jc w:val="center"/>
                    <w:rPr>
                      <w:color w:val="auto"/>
                      <w:highlight w:val="none"/>
                    </w:rPr>
                  </w:pPr>
                  <w:r>
                    <w:rPr>
                      <w:rFonts w:hint="eastAsia"/>
                      <w:color w:val="auto"/>
                      <w:highlight w:val="none"/>
                    </w:rPr>
                    <w:t>6</w:t>
                  </w:r>
                </w:p>
              </w:tc>
              <w:tc>
                <w:tcPr>
                  <w:tcW w:w="3054" w:type="pct"/>
                  <w:vAlign w:val="center"/>
                </w:tcPr>
                <w:p w14:paraId="15FD5608">
                  <w:pPr>
                    <w:jc w:val="center"/>
                    <w:rPr>
                      <w:color w:val="auto"/>
                      <w:highlight w:val="none"/>
                    </w:rPr>
                  </w:pPr>
                  <w:r>
                    <w:rPr>
                      <w:rFonts w:hint="eastAsia"/>
                      <w:color w:val="auto"/>
                      <w:highlight w:val="none"/>
                    </w:rPr>
                    <w:t>严格执行《关于长春地区执行特别排放限值相关问题的复函》要求，严格环境准入，严禁大气污染重、排放量大的企业入区，将污染相对较轻的企业布设在靠近长春市城区一侧，必要时设置防护距离，避免企业产生的污染物对长春市城区居民区产生环境影响</w:t>
                  </w:r>
                </w:p>
              </w:tc>
              <w:tc>
                <w:tcPr>
                  <w:tcW w:w="1071" w:type="pct"/>
                  <w:vAlign w:val="center"/>
                </w:tcPr>
                <w:p w14:paraId="32DA23EF">
                  <w:pPr>
                    <w:jc w:val="center"/>
                    <w:rPr>
                      <w:color w:val="auto"/>
                      <w:highlight w:val="none"/>
                    </w:rPr>
                  </w:pPr>
                  <w:r>
                    <w:rPr>
                      <w:rFonts w:hint="eastAsia"/>
                      <w:color w:val="auto"/>
                      <w:highlight w:val="none"/>
                    </w:rPr>
                    <w:t>项目不属于大气污染重、排放量大的企业，本项目产生的废气量小，对环境污染较小。</w:t>
                  </w:r>
                </w:p>
              </w:tc>
              <w:tc>
                <w:tcPr>
                  <w:tcW w:w="531" w:type="pct"/>
                  <w:vAlign w:val="center"/>
                </w:tcPr>
                <w:p w14:paraId="75A1560C">
                  <w:pPr>
                    <w:jc w:val="center"/>
                    <w:rPr>
                      <w:color w:val="auto"/>
                      <w:highlight w:val="none"/>
                    </w:rPr>
                  </w:pPr>
                  <w:r>
                    <w:rPr>
                      <w:rFonts w:hint="eastAsia"/>
                      <w:color w:val="auto"/>
                      <w:highlight w:val="none"/>
                    </w:rPr>
                    <w:t>符合</w:t>
                  </w:r>
                </w:p>
              </w:tc>
            </w:tr>
            <w:tr w14:paraId="7E5231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41D8A05F">
                  <w:pPr>
                    <w:jc w:val="center"/>
                    <w:rPr>
                      <w:color w:val="auto"/>
                      <w:highlight w:val="none"/>
                    </w:rPr>
                  </w:pPr>
                  <w:r>
                    <w:rPr>
                      <w:rFonts w:hint="eastAsia"/>
                      <w:color w:val="auto"/>
                      <w:highlight w:val="none"/>
                    </w:rPr>
                    <w:t>7</w:t>
                  </w:r>
                </w:p>
              </w:tc>
              <w:tc>
                <w:tcPr>
                  <w:tcW w:w="3054" w:type="pct"/>
                  <w:vAlign w:val="center"/>
                </w:tcPr>
                <w:p w14:paraId="2E8D445D">
                  <w:pPr>
                    <w:jc w:val="center"/>
                    <w:rPr>
                      <w:color w:val="auto"/>
                      <w:highlight w:val="none"/>
                    </w:rPr>
                  </w:pPr>
                  <w:r>
                    <w:rPr>
                      <w:rFonts w:hint="eastAsia"/>
                      <w:color w:val="auto"/>
                      <w:highlight w:val="none"/>
                    </w:rPr>
                    <w:t>充分论证开发区集中供热热源设置的合理性，结合供热专项规划及国家和省内关于集中供热的相关政策要求，合理优化集中供热热源的数量和选址</w:t>
                  </w:r>
                </w:p>
              </w:tc>
              <w:tc>
                <w:tcPr>
                  <w:tcW w:w="1071" w:type="pct"/>
                  <w:vAlign w:val="center"/>
                </w:tcPr>
                <w:p w14:paraId="7C84742E">
                  <w:pPr>
                    <w:jc w:val="center"/>
                    <w:rPr>
                      <w:color w:val="auto"/>
                      <w:highlight w:val="none"/>
                    </w:rPr>
                  </w:pPr>
                  <w:r>
                    <w:rPr>
                      <w:rFonts w:hint="eastAsia"/>
                      <w:color w:val="auto"/>
                      <w:highlight w:val="none"/>
                    </w:rPr>
                    <w:t>项目冬季供暖采用电采暖。</w:t>
                  </w:r>
                </w:p>
              </w:tc>
              <w:tc>
                <w:tcPr>
                  <w:tcW w:w="531" w:type="pct"/>
                  <w:vAlign w:val="center"/>
                </w:tcPr>
                <w:p w14:paraId="006A0519">
                  <w:pPr>
                    <w:jc w:val="center"/>
                    <w:rPr>
                      <w:color w:val="auto"/>
                      <w:highlight w:val="none"/>
                    </w:rPr>
                  </w:pPr>
                  <w:r>
                    <w:rPr>
                      <w:rFonts w:hint="eastAsia"/>
                      <w:color w:val="auto"/>
                      <w:highlight w:val="none"/>
                    </w:rPr>
                    <w:t>符合</w:t>
                  </w:r>
                </w:p>
              </w:tc>
            </w:tr>
            <w:tr w14:paraId="0EE532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3239362E">
                  <w:pPr>
                    <w:jc w:val="center"/>
                    <w:rPr>
                      <w:color w:val="auto"/>
                      <w:highlight w:val="none"/>
                    </w:rPr>
                  </w:pPr>
                  <w:r>
                    <w:rPr>
                      <w:rFonts w:hint="eastAsia"/>
                      <w:color w:val="auto"/>
                      <w:highlight w:val="none"/>
                    </w:rPr>
                    <w:t>8</w:t>
                  </w:r>
                </w:p>
              </w:tc>
              <w:tc>
                <w:tcPr>
                  <w:tcW w:w="3054" w:type="pct"/>
                  <w:vAlign w:val="center"/>
                </w:tcPr>
                <w:p w14:paraId="57E04C37">
                  <w:pPr>
                    <w:jc w:val="center"/>
                    <w:rPr>
                      <w:color w:val="auto"/>
                      <w:highlight w:val="none"/>
                    </w:rPr>
                  </w:pPr>
                  <w:r>
                    <w:rPr>
                      <w:rFonts w:hint="eastAsia"/>
                      <w:color w:val="auto"/>
                      <w:highlight w:val="none"/>
                    </w:rPr>
                    <w:t>依据生态环境局于2019年印发的《重点行业挥发性有机物综合治理方案》（环大气（2019）53号），核查区域VOC</w:t>
                  </w:r>
                  <w:r>
                    <w:rPr>
                      <w:rFonts w:hint="eastAsia"/>
                      <w:color w:val="auto"/>
                      <w:highlight w:val="none"/>
                      <w:vertAlign w:val="subscript"/>
                    </w:rPr>
                    <w:t>S</w:t>
                  </w:r>
                  <w:r>
                    <w:rPr>
                      <w:rFonts w:hint="eastAsia"/>
                      <w:color w:val="auto"/>
                      <w:highlight w:val="none"/>
                    </w:rPr>
                    <w:t>排放重点企业清单，加强对汽车等VOC</w:t>
                  </w:r>
                  <w:r>
                    <w:rPr>
                      <w:rFonts w:hint="eastAsia"/>
                      <w:color w:val="auto"/>
                      <w:highlight w:val="none"/>
                      <w:vertAlign w:val="subscript"/>
                    </w:rPr>
                    <w:t>S</w:t>
                  </w:r>
                  <w:r>
                    <w:rPr>
                      <w:rFonts w:hint="eastAsia"/>
                      <w:color w:val="auto"/>
                      <w:highlight w:val="none"/>
                    </w:rPr>
                    <w:t>排放重点行业监管，强化源头控制，推进建设适宜高效的治污设施，并将VOC</w:t>
                  </w:r>
                  <w:r>
                    <w:rPr>
                      <w:rFonts w:hint="eastAsia"/>
                      <w:color w:val="auto"/>
                      <w:highlight w:val="none"/>
                      <w:vertAlign w:val="subscript"/>
                    </w:rPr>
                    <w:t>S</w:t>
                  </w:r>
                  <w:r>
                    <w:rPr>
                      <w:rFonts w:hint="eastAsia"/>
                      <w:color w:val="auto"/>
                      <w:highlight w:val="none"/>
                    </w:rPr>
                    <w:t>纳入总量控制要求</w:t>
                  </w:r>
                </w:p>
              </w:tc>
              <w:tc>
                <w:tcPr>
                  <w:tcW w:w="1071" w:type="pct"/>
                  <w:vAlign w:val="center"/>
                </w:tcPr>
                <w:p w14:paraId="5F8E246A">
                  <w:pPr>
                    <w:jc w:val="center"/>
                    <w:rPr>
                      <w:rFonts w:hint="eastAsia" w:eastAsia="宋体"/>
                      <w:color w:val="auto"/>
                      <w:highlight w:val="none"/>
                      <w:lang w:eastAsia="zh-CN"/>
                    </w:rPr>
                  </w:pPr>
                  <w:r>
                    <w:rPr>
                      <w:rFonts w:hint="eastAsia"/>
                      <w:color w:val="auto"/>
                      <w:highlight w:val="none"/>
                    </w:rPr>
                    <w:t>本项目</w:t>
                  </w:r>
                  <w:r>
                    <w:rPr>
                      <w:rFonts w:hint="eastAsia"/>
                      <w:color w:val="auto"/>
                      <w:highlight w:val="none"/>
                      <w:lang w:eastAsia="zh-CN"/>
                    </w:rPr>
                    <w:t>无有机废气产生</w:t>
                  </w:r>
                </w:p>
              </w:tc>
              <w:tc>
                <w:tcPr>
                  <w:tcW w:w="531" w:type="pct"/>
                  <w:vAlign w:val="center"/>
                </w:tcPr>
                <w:p w14:paraId="6B17E626">
                  <w:pPr>
                    <w:jc w:val="center"/>
                    <w:rPr>
                      <w:color w:val="auto"/>
                      <w:highlight w:val="none"/>
                    </w:rPr>
                  </w:pPr>
                  <w:r>
                    <w:rPr>
                      <w:rFonts w:hint="eastAsia"/>
                      <w:color w:val="auto"/>
                      <w:highlight w:val="none"/>
                    </w:rPr>
                    <w:t>符合</w:t>
                  </w:r>
                </w:p>
              </w:tc>
            </w:tr>
            <w:tr w14:paraId="13E2F5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09CA3604">
                  <w:pPr>
                    <w:jc w:val="center"/>
                    <w:rPr>
                      <w:color w:val="auto"/>
                      <w:highlight w:val="none"/>
                    </w:rPr>
                  </w:pPr>
                  <w:r>
                    <w:rPr>
                      <w:rFonts w:hint="eastAsia"/>
                      <w:color w:val="auto"/>
                      <w:highlight w:val="none"/>
                    </w:rPr>
                    <w:t>9</w:t>
                  </w:r>
                </w:p>
              </w:tc>
              <w:tc>
                <w:tcPr>
                  <w:tcW w:w="3054" w:type="pct"/>
                  <w:vAlign w:val="center"/>
                </w:tcPr>
                <w:p w14:paraId="2D86E037">
                  <w:pPr>
                    <w:jc w:val="center"/>
                    <w:rPr>
                      <w:color w:val="auto"/>
                      <w:highlight w:val="none"/>
                    </w:rPr>
                  </w:pPr>
                  <w:r>
                    <w:rPr>
                      <w:rFonts w:hint="eastAsia"/>
                      <w:color w:val="auto"/>
                      <w:highlight w:val="none"/>
                    </w:rPr>
                    <w:t>依据《关于以改善环境质量为核心加强环境影响评价管理的通知》（环环评（2016）150号），开发区应基于生态保护红线、环境质量底线和资源利用上线列出生态环境准入清单</w:t>
                  </w:r>
                </w:p>
              </w:tc>
              <w:tc>
                <w:tcPr>
                  <w:tcW w:w="1071" w:type="pct"/>
                  <w:vAlign w:val="center"/>
                </w:tcPr>
                <w:p w14:paraId="2A5470A1">
                  <w:pPr>
                    <w:jc w:val="center"/>
                    <w:rPr>
                      <w:color w:val="auto"/>
                      <w:highlight w:val="none"/>
                    </w:rPr>
                  </w:pPr>
                  <w:r>
                    <w:rPr>
                      <w:rFonts w:hint="eastAsia"/>
                      <w:color w:val="auto"/>
                      <w:highlight w:val="none"/>
                    </w:rPr>
                    <w:t>/</w:t>
                  </w:r>
                </w:p>
              </w:tc>
              <w:tc>
                <w:tcPr>
                  <w:tcW w:w="531" w:type="pct"/>
                  <w:vAlign w:val="center"/>
                </w:tcPr>
                <w:p w14:paraId="04719161">
                  <w:pPr>
                    <w:jc w:val="center"/>
                    <w:rPr>
                      <w:color w:val="auto"/>
                      <w:highlight w:val="none"/>
                    </w:rPr>
                  </w:pPr>
                  <w:r>
                    <w:rPr>
                      <w:rFonts w:hint="eastAsia"/>
                      <w:color w:val="auto"/>
                      <w:highlight w:val="none"/>
                    </w:rPr>
                    <w:t>不涉及</w:t>
                  </w:r>
                </w:p>
              </w:tc>
            </w:tr>
            <w:tr w14:paraId="48F6F7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42" w:type="pct"/>
                  <w:vAlign w:val="center"/>
                </w:tcPr>
                <w:p w14:paraId="04E78F3D">
                  <w:pPr>
                    <w:jc w:val="center"/>
                    <w:rPr>
                      <w:color w:val="auto"/>
                      <w:highlight w:val="none"/>
                    </w:rPr>
                  </w:pPr>
                  <w:r>
                    <w:rPr>
                      <w:rFonts w:hint="eastAsia"/>
                      <w:color w:val="auto"/>
                      <w:highlight w:val="none"/>
                    </w:rPr>
                    <w:t>10</w:t>
                  </w:r>
                </w:p>
              </w:tc>
              <w:tc>
                <w:tcPr>
                  <w:tcW w:w="3054" w:type="pct"/>
                  <w:vAlign w:val="center"/>
                </w:tcPr>
                <w:p w14:paraId="426EDBB8">
                  <w:pPr>
                    <w:jc w:val="center"/>
                    <w:rPr>
                      <w:color w:val="auto"/>
                      <w:highlight w:val="none"/>
                    </w:rPr>
                  </w:pPr>
                  <w:r>
                    <w:rPr>
                      <w:rFonts w:hint="eastAsia"/>
                      <w:color w:val="auto"/>
                      <w:highlight w:val="none"/>
                    </w:rPr>
                    <w:t>依据《关于规划环境影响评价加强空间管制、总量管控和环境准入的指导意见（试行）》（环办环评（2016）14号）中严格总量管控的相关要求，确定重点控制污染物因子总量管控限值。开发区主要污染物排放总量应纳入长春市主要污染物排放总量管理体系内并严格控制，做到科学调剂，合理使用</w:t>
                  </w:r>
                </w:p>
              </w:tc>
              <w:tc>
                <w:tcPr>
                  <w:tcW w:w="1071" w:type="pct"/>
                  <w:vAlign w:val="center"/>
                </w:tcPr>
                <w:p w14:paraId="31F00367">
                  <w:pPr>
                    <w:jc w:val="center"/>
                    <w:rPr>
                      <w:color w:val="auto"/>
                      <w:highlight w:val="none"/>
                    </w:rPr>
                  </w:pPr>
                  <w:r>
                    <w:rPr>
                      <w:rFonts w:hint="eastAsia"/>
                      <w:color w:val="auto"/>
                      <w:highlight w:val="none"/>
                    </w:rPr>
                    <w:t>本项目无需申请总量。</w:t>
                  </w:r>
                </w:p>
              </w:tc>
              <w:tc>
                <w:tcPr>
                  <w:tcW w:w="531" w:type="pct"/>
                  <w:vAlign w:val="center"/>
                </w:tcPr>
                <w:p w14:paraId="5FBF4CED">
                  <w:pPr>
                    <w:jc w:val="center"/>
                    <w:rPr>
                      <w:color w:val="auto"/>
                      <w:highlight w:val="none"/>
                    </w:rPr>
                  </w:pPr>
                  <w:r>
                    <w:rPr>
                      <w:rFonts w:hint="eastAsia"/>
                      <w:color w:val="auto"/>
                      <w:highlight w:val="none"/>
                    </w:rPr>
                    <w:t>符合</w:t>
                  </w:r>
                </w:p>
              </w:tc>
            </w:tr>
            <w:tr w14:paraId="131966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42" w:type="pct"/>
                  <w:vAlign w:val="center"/>
                </w:tcPr>
                <w:p w14:paraId="456F22E7">
                  <w:pPr>
                    <w:jc w:val="center"/>
                    <w:rPr>
                      <w:color w:val="auto"/>
                      <w:highlight w:val="none"/>
                    </w:rPr>
                  </w:pPr>
                  <w:r>
                    <w:rPr>
                      <w:rFonts w:hint="eastAsia"/>
                      <w:color w:val="auto"/>
                      <w:highlight w:val="none"/>
                    </w:rPr>
                    <w:t>11</w:t>
                  </w:r>
                </w:p>
              </w:tc>
              <w:tc>
                <w:tcPr>
                  <w:tcW w:w="3054" w:type="pct"/>
                  <w:vAlign w:val="center"/>
                </w:tcPr>
                <w:p w14:paraId="539AD893">
                  <w:pPr>
                    <w:jc w:val="center"/>
                    <w:rPr>
                      <w:color w:val="auto"/>
                      <w:highlight w:val="none"/>
                    </w:rPr>
                  </w:pPr>
                  <w:r>
                    <w:rPr>
                      <w:rFonts w:hint="eastAsia"/>
                      <w:color w:val="auto"/>
                      <w:highlight w:val="none"/>
                    </w:rPr>
                    <w:t>尽快编制环境风险应急预案，建设长春高新技术产业开发区环境风险防控体系，并到生态环境主管部门备案。按照风险应急预案落实相关风险防范措施，并开展经常性演练，杜绝环境风险事故发生</w:t>
                  </w:r>
                </w:p>
              </w:tc>
              <w:tc>
                <w:tcPr>
                  <w:tcW w:w="1071" w:type="pct"/>
                  <w:vAlign w:val="center"/>
                </w:tcPr>
                <w:p w14:paraId="76736560">
                  <w:pPr>
                    <w:jc w:val="center"/>
                    <w:rPr>
                      <w:color w:val="auto"/>
                      <w:highlight w:val="none"/>
                    </w:rPr>
                  </w:pPr>
                  <w:r>
                    <w:rPr>
                      <w:rFonts w:hint="eastAsia"/>
                      <w:color w:val="auto"/>
                      <w:highlight w:val="none"/>
                    </w:rPr>
                    <w:t>本项目建设完成后，编制环境风险应急预案，并到管理部门备案</w:t>
                  </w:r>
                </w:p>
              </w:tc>
              <w:tc>
                <w:tcPr>
                  <w:tcW w:w="531" w:type="pct"/>
                  <w:vAlign w:val="center"/>
                </w:tcPr>
                <w:p w14:paraId="44051C3F">
                  <w:pPr>
                    <w:jc w:val="center"/>
                    <w:rPr>
                      <w:color w:val="auto"/>
                      <w:highlight w:val="none"/>
                    </w:rPr>
                  </w:pPr>
                  <w:r>
                    <w:rPr>
                      <w:rFonts w:hint="eastAsia"/>
                      <w:color w:val="auto"/>
                      <w:highlight w:val="none"/>
                    </w:rPr>
                    <w:t>符合</w:t>
                  </w:r>
                </w:p>
              </w:tc>
            </w:tr>
          </w:tbl>
          <w:p w14:paraId="508B2AA9">
            <w:pPr>
              <w:adjustRightInd w:val="0"/>
              <w:snapToGrid w:val="0"/>
              <w:spacing w:line="360" w:lineRule="auto"/>
              <w:ind w:firstLine="480" w:firstLineChars="200"/>
              <w:jc w:val="left"/>
              <w:rPr>
                <w:color w:val="auto"/>
                <w:sz w:val="24"/>
                <w:highlight w:val="none"/>
              </w:rPr>
            </w:pPr>
          </w:p>
        </w:tc>
      </w:tr>
      <w:tr w14:paraId="1CADB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65" w:hRule="atLeast"/>
          <w:jc w:val="center"/>
        </w:trPr>
        <w:tc>
          <w:tcPr>
            <w:tcW w:w="1019" w:type="dxa"/>
            <w:vAlign w:val="center"/>
          </w:tcPr>
          <w:p w14:paraId="7289723E">
            <w:pPr>
              <w:autoSpaceDE w:val="0"/>
              <w:autoSpaceDN w:val="0"/>
              <w:adjustRightInd w:val="0"/>
              <w:snapToGrid w:val="0"/>
              <w:jc w:val="center"/>
              <w:rPr>
                <w:color w:val="auto"/>
                <w:kern w:val="0"/>
                <w:sz w:val="24"/>
                <w:highlight w:val="none"/>
              </w:rPr>
            </w:pPr>
            <w:r>
              <w:rPr>
                <w:color w:val="auto"/>
                <w:kern w:val="0"/>
                <w:sz w:val="24"/>
                <w:highlight w:val="none"/>
              </w:rPr>
              <w:t>其他符合性分析</w:t>
            </w:r>
          </w:p>
        </w:tc>
        <w:tc>
          <w:tcPr>
            <w:tcW w:w="7851" w:type="dxa"/>
            <w:gridSpan w:val="3"/>
            <w:vAlign w:val="center"/>
          </w:tcPr>
          <w:p w14:paraId="1DF0B853">
            <w:pPr>
              <w:autoSpaceDE w:val="0"/>
              <w:autoSpaceDN w:val="0"/>
              <w:adjustRightInd w:val="0"/>
              <w:snapToGrid w:val="0"/>
              <w:spacing w:line="360" w:lineRule="auto"/>
              <w:ind w:firstLine="482" w:firstLineChars="200"/>
              <w:rPr>
                <w:b/>
                <w:bCs/>
                <w:color w:val="auto"/>
                <w:kern w:val="0"/>
                <w:sz w:val="24"/>
                <w:highlight w:val="none"/>
              </w:rPr>
            </w:pPr>
            <w:r>
              <w:rPr>
                <w:rFonts w:hint="eastAsia"/>
                <w:b/>
                <w:bCs/>
                <w:color w:val="auto"/>
                <w:kern w:val="0"/>
                <w:sz w:val="24"/>
                <w:highlight w:val="none"/>
              </w:rPr>
              <w:t>1、产业政策相符性分析</w:t>
            </w:r>
          </w:p>
          <w:p w14:paraId="36DC0F1C">
            <w:pPr>
              <w:widowControl/>
              <w:spacing w:line="360" w:lineRule="auto"/>
              <w:ind w:firstLine="480" w:firstLineChars="200"/>
              <w:rPr>
                <w:rFonts w:cs="宋体"/>
                <w:color w:val="auto"/>
                <w:kern w:val="0"/>
                <w:sz w:val="24"/>
                <w:highlight w:val="none"/>
              </w:rPr>
            </w:pPr>
            <w:r>
              <w:rPr>
                <w:rFonts w:hint="eastAsia" w:cs="宋体"/>
                <w:color w:val="auto"/>
                <w:kern w:val="0"/>
                <w:sz w:val="24"/>
                <w:highlight w:val="none"/>
              </w:rPr>
              <w:t>根据中华人民共和国国家发展和改革委员会第7号令《产业结构调整指导目录（2024年本）》中规定，本项目第三十七类卫生健康，属于鼓励类项目，不属于限制类及淘汰类项目，因此本项目的建设符合国家产业政策。</w:t>
            </w:r>
          </w:p>
          <w:p w14:paraId="333C7F89">
            <w:pPr>
              <w:autoSpaceDE w:val="0"/>
              <w:autoSpaceDN w:val="0"/>
              <w:spacing w:line="440" w:lineRule="exact"/>
              <w:ind w:firstLine="482" w:firstLineChars="200"/>
              <w:jc w:val="left"/>
              <w:rPr>
                <w:b/>
                <w:bCs/>
                <w:color w:val="auto"/>
                <w:kern w:val="0"/>
                <w:sz w:val="24"/>
                <w:highlight w:val="none"/>
              </w:rPr>
            </w:pPr>
            <w:r>
              <w:rPr>
                <w:b/>
                <w:bCs/>
                <w:color w:val="auto"/>
                <w:kern w:val="0"/>
                <w:sz w:val="24"/>
                <w:highlight w:val="none"/>
              </w:rPr>
              <w:t>2、“三线一单”符合性分析</w:t>
            </w:r>
          </w:p>
          <w:p w14:paraId="32F586DC">
            <w:pPr>
              <w:autoSpaceDE w:val="0"/>
              <w:autoSpaceDN w:val="0"/>
              <w:adjustRightInd w:val="0"/>
              <w:snapToGrid w:val="0"/>
              <w:spacing w:line="440" w:lineRule="exact"/>
              <w:ind w:firstLine="480" w:firstLineChars="200"/>
              <w:rPr>
                <w:color w:val="auto"/>
                <w:sz w:val="24"/>
                <w:highlight w:val="none"/>
              </w:rPr>
            </w:pPr>
            <w:r>
              <w:rPr>
                <w:rFonts w:hint="eastAsia"/>
                <w:color w:val="auto"/>
                <w:kern w:val="0"/>
                <w:sz w:val="24"/>
                <w:highlight w:val="none"/>
              </w:rPr>
              <w:t>（1）</w:t>
            </w:r>
            <w:r>
              <w:rPr>
                <w:color w:val="auto"/>
                <w:kern w:val="0"/>
                <w:sz w:val="24"/>
                <w:highlight w:val="none"/>
              </w:rPr>
              <w:t>生态保护红线</w:t>
            </w:r>
          </w:p>
          <w:p w14:paraId="10436278">
            <w:pPr>
              <w:pStyle w:val="14"/>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本项目位于</w:t>
            </w:r>
            <w:r>
              <w:rPr>
                <w:rFonts w:hint="eastAsia" w:ascii="Times New Roman" w:hAnsi="Times New Roman"/>
                <w:color w:val="auto"/>
                <w:sz w:val="24"/>
                <w:highlight w:val="none"/>
              </w:rPr>
              <w:t>长春市高新开发区光谷大街866号</w:t>
            </w:r>
            <w:r>
              <w:rPr>
                <w:rFonts w:hint="eastAsia" w:ascii="Times New Roman" w:hAnsi="Times New Roman"/>
                <w:color w:val="auto"/>
                <w:kern w:val="0"/>
                <w:sz w:val="24"/>
                <w:szCs w:val="24"/>
                <w:highlight w:val="none"/>
              </w:rPr>
              <w:t>1号楼</w:t>
            </w:r>
            <w:r>
              <w:rPr>
                <w:rFonts w:ascii="Times New Roman" w:hAnsi="Times New Roman"/>
                <w:color w:val="auto"/>
                <w:sz w:val="24"/>
                <w:highlight w:val="none"/>
              </w:rPr>
              <w:t>，长春高新技术产业开发区（管控单元编码ZH22010420002）属于重点管控单元，不在生态红线范围内</w:t>
            </w:r>
            <w:r>
              <w:rPr>
                <w:rFonts w:hint="eastAsia" w:ascii="Times New Roman" w:hAnsi="Times New Roman"/>
                <w:color w:val="auto"/>
                <w:sz w:val="24"/>
                <w:highlight w:val="none"/>
              </w:rPr>
              <w:t>，</w:t>
            </w:r>
            <w:r>
              <w:rPr>
                <w:rFonts w:ascii="Times New Roman" w:hAnsi="Times New Roman"/>
                <w:color w:val="auto"/>
                <w:sz w:val="24"/>
                <w:highlight w:val="none"/>
              </w:rPr>
              <w:t>符合生态保护红线要求。</w:t>
            </w:r>
          </w:p>
          <w:p w14:paraId="04254015">
            <w:pPr>
              <w:autoSpaceDE w:val="0"/>
              <w:autoSpaceDN w:val="0"/>
              <w:adjustRightInd w:val="0"/>
              <w:snapToGrid w:val="0"/>
              <w:spacing w:line="440" w:lineRule="exact"/>
              <w:ind w:firstLine="480" w:firstLineChars="200"/>
              <w:rPr>
                <w:color w:val="auto"/>
                <w:sz w:val="24"/>
                <w:highlight w:val="none"/>
              </w:rPr>
            </w:pPr>
            <w:r>
              <w:rPr>
                <w:rFonts w:hint="eastAsia"/>
                <w:color w:val="auto"/>
                <w:sz w:val="24"/>
                <w:highlight w:val="none"/>
              </w:rPr>
              <w:t>（2）</w:t>
            </w:r>
            <w:r>
              <w:rPr>
                <w:color w:val="auto"/>
                <w:sz w:val="24"/>
                <w:highlight w:val="none"/>
              </w:rPr>
              <w:t>环境质量底线</w:t>
            </w:r>
          </w:p>
          <w:p w14:paraId="241818BB">
            <w:pPr>
              <w:spacing w:line="440" w:lineRule="exact"/>
              <w:ind w:firstLine="480" w:firstLineChars="200"/>
              <w:jc w:val="left"/>
              <w:rPr>
                <w:color w:val="auto"/>
                <w:sz w:val="24"/>
                <w:highlight w:val="none"/>
                <w:lang w:bidi="ar"/>
              </w:rPr>
            </w:pPr>
            <w:r>
              <w:rPr>
                <w:color w:val="auto"/>
                <w:sz w:val="24"/>
                <w:highlight w:val="none"/>
                <w:lang w:bidi="ar"/>
              </w:rPr>
              <w:t>根据《吉林省202</w:t>
            </w:r>
            <w:r>
              <w:rPr>
                <w:rFonts w:hint="eastAsia"/>
                <w:color w:val="auto"/>
                <w:sz w:val="24"/>
                <w:highlight w:val="none"/>
                <w:lang w:bidi="ar"/>
              </w:rPr>
              <w:t>3</w:t>
            </w:r>
            <w:r>
              <w:rPr>
                <w:color w:val="auto"/>
                <w:sz w:val="24"/>
                <w:highlight w:val="none"/>
                <w:lang w:bidi="ar"/>
              </w:rPr>
              <w:t>年生态环境状况公报》，202</w:t>
            </w:r>
            <w:r>
              <w:rPr>
                <w:rFonts w:hint="eastAsia"/>
                <w:color w:val="auto"/>
                <w:sz w:val="24"/>
                <w:highlight w:val="none"/>
                <w:lang w:bidi="ar"/>
              </w:rPr>
              <w:t>3</w:t>
            </w:r>
            <w:r>
              <w:rPr>
                <w:color w:val="auto"/>
                <w:sz w:val="24"/>
                <w:highlight w:val="none"/>
                <w:lang w:bidi="ar"/>
              </w:rPr>
              <w:t>年长春市为达标区。本项目废气经有效处理后，可满足相应的标准达标排放，对区域大气环境的环境影响较小，不会改变当地环境空气质量现状。</w:t>
            </w:r>
          </w:p>
          <w:p w14:paraId="4B799320">
            <w:pPr>
              <w:autoSpaceDE w:val="0"/>
              <w:autoSpaceDN w:val="0"/>
              <w:adjustRightInd w:val="0"/>
              <w:snapToGrid w:val="0"/>
              <w:spacing w:line="440" w:lineRule="exact"/>
              <w:ind w:firstLine="480" w:firstLineChars="200"/>
              <w:rPr>
                <w:color w:val="auto"/>
                <w:sz w:val="24"/>
                <w:highlight w:val="none"/>
              </w:rPr>
            </w:pPr>
            <w:r>
              <w:rPr>
                <w:rFonts w:hint="eastAsia"/>
                <w:color w:val="auto"/>
                <w:sz w:val="24"/>
                <w:highlight w:val="none"/>
                <w:lang w:bidi="ar"/>
              </w:rPr>
              <w:t>本项目受纳水体永春河，为新凯河一级支流</w:t>
            </w:r>
            <w:r>
              <w:rPr>
                <w:color w:val="auto"/>
                <w:sz w:val="24"/>
                <w:highlight w:val="none"/>
                <w:lang w:bidi="ar"/>
              </w:rPr>
              <w:t>，根据《2024年吉林省地表水国控断面水质月报》，新凯河</w:t>
            </w:r>
            <w:r>
              <w:rPr>
                <w:rFonts w:hint="eastAsia"/>
                <w:color w:val="auto"/>
                <w:sz w:val="24"/>
                <w:highlight w:val="none"/>
                <w:lang w:bidi="ar"/>
              </w:rPr>
              <w:t>公主岭市</w:t>
            </w:r>
            <w:r>
              <w:rPr>
                <w:color w:val="auto"/>
                <w:sz w:val="24"/>
                <w:highlight w:val="none"/>
                <w:lang w:bidi="ar"/>
              </w:rPr>
              <w:t>国控断面均满足《地表水环境质量标准》（GB3838-2002）中的</w:t>
            </w:r>
            <w:r>
              <w:rPr>
                <w:color w:val="auto"/>
                <w:kern w:val="0"/>
                <w:sz w:val="24"/>
                <w:szCs w:val="20"/>
                <w:highlight w:val="none"/>
              </w:rPr>
              <w:t>V</w:t>
            </w:r>
            <w:r>
              <w:rPr>
                <w:color w:val="auto"/>
                <w:sz w:val="24"/>
                <w:highlight w:val="none"/>
                <w:lang w:bidi="ar"/>
              </w:rPr>
              <w:t>类标准。</w:t>
            </w:r>
            <w:r>
              <w:rPr>
                <w:rFonts w:hint="eastAsia"/>
                <w:color w:val="auto"/>
                <w:sz w:val="24"/>
                <w:highlight w:val="none"/>
                <w:lang w:bidi="ar"/>
              </w:rPr>
              <w:t>混合废水经院内污水站处理后</w:t>
            </w:r>
            <w:r>
              <w:rPr>
                <w:color w:val="auto"/>
                <w:sz w:val="24"/>
                <w:highlight w:val="none"/>
                <w:lang w:bidi="ar"/>
              </w:rPr>
              <w:t>经市政管网排入长春市</w:t>
            </w:r>
            <w:r>
              <w:rPr>
                <w:rFonts w:hint="eastAsia"/>
                <w:color w:val="auto"/>
                <w:sz w:val="24"/>
                <w:highlight w:val="none"/>
                <w:lang w:bidi="ar"/>
              </w:rPr>
              <w:t>南部</w:t>
            </w:r>
            <w:r>
              <w:rPr>
                <w:color w:val="auto"/>
                <w:sz w:val="24"/>
                <w:highlight w:val="none"/>
                <w:lang w:bidi="ar"/>
              </w:rPr>
              <w:t>污水处理厂处理，污水处理</w:t>
            </w:r>
            <w:r>
              <w:rPr>
                <w:rFonts w:hint="eastAsia"/>
                <w:color w:val="auto"/>
                <w:sz w:val="24"/>
                <w:highlight w:val="none"/>
                <w:lang w:bidi="ar"/>
              </w:rPr>
              <w:t>厂</w:t>
            </w:r>
            <w:r>
              <w:rPr>
                <w:color w:val="auto"/>
                <w:sz w:val="24"/>
                <w:highlight w:val="none"/>
                <w:lang w:bidi="ar"/>
              </w:rPr>
              <w:t>出水水质COD、BOD</w:t>
            </w:r>
            <w:r>
              <w:rPr>
                <w:color w:val="auto"/>
                <w:sz w:val="24"/>
                <w:highlight w:val="none"/>
                <w:vertAlign w:val="subscript"/>
                <w:lang w:bidi="ar"/>
              </w:rPr>
              <w:t>5</w:t>
            </w:r>
            <w:r>
              <w:rPr>
                <w:color w:val="auto"/>
                <w:sz w:val="24"/>
                <w:highlight w:val="none"/>
                <w:lang w:bidi="ar"/>
              </w:rPr>
              <w:t>、SS、TN、NH</w:t>
            </w:r>
            <w:r>
              <w:rPr>
                <w:color w:val="auto"/>
                <w:sz w:val="24"/>
                <w:highlight w:val="none"/>
                <w:vertAlign w:val="subscript"/>
                <w:lang w:bidi="ar"/>
              </w:rPr>
              <w:t>3</w:t>
            </w:r>
            <w:r>
              <w:rPr>
                <w:color w:val="auto"/>
                <w:sz w:val="24"/>
                <w:highlight w:val="none"/>
                <w:lang w:bidi="ar"/>
              </w:rPr>
              <w:t>-N、TP</w:t>
            </w:r>
            <w:r>
              <w:rPr>
                <w:rFonts w:hint="eastAsia"/>
                <w:color w:val="auto"/>
                <w:sz w:val="24"/>
                <w:highlight w:val="none"/>
                <w:lang w:bidi="ar"/>
              </w:rPr>
              <w:t>满足</w:t>
            </w:r>
            <w:r>
              <w:rPr>
                <w:color w:val="auto"/>
                <w:sz w:val="24"/>
                <w:highlight w:val="none"/>
                <w:lang w:bidi="ar"/>
              </w:rPr>
              <w:t>《</w:t>
            </w:r>
            <w:r>
              <w:rPr>
                <w:rFonts w:hint="eastAsia"/>
                <w:color w:val="auto"/>
                <w:sz w:val="24"/>
                <w:highlight w:val="none"/>
                <w:lang w:bidi="ar"/>
              </w:rPr>
              <w:t>城镇污水处理厂水污染物排放标准</w:t>
            </w:r>
            <w:r>
              <w:rPr>
                <w:color w:val="auto"/>
                <w:sz w:val="24"/>
                <w:highlight w:val="none"/>
                <w:lang w:bidi="ar"/>
              </w:rPr>
              <w:t>》（</w:t>
            </w:r>
            <w:r>
              <w:rPr>
                <w:rFonts w:hint="eastAsia"/>
                <w:color w:val="auto"/>
                <w:sz w:val="24"/>
                <w:highlight w:val="none"/>
                <w:lang w:eastAsia="zh-CN" w:bidi="ar"/>
              </w:rPr>
              <w:t>DB11/890-2012</w:t>
            </w:r>
            <w:r>
              <w:rPr>
                <w:color w:val="auto"/>
                <w:sz w:val="24"/>
                <w:highlight w:val="none"/>
                <w:lang w:bidi="ar"/>
              </w:rPr>
              <w:t>）中的B标准</w:t>
            </w:r>
            <w:r>
              <w:rPr>
                <w:rFonts w:hint="eastAsia"/>
                <w:color w:val="auto"/>
                <w:sz w:val="24"/>
                <w:highlight w:val="none"/>
                <w:lang w:bidi="ar"/>
              </w:rPr>
              <w:t>后</w:t>
            </w:r>
            <w:r>
              <w:rPr>
                <w:bCs/>
                <w:color w:val="auto"/>
                <w:sz w:val="24"/>
                <w:highlight w:val="none"/>
              </w:rPr>
              <w:t>排入</w:t>
            </w:r>
            <w:r>
              <w:rPr>
                <w:rFonts w:hint="eastAsia"/>
                <w:bCs/>
                <w:color w:val="auto"/>
                <w:sz w:val="24"/>
                <w:highlight w:val="none"/>
              </w:rPr>
              <w:t>永春河</w:t>
            </w:r>
            <w:r>
              <w:rPr>
                <w:bCs/>
                <w:color w:val="auto"/>
                <w:sz w:val="24"/>
                <w:highlight w:val="none"/>
              </w:rPr>
              <w:t>最终汇入</w:t>
            </w:r>
            <w:r>
              <w:rPr>
                <w:rFonts w:hint="eastAsia"/>
                <w:bCs/>
                <w:color w:val="auto"/>
                <w:sz w:val="24"/>
                <w:highlight w:val="none"/>
              </w:rPr>
              <w:t>新凯河</w:t>
            </w:r>
            <w:r>
              <w:rPr>
                <w:bCs/>
                <w:color w:val="auto"/>
                <w:sz w:val="24"/>
                <w:highlight w:val="none"/>
              </w:rPr>
              <w:t>，</w:t>
            </w:r>
            <w:r>
              <w:rPr>
                <w:rFonts w:hint="eastAsia"/>
                <w:color w:val="auto"/>
                <w:sz w:val="24"/>
                <w:highlight w:val="none"/>
                <w:lang w:bidi="ar"/>
              </w:rPr>
              <w:t>本</w:t>
            </w:r>
            <w:r>
              <w:rPr>
                <w:color w:val="auto"/>
                <w:sz w:val="24"/>
                <w:highlight w:val="none"/>
                <w:lang w:bidi="ar"/>
              </w:rPr>
              <w:t>项目废水量较小，不会加重新凯河水质现状。</w:t>
            </w:r>
          </w:p>
          <w:p w14:paraId="120E209F">
            <w:pPr>
              <w:autoSpaceDE w:val="0"/>
              <w:autoSpaceDN w:val="0"/>
              <w:adjustRightInd w:val="0"/>
              <w:snapToGrid w:val="0"/>
              <w:spacing w:line="440" w:lineRule="exact"/>
              <w:ind w:firstLine="480" w:firstLineChars="200"/>
              <w:rPr>
                <w:color w:val="auto"/>
                <w:sz w:val="24"/>
                <w:highlight w:val="none"/>
              </w:rPr>
            </w:pPr>
            <w:r>
              <w:rPr>
                <w:rFonts w:hint="eastAsia"/>
                <w:color w:val="auto"/>
                <w:sz w:val="24"/>
                <w:highlight w:val="none"/>
              </w:rPr>
              <w:t>综上，本项目建设符合环境质量底线要求。</w:t>
            </w:r>
          </w:p>
          <w:p w14:paraId="4306401D">
            <w:pPr>
              <w:autoSpaceDE w:val="0"/>
              <w:autoSpaceDN w:val="0"/>
              <w:adjustRightInd w:val="0"/>
              <w:snapToGrid w:val="0"/>
              <w:spacing w:line="440" w:lineRule="exact"/>
              <w:ind w:firstLine="480" w:firstLineChars="200"/>
              <w:rPr>
                <w:color w:val="auto"/>
                <w:sz w:val="24"/>
                <w:highlight w:val="none"/>
              </w:rPr>
            </w:pPr>
            <w:r>
              <w:rPr>
                <w:rFonts w:hint="eastAsia"/>
                <w:color w:val="auto"/>
                <w:sz w:val="24"/>
                <w:highlight w:val="none"/>
              </w:rPr>
              <w:t>（3）资源利用上线</w:t>
            </w:r>
          </w:p>
          <w:p w14:paraId="61D675E5">
            <w:pPr>
              <w:autoSpaceDE w:val="0"/>
              <w:autoSpaceDN w:val="0"/>
              <w:adjustRightInd w:val="0"/>
              <w:snapToGrid w:val="0"/>
              <w:spacing w:line="440" w:lineRule="exact"/>
              <w:ind w:firstLine="480" w:firstLineChars="200"/>
              <w:rPr>
                <w:color w:val="auto"/>
                <w:kern w:val="0"/>
                <w:sz w:val="24"/>
                <w:highlight w:val="none"/>
              </w:rPr>
            </w:pPr>
            <w:r>
              <w:rPr>
                <w:rFonts w:hint="eastAsia"/>
                <w:color w:val="auto"/>
                <w:sz w:val="24"/>
                <w:highlight w:val="none"/>
              </w:rPr>
              <w:t>项目用水来源为市政给水管网，用电来自当地供电系统，用水用电量较小。同时项目租用</w:t>
            </w:r>
            <w:r>
              <w:rPr>
                <w:rFonts w:hint="eastAsia"/>
                <w:color w:val="auto"/>
                <w:kern w:val="0"/>
                <w:sz w:val="24"/>
                <w:highlight w:val="none"/>
              </w:rPr>
              <w:t>长春天宝英联汽车饰件有限公司现有办公楼，</w:t>
            </w:r>
            <w:r>
              <w:rPr>
                <w:rFonts w:hint="eastAsia"/>
                <w:color w:val="auto"/>
                <w:sz w:val="24"/>
                <w:highlight w:val="none"/>
              </w:rPr>
              <w:t>不新增占地，项目的水、电、土地等资源利用不会突破区域的资源利用上线。</w:t>
            </w:r>
          </w:p>
          <w:p w14:paraId="7B75B877">
            <w:pPr>
              <w:autoSpaceDE w:val="0"/>
              <w:autoSpaceDN w:val="0"/>
              <w:spacing w:line="440" w:lineRule="exact"/>
              <w:ind w:firstLine="482" w:firstLineChars="200"/>
              <w:rPr>
                <w:b/>
                <w:bCs/>
                <w:color w:val="auto"/>
                <w:kern w:val="0"/>
                <w:sz w:val="24"/>
                <w:highlight w:val="none"/>
              </w:rPr>
            </w:pPr>
            <w:r>
              <w:rPr>
                <w:b/>
                <w:bCs/>
                <w:color w:val="auto"/>
                <w:kern w:val="0"/>
                <w:sz w:val="24"/>
                <w:highlight w:val="none"/>
              </w:rPr>
              <w:t>3.生态环境准入清单</w:t>
            </w:r>
          </w:p>
          <w:p w14:paraId="6E32AB1C">
            <w:pPr>
              <w:adjustRightInd w:val="0"/>
              <w:snapToGrid w:val="0"/>
              <w:spacing w:line="440" w:lineRule="exact"/>
              <w:ind w:firstLine="482"/>
              <w:jc w:val="left"/>
              <w:rPr>
                <w:rFonts w:hint="eastAsia" w:ascii="宋体" w:hAnsi="宋体"/>
                <w:color w:val="auto"/>
                <w:sz w:val="24"/>
                <w:szCs w:val="22"/>
                <w:highlight w:val="none"/>
              </w:rPr>
            </w:pPr>
            <w:r>
              <w:rPr>
                <w:rFonts w:hint="eastAsia" w:ascii="宋体" w:hAnsi="宋体"/>
                <w:color w:val="auto"/>
                <w:sz w:val="24"/>
                <w:szCs w:val="22"/>
                <w:highlight w:val="none"/>
              </w:rPr>
              <w:t>根据</w:t>
            </w:r>
            <w:r>
              <w:rPr>
                <w:color w:val="auto"/>
                <w:sz w:val="24"/>
                <w:szCs w:val="22"/>
                <w:highlight w:val="none"/>
              </w:rPr>
              <w:t>2024年8月6日吉环函</w:t>
            </w:r>
            <w:r>
              <w:rPr>
                <w:rFonts w:hint="eastAsia"/>
                <w:color w:val="auto"/>
                <w:sz w:val="24"/>
                <w:szCs w:val="22"/>
                <w:highlight w:val="none"/>
                <w:lang w:eastAsia="zh-CN"/>
              </w:rPr>
              <w:t>[2024]158号</w:t>
            </w:r>
            <w:r>
              <w:rPr>
                <w:color w:val="auto"/>
                <w:sz w:val="24"/>
                <w:szCs w:val="22"/>
                <w:highlight w:val="none"/>
              </w:rPr>
              <w:t>吉林省生态环境厅关于印发《吉林省生态环境准入清单》的函。</w:t>
            </w:r>
          </w:p>
          <w:p w14:paraId="28DB3102">
            <w:pPr>
              <w:pStyle w:val="23"/>
              <w:spacing w:line="440" w:lineRule="exact"/>
              <w:ind w:left="0" w:leftChars="0" w:firstLine="480" w:firstLineChars="200"/>
              <w:rPr>
                <w:rFonts w:hint="eastAsia" w:ascii="宋体" w:hAnsi="宋体"/>
                <w:b w:val="0"/>
                <w:color w:val="auto"/>
                <w:sz w:val="24"/>
                <w:szCs w:val="22"/>
                <w:highlight w:val="none"/>
              </w:rPr>
            </w:pPr>
            <w:r>
              <w:rPr>
                <w:rFonts w:hint="eastAsia" w:ascii="宋体" w:hAnsi="宋体"/>
                <w:b w:val="0"/>
                <w:color w:val="auto"/>
                <w:sz w:val="24"/>
                <w:szCs w:val="22"/>
                <w:highlight w:val="none"/>
              </w:rPr>
              <w:t>①本项目与吉林省生态环境准入清单相符性分析如下：</w:t>
            </w:r>
          </w:p>
          <w:p w14:paraId="7BF3D97D">
            <w:pPr>
              <w:widowControl/>
              <w:ind w:firstLine="482" w:firstLineChars="200"/>
              <w:jc w:val="center"/>
              <w:rPr>
                <w:b/>
                <w:bCs/>
                <w:color w:val="auto"/>
                <w:kern w:val="8"/>
                <w:szCs w:val="21"/>
                <w:highlight w:val="none"/>
              </w:rPr>
            </w:pPr>
            <w:r>
              <w:rPr>
                <w:b/>
                <w:bCs/>
                <w:color w:val="auto"/>
                <w:kern w:val="8"/>
                <w:sz w:val="24"/>
                <w:highlight w:val="none"/>
              </w:rPr>
              <w:t>表1-3 全省总体准入要求</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34"/>
              <w:gridCol w:w="3973"/>
              <w:gridCol w:w="2307"/>
              <w:gridCol w:w="718"/>
            </w:tblGrid>
            <w:tr w14:paraId="3E369B3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15" w:type="pct"/>
                  <w:vAlign w:val="center"/>
                </w:tcPr>
                <w:p w14:paraId="54EB805A">
                  <w:pPr>
                    <w:adjustRightInd w:val="0"/>
                    <w:snapToGrid w:val="0"/>
                    <w:jc w:val="center"/>
                    <w:rPr>
                      <w:color w:val="auto"/>
                      <w:szCs w:val="21"/>
                      <w:highlight w:val="none"/>
                    </w:rPr>
                  </w:pPr>
                  <w:r>
                    <w:rPr>
                      <w:color w:val="auto"/>
                      <w:szCs w:val="21"/>
                      <w:highlight w:val="none"/>
                    </w:rPr>
                    <w:t>管控领域</w:t>
                  </w:r>
                </w:p>
              </w:tc>
              <w:tc>
                <w:tcPr>
                  <w:tcW w:w="2602" w:type="pct"/>
                  <w:vAlign w:val="center"/>
                </w:tcPr>
                <w:p w14:paraId="69A7E4EB">
                  <w:pPr>
                    <w:adjustRightInd w:val="0"/>
                    <w:snapToGrid w:val="0"/>
                    <w:jc w:val="center"/>
                    <w:rPr>
                      <w:color w:val="auto"/>
                      <w:szCs w:val="21"/>
                      <w:highlight w:val="none"/>
                    </w:rPr>
                  </w:pPr>
                  <w:r>
                    <w:rPr>
                      <w:color w:val="auto"/>
                      <w:szCs w:val="21"/>
                      <w:highlight w:val="none"/>
                    </w:rPr>
                    <w:t>环境准入及管控要求</w:t>
                  </w:r>
                </w:p>
              </w:tc>
              <w:tc>
                <w:tcPr>
                  <w:tcW w:w="1511" w:type="pct"/>
                  <w:vAlign w:val="center"/>
                </w:tcPr>
                <w:p w14:paraId="6905FE9C">
                  <w:pPr>
                    <w:adjustRightInd w:val="0"/>
                    <w:snapToGrid w:val="0"/>
                    <w:jc w:val="center"/>
                    <w:rPr>
                      <w:color w:val="auto"/>
                      <w:szCs w:val="21"/>
                      <w:highlight w:val="none"/>
                    </w:rPr>
                  </w:pPr>
                  <w:r>
                    <w:rPr>
                      <w:color w:val="auto"/>
                      <w:szCs w:val="21"/>
                      <w:highlight w:val="none"/>
                    </w:rPr>
                    <w:t>本项目</w:t>
                  </w:r>
                </w:p>
              </w:tc>
              <w:tc>
                <w:tcPr>
                  <w:tcW w:w="470" w:type="pct"/>
                  <w:vAlign w:val="center"/>
                </w:tcPr>
                <w:p w14:paraId="26058E73">
                  <w:pPr>
                    <w:adjustRightInd w:val="0"/>
                    <w:snapToGrid w:val="0"/>
                    <w:jc w:val="center"/>
                    <w:rPr>
                      <w:color w:val="auto"/>
                      <w:szCs w:val="21"/>
                      <w:highlight w:val="none"/>
                    </w:rPr>
                  </w:pPr>
                  <w:r>
                    <w:rPr>
                      <w:color w:val="auto"/>
                      <w:szCs w:val="21"/>
                      <w:highlight w:val="none"/>
                    </w:rPr>
                    <w:t>符合性</w:t>
                  </w:r>
                </w:p>
              </w:tc>
            </w:tr>
            <w:tr w14:paraId="23B52CE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5" w:type="pct"/>
                  <w:vMerge w:val="restart"/>
                  <w:vAlign w:val="center"/>
                </w:tcPr>
                <w:p w14:paraId="4FED1A64">
                  <w:pPr>
                    <w:adjustRightInd w:val="0"/>
                    <w:snapToGrid w:val="0"/>
                    <w:jc w:val="center"/>
                    <w:rPr>
                      <w:color w:val="auto"/>
                      <w:szCs w:val="21"/>
                      <w:highlight w:val="none"/>
                    </w:rPr>
                  </w:pPr>
                  <w:r>
                    <w:rPr>
                      <w:color w:val="auto"/>
                      <w:szCs w:val="21"/>
                      <w:highlight w:val="none"/>
                    </w:rPr>
                    <w:t>空间</w:t>
                  </w:r>
                </w:p>
                <w:p w14:paraId="561A5BDF">
                  <w:pPr>
                    <w:adjustRightInd w:val="0"/>
                    <w:snapToGrid w:val="0"/>
                    <w:jc w:val="center"/>
                    <w:rPr>
                      <w:color w:val="auto"/>
                      <w:szCs w:val="21"/>
                      <w:highlight w:val="none"/>
                    </w:rPr>
                  </w:pPr>
                  <w:r>
                    <w:rPr>
                      <w:color w:val="auto"/>
                      <w:szCs w:val="21"/>
                      <w:highlight w:val="none"/>
                    </w:rPr>
                    <w:t>布局</w:t>
                  </w:r>
                </w:p>
                <w:p w14:paraId="4C436948">
                  <w:pPr>
                    <w:adjustRightInd w:val="0"/>
                    <w:snapToGrid w:val="0"/>
                    <w:jc w:val="center"/>
                    <w:rPr>
                      <w:color w:val="auto"/>
                      <w:szCs w:val="21"/>
                      <w:highlight w:val="none"/>
                    </w:rPr>
                  </w:pPr>
                  <w:r>
                    <w:rPr>
                      <w:color w:val="auto"/>
                      <w:szCs w:val="21"/>
                      <w:highlight w:val="none"/>
                    </w:rPr>
                    <w:t>约束</w:t>
                  </w:r>
                </w:p>
              </w:tc>
              <w:tc>
                <w:tcPr>
                  <w:tcW w:w="2602" w:type="pct"/>
                  <w:vAlign w:val="center"/>
                </w:tcPr>
                <w:p w14:paraId="512ABEE1">
                  <w:pPr>
                    <w:pStyle w:val="53"/>
                    <w:spacing w:beforeLines="0" w:afterLines="0" w:line="240" w:lineRule="auto"/>
                    <w:rPr>
                      <w:rFonts w:ascii="Times New Roman" w:eastAsia="宋体"/>
                      <w:color w:val="auto"/>
                      <w:kern w:val="2"/>
                      <w:szCs w:val="21"/>
                      <w:highlight w:val="none"/>
                    </w:rPr>
                  </w:pPr>
                  <w:r>
                    <w:rPr>
                      <w:rFonts w:ascii="Times New Roman" w:eastAsia="宋体"/>
                      <w:color w:val="auto"/>
                      <w:kern w:val="2"/>
                      <w:szCs w:val="21"/>
                      <w:highlight w:val="none"/>
                    </w:rPr>
                    <w:t>禁止新建、扩建《产业结构调整指导</w:t>
                  </w:r>
                  <w:r>
                    <w:rPr>
                      <w:rFonts w:hint="eastAsia" w:ascii="Times New Roman" w:eastAsia="宋体"/>
                      <w:color w:val="auto"/>
                      <w:kern w:val="2"/>
                      <w:szCs w:val="21"/>
                      <w:highlight w:val="none"/>
                      <w:lang w:eastAsia="zh-CN"/>
                    </w:rPr>
                    <w:t>目录</w:t>
                  </w:r>
                  <w:r>
                    <w:rPr>
                      <w:rFonts w:ascii="Times New Roman" w:eastAsia="宋体"/>
                      <w:color w:val="auto"/>
                      <w:kern w:val="2"/>
                      <w:szCs w:val="21"/>
                      <w:highlight w:val="none"/>
                    </w:rPr>
                    <w:t>》（现行）明确的淘汰类项目和引入《市场准入负面清单》</w:t>
                  </w:r>
                  <w:r>
                    <w:rPr>
                      <w:rFonts w:hint="eastAsia" w:ascii="Times New Roman" w:eastAsia="宋体"/>
                      <w:color w:val="auto"/>
                      <w:kern w:val="2"/>
                      <w:szCs w:val="21"/>
                      <w:highlight w:val="none"/>
                    </w:rPr>
                    <w:t>（</w:t>
                  </w:r>
                  <w:r>
                    <w:rPr>
                      <w:rFonts w:ascii="Times New Roman" w:eastAsia="宋体"/>
                      <w:color w:val="auto"/>
                      <w:kern w:val="2"/>
                      <w:szCs w:val="21"/>
                      <w:highlight w:val="none"/>
                    </w:rPr>
                    <w:t>现行</w:t>
                  </w:r>
                  <w:r>
                    <w:rPr>
                      <w:rFonts w:hint="eastAsia" w:ascii="Times New Roman" w:eastAsia="宋体"/>
                      <w:color w:val="auto"/>
                      <w:kern w:val="2"/>
                      <w:szCs w:val="21"/>
                      <w:highlight w:val="none"/>
                    </w:rPr>
                    <w:t>）</w:t>
                  </w:r>
                  <w:r>
                    <w:rPr>
                      <w:rFonts w:ascii="Times New Roman" w:eastAsia="宋体"/>
                      <w:color w:val="auto"/>
                      <w:kern w:val="2"/>
                      <w:szCs w:val="21"/>
                      <w:highlight w:val="none"/>
                    </w:rPr>
                    <w:t>禁止准入类事项，引入项目应符合园区规划、规划环境影响评价和区域产业准入负面清单要求。</w:t>
                  </w:r>
                </w:p>
                <w:p w14:paraId="6FE9A1C4">
                  <w:pPr>
                    <w:adjustRightInd w:val="0"/>
                    <w:snapToGrid w:val="0"/>
                    <w:jc w:val="center"/>
                    <w:rPr>
                      <w:color w:val="auto"/>
                      <w:szCs w:val="21"/>
                      <w:highlight w:val="none"/>
                    </w:rPr>
                  </w:pPr>
                  <w:r>
                    <w:rPr>
                      <w:color w:val="auto"/>
                      <w:szCs w:val="21"/>
                      <w:highlight w:val="none"/>
                    </w:rPr>
                    <w:t>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511" w:type="pct"/>
                  <w:vAlign w:val="center"/>
                </w:tcPr>
                <w:p w14:paraId="70EFC8D9">
                  <w:pPr>
                    <w:adjustRightInd w:val="0"/>
                    <w:snapToGrid w:val="0"/>
                    <w:jc w:val="center"/>
                    <w:rPr>
                      <w:color w:val="auto"/>
                      <w:szCs w:val="21"/>
                      <w:highlight w:val="none"/>
                    </w:rPr>
                  </w:pPr>
                  <w:r>
                    <w:rPr>
                      <w:color w:val="auto"/>
                      <w:szCs w:val="21"/>
                      <w:highlight w:val="none"/>
                    </w:rPr>
                    <w:t>本项目为</w:t>
                  </w:r>
                  <w:r>
                    <w:rPr>
                      <w:rFonts w:hint="eastAsia"/>
                      <w:color w:val="auto"/>
                      <w:szCs w:val="21"/>
                      <w:highlight w:val="none"/>
                    </w:rPr>
                    <w:t>综合医院</w:t>
                  </w:r>
                  <w:r>
                    <w:rPr>
                      <w:color w:val="auto"/>
                      <w:szCs w:val="21"/>
                      <w:highlight w:val="none"/>
                    </w:rPr>
                    <w:t>，不属于开发区限制和禁止入区项目，根据《产业结构调整指导目录（2024年版）》中有关的条款，本项目</w:t>
                  </w:r>
                  <w:r>
                    <w:rPr>
                      <w:rFonts w:hint="eastAsia"/>
                      <w:color w:val="auto"/>
                      <w:szCs w:val="21"/>
                      <w:highlight w:val="none"/>
                    </w:rPr>
                    <w:t>属于“鼓励类”项目，</w:t>
                  </w:r>
                  <w:r>
                    <w:rPr>
                      <w:color w:val="auto"/>
                      <w:szCs w:val="21"/>
                      <w:highlight w:val="none"/>
                    </w:rPr>
                    <w:t>不属于“限制类”和“淘汰类”项目类别，符合产业政策要求，符合园区规划要求；本项目不属于负面清单中的项目。</w:t>
                  </w:r>
                </w:p>
              </w:tc>
              <w:tc>
                <w:tcPr>
                  <w:tcW w:w="470" w:type="pct"/>
                  <w:vAlign w:val="center"/>
                </w:tcPr>
                <w:p w14:paraId="39F9155C">
                  <w:pPr>
                    <w:adjustRightInd w:val="0"/>
                    <w:snapToGrid w:val="0"/>
                    <w:jc w:val="center"/>
                    <w:rPr>
                      <w:color w:val="auto"/>
                      <w:szCs w:val="21"/>
                      <w:highlight w:val="none"/>
                    </w:rPr>
                  </w:pPr>
                  <w:r>
                    <w:rPr>
                      <w:color w:val="auto"/>
                      <w:szCs w:val="21"/>
                      <w:highlight w:val="none"/>
                    </w:rPr>
                    <w:t>符合</w:t>
                  </w:r>
                </w:p>
              </w:tc>
            </w:tr>
            <w:tr w14:paraId="1FE58B4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5" w:type="pct"/>
                  <w:vMerge w:val="continue"/>
                  <w:vAlign w:val="center"/>
                </w:tcPr>
                <w:p w14:paraId="7887B85C">
                  <w:pPr>
                    <w:adjustRightInd w:val="0"/>
                    <w:snapToGrid w:val="0"/>
                    <w:jc w:val="center"/>
                    <w:rPr>
                      <w:color w:val="auto"/>
                      <w:szCs w:val="21"/>
                      <w:highlight w:val="none"/>
                    </w:rPr>
                  </w:pPr>
                </w:p>
              </w:tc>
              <w:tc>
                <w:tcPr>
                  <w:tcW w:w="2602" w:type="pct"/>
                  <w:vAlign w:val="center"/>
                </w:tcPr>
                <w:p w14:paraId="13A46325">
                  <w:pPr>
                    <w:pStyle w:val="53"/>
                    <w:spacing w:beforeLines="0" w:afterLines="0" w:line="240" w:lineRule="auto"/>
                    <w:contextualSpacing/>
                    <w:rPr>
                      <w:color w:val="auto"/>
                      <w:szCs w:val="21"/>
                      <w:highlight w:val="none"/>
                    </w:rPr>
                  </w:pPr>
                  <w:r>
                    <w:rPr>
                      <w:rFonts w:ascii="Times New Roman" w:eastAsia="宋体"/>
                      <w:color w:val="auto"/>
                      <w:kern w:val="2"/>
                      <w:szCs w:val="21"/>
                      <w:highlight w:val="none"/>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严格控制钢铁、焦化、</w:t>
                  </w:r>
                  <w:r>
                    <w:rPr>
                      <w:rFonts w:ascii="Times New Roman" w:hAnsi="Times New Roman" w:eastAsia="宋体" w:cs="Times New Roman"/>
                      <w:color w:val="auto"/>
                      <w:kern w:val="2"/>
                      <w:szCs w:val="21"/>
                      <w:highlight w:val="none"/>
                    </w:rPr>
                    <w:t>电解铝、水泥和平板玻璃等行业新增产能</w:t>
                  </w:r>
                  <w:r>
                    <w:rPr>
                      <w:rFonts w:hint="eastAsia" w:ascii="Times New Roman" w:hAnsi="Times New Roman" w:eastAsia="宋体" w:cs="Times New Roman"/>
                      <w:color w:val="auto"/>
                      <w:kern w:val="2"/>
                      <w:szCs w:val="21"/>
                      <w:highlight w:val="none"/>
                      <w:lang w:eastAsia="zh-CN"/>
                    </w:rPr>
                    <w:t>。</w:t>
                  </w:r>
                  <w:r>
                    <w:rPr>
                      <w:rFonts w:ascii="Times New Roman" w:hAnsi="Times New Roman" w:eastAsia="宋体" w:cs="Times New Roman"/>
                      <w:color w:val="auto"/>
                      <w:kern w:val="2"/>
                      <w:szCs w:val="21"/>
                      <w:highlight w:val="none"/>
                    </w:rPr>
                    <w:t>严控新建燃煤锅炉，县级以上城市建成区原则上不再新建每小时35蒸吨以下燃煤锅炉。</w:t>
                  </w:r>
                </w:p>
              </w:tc>
              <w:tc>
                <w:tcPr>
                  <w:tcW w:w="1511" w:type="pct"/>
                  <w:vAlign w:val="center"/>
                </w:tcPr>
                <w:p w14:paraId="247C3A1D">
                  <w:pPr>
                    <w:adjustRightInd w:val="0"/>
                    <w:snapToGrid w:val="0"/>
                    <w:jc w:val="center"/>
                    <w:rPr>
                      <w:color w:val="auto"/>
                      <w:szCs w:val="21"/>
                      <w:highlight w:val="none"/>
                    </w:rPr>
                  </w:pPr>
                  <w:r>
                    <w:rPr>
                      <w:color w:val="auto"/>
                      <w:szCs w:val="21"/>
                      <w:highlight w:val="none"/>
                    </w:rPr>
                    <w:t>本项目不属于两高行业</w:t>
                  </w:r>
                  <w:r>
                    <w:rPr>
                      <w:rFonts w:hint="eastAsia"/>
                      <w:color w:val="auto"/>
                      <w:szCs w:val="21"/>
                      <w:highlight w:val="none"/>
                    </w:rPr>
                    <w:t>，不涉及燃煤锅炉建设</w:t>
                  </w:r>
                  <w:r>
                    <w:rPr>
                      <w:color w:val="auto"/>
                      <w:szCs w:val="21"/>
                      <w:highlight w:val="none"/>
                    </w:rPr>
                    <w:t>。</w:t>
                  </w:r>
                </w:p>
              </w:tc>
              <w:tc>
                <w:tcPr>
                  <w:tcW w:w="470" w:type="pct"/>
                  <w:vAlign w:val="center"/>
                </w:tcPr>
                <w:p w14:paraId="4CCE42CD">
                  <w:pPr>
                    <w:adjustRightInd w:val="0"/>
                    <w:snapToGrid w:val="0"/>
                    <w:jc w:val="center"/>
                    <w:rPr>
                      <w:color w:val="auto"/>
                      <w:szCs w:val="21"/>
                      <w:highlight w:val="none"/>
                    </w:rPr>
                  </w:pPr>
                  <w:r>
                    <w:rPr>
                      <w:color w:val="auto"/>
                      <w:szCs w:val="21"/>
                      <w:highlight w:val="none"/>
                    </w:rPr>
                    <w:t>符合</w:t>
                  </w:r>
                </w:p>
              </w:tc>
            </w:tr>
            <w:tr w14:paraId="0CF7EE0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5" w:type="pct"/>
                  <w:vMerge w:val="continue"/>
                  <w:vAlign w:val="center"/>
                </w:tcPr>
                <w:p w14:paraId="441C6C8C">
                  <w:pPr>
                    <w:adjustRightInd w:val="0"/>
                    <w:snapToGrid w:val="0"/>
                    <w:jc w:val="center"/>
                    <w:rPr>
                      <w:color w:val="auto"/>
                      <w:szCs w:val="21"/>
                      <w:highlight w:val="none"/>
                    </w:rPr>
                  </w:pPr>
                </w:p>
              </w:tc>
              <w:tc>
                <w:tcPr>
                  <w:tcW w:w="2602" w:type="pct"/>
                  <w:vAlign w:val="center"/>
                </w:tcPr>
                <w:p w14:paraId="117CFD38">
                  <w:pPr>
                    <w:pStyle w:val="53"/>
                    <w:spacing w:beforeLines="0" w:afterLines="0" w:line="240" w:lineRule="auto"/>
                    <w:contextualSpacing/>
                    <w:rPr>
                      <w:rFonts w:ascii="Times New Roman" w:eastAsia="宋体"/>
                      <w:color w:val="auto"/>
                      <w:kern w:val="2"/>
                      <w:szCs w:val="24"/>
                      <w:highlight w:val="none"/>
                    </w:rPr>
                  </w:pPr>
                  <w:r>
                    <w:rPr>
                      <w:rFonts w:ascii="Times New Roman" w:eastAsia="宋体"/>
                      <w:color w:val="auto"/>
                      <w:kern w:val="2"/>
                      <w:szCs w:val="24"/>
                      <w:highlight w:val="none"/>
                    </w:rPr>
                    <w:t>重大项目原则上应布局在优化开发区和重点开发区，并符合国土空间总体规划。</w:t>
                  </w:r>
                </w:p>
                <w:p w14:paraId="030B1654">
                  <w:pPr>
                    <w:pStyle w:val="53"/>
                    <w:spacing w:beforeLines="0" w:afterLines="0" w:line="240" w:lineRule="auto"/>
                    <w:contextualSpacing/>
                    <w:rPr>
                      <w:rFonts w:ascii="Times New Roman" w:eastAsia="宋体"/>
                      <w:color w:val="auto"/>
                      <w:kern w:val="2"/>
                      <w:szCs w:val="24"/>
                      <w:highlight w:val="none"/>
                    </w:rPr>
                  </w:pPr>
                  <w:r>
                    <w:rPr>
                      <w:rFonts w:ascii="Times New Roman" w:eastAsia="宋体"/>
                      <w:color w:val="auto"/>
                      <w:kern w:val="2"/>
                      <w:szCs w:val="24"/>
                      <w:highlight w:val="none"/>
                    </w:rPr>
                    <w:t>化工石化、有色冶炼、制浆造纸等可能引发环境风险的项目，以及涉及石化、化工、工业涂装等重点行业高VOCs排放的建设项目，在符合国家产业政策和清洁生产水平要求、满足污染物排放标准以及污染物排放总量控制指标前提下，应当在依法设立、基础设施齐全并具备有效规划、规划环境影响评价的产业园区内布设。</w:t>
                  </w:r>
                </w:p>
                <w:p w14:paraId="5B6444D8">
                  <w:pPr>
                    <w:adjustRightInd w:val="0"/>
                    <w:snapToGrid w:val="0"/>
                    <w:jc w:val="center"/>
                    <w:rPr>
                      <w:color w:val="auto"/>
                      <w:szCs w:val="21"/>
                      <w:highlight w:val="none"/>
                    </w:rPr>
                  </w:pPr>
                  <w:r>
                    <w:rPr>
                      <w:rFonts w:hint="eastAsia"/>
                      <w:color w:val="auto"/>
                      <w:highlight w:val="none"/>
                    </w:rPr>
                    <w:t>严格落实规划环评及其批复文件环境准入条件</w:t>
                  </w:r>
                  <w:r>
                    <w:rPr>
                      <w:color w:val="auto"/>
                      <w:highlight w:val="none"/>
                    </w:rPr>
                    <w:t>，空气质量未达标地区制定更严格的产业准入门槛。</w:t>
                  </w:r>
                </w:p>
              </w:tc>
              <w:tc>
                <w:tcPr>
                  <w:tcW w:w="1511" w:type="pct"/>
                  <w:vAlign w:val="center"/>
                </w:tcPr>
                <w:p w14:paraId="35AC50E6">
                  <w:pPr>
                    <w:adjustRightInd w:val="0"/>
                    <w:snapToGrid w:val="0"/>
                    <w:jc w:val="center"/>
                    <w:rPr>
                      <w:color w:val="auto"/>
                      <w:szCs w:val="21"/>
                      <w:highlight w:val="none"/>
                    </w:rPr>
                  </w:pPr>
                  <w:r>
                    <w:rPr>
                      <w:color w:val="auto"/>
                      <w:szCs w:val="21"/>
                      <w:highlight w:val="none"/>
                    </w:rPr>
                    <w:t>本项目</w:t>
                  </w:r>
                  <w:r>
                    <w:rPr>
                      <w:rFonts w:hint="eastAsia"/>
                      <w:color w:val="auto"/>
                      <w:highlight w:val="none"/>
                      <w:lang w:eastAsia="zh-CN"/>
                    </w:rPr>
                    <w:t>无有机废气产生。</w:t>
                  </w:r>
                </w:p>
              </w:tc>
              <w:tc>
                <w:tcPr>
                  <w:tcW w:w="470" w:type="pct"/>
                  <w:vAlign w:val="center"/>
                </w:tcPr>
                <w:p w14:paraId="2EA86358">
                  <w:pPr>
                    <w:adjustRightInd w:val="0"/>
                    <w:snapToGrid w:val="0"/>
                    <w:jc w:val="center"/>
                    <w:rPr>
                      <w:color w:val="auto"/>
                      <w:szCs w:val="21"/>
                      <w:highlight w:val="none"/>
                    </w:rPr>
                  </w:pPr>
                  <w:r>
                    <w:rPr>
                      <w:color w:val="auto"/>
                      <w:szCs w:val="21"/>
                      <w:highlight w:val="none"/>
                    </w:rPr>
                    <w:t>符合</w:t>
                  </w:r>
                </w:p>
              </w:tc>
            </w:tr>
            <w:tr w14:paraId="1EFB1F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5" w:hRule="atLeast"/>
                <w:jc w:val="center"/>
              </w:trPr>
              <w:tc>
                <w:tcPr>
                  <w:tcW w:w="415" w:type="pct"/>
                  <w:vMerge w:val="continue"/>
                  <w:vAlign w:val="center"/>
                </w:tcPr>
                <w:p w14:paraId="1E725756">
                  <w:pPr>
                    <w:adjustRightInd w:val="0"/>
                    <w:snapToGrid w:val="0"/>
                    <w:jc w:val="center"/>
                    <w:rPr>
                      <w:color w:val="auto"/>
                      <w:szCs w:val="21"/>
                      <w:highlight w:val="none"/>
                    </w:rPr>
                  </w:pPr>
                </w:p>
              </w:tc>
              <w:tc>
                <w:tcPr>
                  <w:tcW w:w="2602" w:type="pct"/>
                  <w:vAlign w:val="center"/>
                </w:tcPr>
                <w:p w14:paraId="238D2FD9">
                  <w:pPr>
                    <w:adjustRightInd w:val="0"/>
                    <w:snapToGrid w:val="0"/>
                    <w:jc w:val="center"/>
                    <w:rPr>
                      <w:color w:val="auto"/>
                      <w:szCs w:val="21"/>
                      <w:highlight w:val="none"/>
                    </w:rPr>
                  </w:pPr>
                  <w:r>
                    <w:rPr>
                      <w:color w:val="auto"/>
                      <w:highlight w:val="none"/>
                    </w:rPr>
                    <w:t>进一步优化全省化工产业布局，提高化工行业本质安全和绿色发展水平，引领化工园区从规范化发展到高质量发展、促进化工产业转型升级</w:t>
                  </w:r>
                  <w:r>
                    <w:rPr>
                      <w:rFonts w:hint="eastAsia"/>
                      <w:color w:val="auto"/>
                      <w:highlight w:val="none"/>
                    </w:rPr>
                    <w:t>。</w:t>
                  </w:r>
                </w:p>
              </w:tc>
              <w:tc>
                <w:tcPr>
                  <w:tcW w:w="1511" w:type="pct"/>
                  <w:vAlign w:val="center"/>
                </w:tcPr>
                <w:p w14:paraId="7A7154BF">
                  <w:pPr>
                    <w:adjustRightInd w:val="0"/>
                    <w:snapToGrid w:val="0"/>
                    <w:jc w:val="center"/>
                    <w:rPr>
                      <w:color w:val="auto"/>
                      <w:szCs w:val="21"/>
                      <w:highlight w:val="none"/>
                    </w:rPr>
                  </w:pPr>
                  <w:r>
                    <w:rPr>
                      <w:rFonts w:hint="eastAsia"/>
                      <w:color w:val="auto"/>
                      <w:szCs w:val="21"/>
                      <w:highlight w:val="none"/>
                    </w:rPr>
                    <w:t>不涉及</w:t>
                  </w:r>
                </w:p>
              </w:tc>
              <w:tc>
                <w:tcPr>
                  <w:tcW w:w="470" w:type="pct"/>
                  <w:vAlign w:val="center"/>
                </w:tcPr>
                <w:p w14:paraId="68CD1713">
                  <w:pPr>
                    <w:adjustRightInd w:val="0"/>
                    <w:snapToGrid w:val="0"/>
                    <w:jc w:val="center"/>
                    <w:rPr>
                      <w:color w:val="auto"/>
                      <w:szCs w:val="21"/>
                      <w:highlight w:val="none"/>
                    </w:rPr>
                  </w:pPr>
                  <w:r>
                    <w:rPr>
                      <w:color w:val="auto"/>
                      <w:szCs w:val="21"/>
                      <w:highlight w:val="none"/>
                    </w:rPr>
                    <w:t>符合</w:t>
                  </w:r>
                </w:p>
              </w:tc>
            </w:tr>
            <w:tr w14:paraId="1AC4FA0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5" w:type="pct"/>
                  <w:vMerge w:val="restart"/>
                  <w:vAlign w:val="center"/>
                </w:tcPr>
                <w:p w14:paraId="22E5E5B2">
                  <w:pPr>
                    <w:adjustRightInd w:val="0"/>
                    <w:snapToGrid w:val="0"/>
                    <w:jc w:val="center"/>
                    <w:rPr>
                      <w:color w:val="auto"/>
                      <w:szCs w:val="21"/>
                      <w:highlight w:val="none"/>
                    </w:rPr>
                  </w:pPr>
                  <w:r>
                    <w:rPr>
                      <w:color w:val="auto"/>
                      <w:szCs w:val="21"/>
                      <w:highlight w:val="none"/>
                    </w:rPr>
                    <w:t>污染</w:t>
                  </w:r>
                </w:p>
                <w:p w14:paraId="68A993AF">
                  <w:pPr>
                    <w:adjustRightInd w:val="0"/>
                    <w:snapToGrid w:val="0"/>
                    <w:jc w:val="center"/>
                    <w:rPr>
                      <w:color w:val="auto"/>
                      <w:szCs w:val="21"/>
                      <w:highlight w:val="none"/>
                    </w:rPr>
                  </w:pPr>
                  <w:r>
                    <w:rPr>
                      <w:color w:val="auto"/>
                      <w:szCs w:val="21"/>
                      <w:highlight w:val="none"/>
                    </w:rPr>
                    <w:t>物排</w:t>
                  </w:r>
                </w:p>
                <w:p w14:paraId="4C939F5A">
                  <w:pPr>
                    <w:adjustRightInd w:val="0"/>
                    <w:snapToGrid w:val="0"/>
                    <w:jc w:val="center"/>
                    <w:rPr>
                      <w:color w:val="auto"/>
                      <w:szCs w:val="21"/>
                      <w:highlight w:val="none"/>
                    </w:rPr>
                  </w:pPr>
                  <w:r>
                    <w:rPr>
                      <w:color w:val="auto"/>
                      <w:szCs w:val="21"/>
                      <w:highlight w:val="none"/>
                    </w:rPr>
                    <w:t>放管</w:t>
                  </w:r>
                </w:p>
                <w:p w14:paraId="5655266C">
                  <w:pPr>
                    <w:adjustRightInd w:val="0"/>
                    <w:snapToGrid w:val="0"/>
                    <w:jc w:val="center"/>
                    <w:rPr>
                      <w:color w:val="auto"/>
                      <w:szCs w:val="21"/>
                      <w:highlight w:val="none"/>
                    </w:rPr>
                  </w:pPr>
                  <w:r>
                    <w:rPr>
                      <w:color w:val="auto"/>
                      <w:szCs w:val="21"/>
                      <w:highlight w:val="none"/>
                    </w:rPr>
                    <w:t>控</w:t>
                  </w:r>
                </w:p>
              </w:tc>
              <w:tc>
                <w:tcPr>
                  <w:tcW w:w="2602" w:type="pct"/>
                  <w:vAlign w:val="center"/>
                </w:tcPr>
                <w:p w14:paraId="1BAFD833">
                  <w:pPr>
                    <w:adjustRightInd w:val="0"/>
                    <w:snapToGrid w:val="0"/>
                    <w:jc w:val="center"/>
                    <w:rPr>
                      <w:color w:val="auto"/>
                      <w:szCs w:val="21"/>
                      <w:highlight w:val="none"/>
                    </w:rPr>
                  </w:pPr>
                  <w:r>
                    <w:rPr>
                      <w:color w:val="auto"/>
                      <w:highlight w:val="none"/>
                    </w:rPr>
                    <w:t>落实主要污染物总量控制和排污许可制度。新建、改建、扩建重点行业建设项目实行主要污染物排放等量或倍量削减替代。严格涉VOCs建设项目环境影响评价，逐步推进区域内VOCs排放等量或倍量削减替代。</w:t>
                  </w:r>
                </w:p>
              </w:tc>
              <w:tc>
                <w:tcPr>
                  <w:tcW w:w="1511" w:type="pct"/>
                  <w:vAlign w:val="center"/>
                </w:tcPr>
                <w:p w14:paraId="4405E3A2">
                  <w:pPr>
                    <w:adjustRightInd w:val="0"/>
                    <w:snapToGrid w:val="0"/>
                    <w:jc w:val="center"/>
                    <w:rPr>
                      <w:color w:val="auto"/>
                      <w:szCs w:val="21"/>
                      <w:highlight w:val="none"/>
                    </w:rPr>
                  </w:pPr>
                  <w:r>
                    <w:rPr>
                      <w:color w:val="auto"/>
                      <w:szCs w:val="21"/>
                      <w:highlight w:val="none"/>
                    </w:rPr>
                    <w:t>本项目无废气主要排放口，属于执行其他行业排放管理的建设项目，在环评审批过程中予以豁免主要污染物总量审核。</w:t>
                  </w:r>
                </w:p>
              </w:tc>
              <w:tc>
                <w:tcPr>
                  <w:tcW w:w="470" w:type="pct"/>
                  <w:vAlign w:val="center"/>
                </w:tcPr>
                <w:p w14:paraId="30FAA627">
                  <w:pPr>
                    <w:adjustRightInd w:val="0"/>
                    <w:snapToGrid w:val="0"/>
                    <w:jc w:val="center"/>
                    <w:rPr>
                      <w:color w:val="auto"/>
                      <w:szCs w:val="21"/>
                      <w:highlight w:val="none"/>
                    </w:rPr>
                  </w:pPr>
                  <w:r>
                    <w:rPr>
                      <w:color w:val="auto"/>
                      <w:szCs w:val="21"/>
                      <w:highlight w:val="none"/>
                    </w:rPr>
                    <w:t>符合</w:t>
                  </w:r>
                </w:p>
              </w:tc>
            </w:tr>
            <w:tr w14:paraId="7B9F9C1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5" w:type="pct"/>
                  <w:vMerge w:val="continue"/>
                  <w:vAlign w:val="center"/>
                </w:tcPr>
                <w:p w14:paraId="11B828BF">
                  <w:pPr>
                    <w:adjustRightInd w:val="0"/>
                    <w:snapToGrid w:val="0"/>
                    <w:jc w:val="center"/>
                    <w:rPr>
                      <w:color w:val="auto"/>
                      <w:szCs w:val="21"/>
                      <w:highlight w:val="none"/>
                    </w:rPr>
                  </w:pPr>
                </w:p>
                <w:p w14:paraId="60FFF130">
                  <w:pPr>
                    <w:adjustRightInd w:val="0"/>
                    <w:snapToGrid w:val="0"/>
                    <w:jc w:val="center"/>
                    <w:rPr>
                      <w:color w:val="auto"/>
                      <w:szCs w:val="21"/>
                      <w:highlight w:val="none"/>
                    </w:rPr>
                  </w:pPr>
                </w:p>
              </w:tc>
              <w:tc>
                <w:tcPr>
                  <w:tcW w:w="2602" w:type="pct"/>
                  <w:vAlign w:val="center"/>
                </w:tcPr>
                <w:p w14:paraId="55D4BB6B">
                  <w:pPr>
                    <w:adjustRightInd w:val="0"/>
                    <w:snapToGrid w:val="0"/>
                    <w:jc w:val="center"/>
                    <w:rPr>
                      <w:color w:val="auto"/>
                      <w:szCs w:val="21"/>
                      <w:highlight w:val="none"/>
                    </w:rPr>
                  </w:pPr>
                  <w:r>
                    <w:rPr>
                      <w:color w:val="auto"/>
                      <w:highlight w:val="none"/>
                    </w:rPr>
                    <w:t>空气质量未达标地区新建项目涉及的二氧化硫、氮氧化物、颗粒物、挥发性有机物（VOCs）排放全面执行大气污染物特别排放限值。</w:t>
                  </w:r>
                </w:p>
              </w:tc>
              <w:tc>
                <w:tcPr>
                  <w:tcW w:w="1511" w:type="pct"/>
                  <w:vAlign w:val="center"/>
                </w:tcPr>
                <w:p w14:paraId="5D26D0CF">
                  <w:pPr>
                    <w:adjustRightInd w:val="0"/>
                    <w:snapToGrid w:val="0"/>
                    <w:jc w:val="center"/>
                    <w:rPr>
                      <w:color w:val="auto"/>
                      <w:szCs w:val="21"/>
                      <w:highlight w:val="none"/>
                    </w:rPr>
                  </w:pPr>
                  <w:r>
                    <w:rPr>
                      <w:color w:val="auto"/>
                      <w:szCs w:val="21"/>
                      <w:highlight w:val="none"/>
                    </w:rPr>
                    <w:t>本项目</w:t>
                  </w:r>
                  <w:r>
                    <w:rPr>
                      <w:rFonts w:hint="eastAsia"/>
                      <w:color w:val="auto"/>
                      <w:szCs w:val="21"/>
                      <w:highlight w:val="none"/>
                    </w:rPr>
                    <w:t>位于达标区，</w:t>
                  </w:r>
                  <w:r>
                    <w:rPr>
                      <w:rFonts w:hint="eastAsia"/>
                      <w:color w:val="auto"/>
                      <w:highlight w:val="none"/>
                      <w:lang w:eastAsia="zh-CN"/>
                    </w:rPr>
                    <w:t>无有机废气产生</w:t>
                  </w:r>
                  <w:r>
                    <w:rPr>
                      <w:color w:val="auto"/>
                      <w:szCs w:val="21"/>
                      <w:highlight w:val="none"/>
                    </w:rPr>
                    <w:t>。</w:t>
                  </w:r>
                </w:p>
              </w:tc>
              <w:tc>
                <w:tcPr>
                  <w:tcW w:w="470" w:type="pct"/>
                  <w:vAlign w:val="center"/>
                </w:tcPr>
                <w:p w14:paraId="35258658">
                  <w:pPr>
                    <w:adjustRightInd w:val="0"/>
                    <w:snapToGrid w:val="0"/>
                    <w:jc w:val="center"/>
                    <w:rPr>
                      <w:color w:val="auto"/>
                      <w:szCs w:val="21"/>
                      <w:highlight w:val="none"/>
                    </w:rPr>
                  </w:pPr>
                  <w:r>
                    <w:rPr>
                      <w:color w:val="auto"/>
                      <w:szCs w:val="21"/>
                      <w:highlight w:val="none"/>
                    </w:rPr>
                    <w:t>符合</w:t>
                  </w:r>
                </w:p>
              </w:tc>
            </w:tr>
            <w:tr w14:paraId="751A70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768" w:hRule="atLeast"/>
                <w:jc w:val="center"/>
              </w:trPr>
              <w:tc>
                <w:tcPr>
                  <w:tcW w:w="415" w:type="pct"/>
                  <w:vAlign w:val="center"/>
                </w:tcPr>
                <w:p w14:paraId="3533C1B9">
                  <w:pPr>
                    <w:adjustRightInd w:val="0"/>
                    <w:snapToGrid w:val="0"/>
                    <w:jc w:val="center"/>
                    <w:rPr>
                      <w:color w:val="auto"/>
                      <w:highlight w:val="none"/>
                    </w:rPr>
                  </w:pPr>
                  <w:r>
                    <w:rPr>
                      <w:color w:val="auto"/>
                      <w:highlight w:val="none"/>
                    </w:rPr>
                    <w:t>资源利用要求</w:t>
                  </w:r>
                </w:p>
              </w:tc>
              <w:tc>
                <w:tcPr>
                  <w:tcW w:w="2602" w:type="pct"/>
                  <w:vAlign w:val="center"/>
                </w:tcPr>
                <w:p w14:paraId="1D9BA5DC">
                  <w:pPr>
                    <w:adjustRightInd w:val="0"/>
                    <w:snapToGrid w:val="0"/>
                    <w:jc w:val="center"/>
                    <w:rPr>
                      <w:color w:val="auto"/>
                      <w:highlight w:val="none"/>
                    </w:rPr>
                  </w:pPr>
                  <w:r>
                    <w:rPr>
                      <w:color w:val="auto"/>
                      <w:highlight w:val="none"/>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511" w:type="pct"/>
                  <w:vAlign w:val="center"/>
                </w:tcPr>
                <w:p w14:paraId="77369F9E">
                  <w:pPr>
                    <w:adjustRightInd w:val="0"/>
                    <w:snapToGrid w:val="0"/>
                    <w:jc w:val="center"/>
                    <w:rPr>
                      <w:color w:val="auto"/>
                      <w:szCs w:val="21"/>
                      <w:highlight w:val="none"/>
                    </w:rPr>
                  </w:pPr>
                  <w:r>
                    <w:rPr>
                      <w:rFonts w:hint="eastAsia"/>
                      <w:color w:val="auto"/>
                      <w:szCs w:val="21"/>
                      <w:highlight w:val="none"/>
                    </w:rPr>
                    <w:t>本项目位于工业园区，</w:t>
                  </w:r>
                  <w:r>
                    <w:rPr>
                      <w:rFonts w:hint="eastAsia"/>
                      <w:color w:val="auto"/>
                      <w:szCs w:val="21"/>
                      <w:highlight w:val="none"/>
                    </w:rPr>
                    <w:t>不属于</w:t>
                  </w:r>
                  <w:r>
                    <w:rPr>
                      <w:color w:val="auto"/>
                      <w:highlight w:val="none"/>
                    </w:rPr>
                    <w:t>火电、钢铁、造纸、化工、粮食深加工等重点行业</w:t>
                  </w:r>
                  <w:r>
                    <w:rPr>
                      <w:rFonts w:hint="eastAsia"/>
                      <w:color w:val="auto"/>
                      <w:szCs w:val="21"/>
                      <w:highlight w:val="none"/>
                    </w:rPr>
                    <w:t>。</w:t>
                  </w:r>
                </w:p>
              </w:tc>
              <w:tc>
                <w:tcPr>
                  <w:tcW w:w="470" w:type="pct"/>
                  <w:vAlign w:val="center"/>
                </w:tcPr>
                <w:p w14:paraId="0596612B">
                  <w:pPr>
                    <w:adjustRightInd w:val="0"/>
                    <w:snapToGrid w:val="0"/>
                    <w:jc w:val="center"/>
                    <w:rPr>
                      <w:color w:val="auto"/>
                      <w:szCs w:val="21"/>
                      <w:highlight w:val="none"/>
                    </w:rPr>
                  </w:pPr>
                  <w:r>
                    <w:rPr>
                      <w:color w:val="auto"/>
                      <w:szCs w:val="21"/>
                      <w:highlight w:val="none"/>
                    </w:rPr>
                    <w:t>符合</w:t>
                  </w:r>
                </w:p>
              </w:tc>
            </w:tr>
          </w:tbl>
          <w:p w14:paraId="1254522F">
            <w:pPr>
              <w:pStyle w:val="78"/>
              <w:ind w:firstLine="480"/>
              <w:rPr>
                <w:rFonts w:cs="Times New Roman"/>
                <w:color w:val="auto"/>
                <w:highlight w:val="none"/>
              </w:rPr>
            </w:pPr>
          </w:p>
          <w:p w14:paraId="47E19EBB">
            <w:pPr>
              <w:pStyle w:val="78"/>
              <w:ind w:firstLine="480"/>
              <w:rPr>
                <w:rFonts w:cs="Times New Roman"/>
                <w:color w:val="auto"/>
                <w:highlight w:val="none"/>
              </w:rPr>
            </w:pPr>
            <w:r>
              <w:rPr>
                <w:rFonts w:cs="Times New Roman"/>
                <w:color w:val="auto"/>
                <w:highlight w:val="none"/>
              </w:rPr>
              <w:t>②</w:t>
            </w:r>
            <w:r>
              <w:rPr>
                <w:rFonts w:cs="Times New Roman"/>
                <w:color w:val="auto"/>
                <w:highlight w:val="none"/>
              </w:rPr>
              <w:t>本项目与长春市生态环境准入清单相符性分析如下：</w:t>
            </w:r>
          </w:p>
          <w:p w14:paraId="3593349D">
            <w:pPr>
              <w:adjustRightInd w:val="0"/>
              <w:snapToGrid w:val="0"/>
              <w:jc w:val="center"/>
              <w:rPr>
                <w:b/>
                <w:color w:val="auto"/>
                <w:sz w:val="24"/>
                <w:highlight w:val="none"/>
                <w:u w:val="single"/>
              </w:rPr>
            </w:pPr>
            <w:r>
              <w:rPr>
                <w:b/>
                <w:color w:val="auto"/>
                <w:sz w:val="24"/>
                <w:highlight w:val="none"/>
              </w:rPr>
              <w:t>表1-4  长春市总体管控要求</w:t>
            </w:r>
          </w:p>
          <w:tbl>
            <w:tblPr>
              <w:tblStyle w:val="2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09"/>
              <w:gridCol w:w="611"/>
              <w:gridCol w:w="3892"/>
              <w:gridCol w:w="1860"/>
              <w:gridCol w:w="660"/>
            </w:tblGrid>
            <w:tr w14:paraId="0D0B1B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399" w:type="pct"/>
                  <w:vAlign w:val="center"/>
                </w:tcPr>
                <w:p w14:paraId="6B564C37">
                  <w:pPr>
                    <w:pStyle w:val="12"/>
                    <w:spacing w:before="0" w:after="0" w:line="240" w:lineRule="auto"/>
                    <w:ind w:right="0"/>
                    <w:jc w:val="center"/>
                    <w:rPr>
                      <w:color w:val="auto"/>
                      <w:sz w:val="21"/>
                      <w:szCs w:val="21"/>
                      <w:highlight w:val="none"/>
                    </w:rPr>
                  </w:pPr>
                  <w:r>
                    <w:rPr>
                      <w:color w:val="auto"/>
                      <w:sz w:val="21"/>
                      <w:szCs w:val="21"/>
                      <w:highlight w:val="none"/>
                    </w:rPr>
                    <w:t>管控领域</w:t>
                  </w:r>
                </w:p>
              </w:tc>
              <w:tc>
                <w:tcPr>
                  <w:tcW w:w="2949" w:type="pct"/>
                  <w:gridSpan w:val="2"/>
                  <w:vAlign w:val="center"/>
                </w:tcPr>
                <w:p w14:paraId="68B6CA5F">
                  <w:pPr>
                    <w:pStyle w:val="12"/>
                    <w:spacing w:before="0" w:after="0" w:line="240" w:lineRule="auto"/>
                    <w:ind w:right="0"/>
                    <w:jc w:val="center"/>
                    <w:rPr>
                      <w:color w:val="auto"/>
                      <w:sz w:val="21"/>
                      <w:szCs w:val="21"/>
                      <w:highlight w:val="none"/>
                    </w:rPr>
                  </w:pPr>
                  <w:r>
                    <w:rPr>
                      <w:color w:val="auto"/>
                      <w:sz w:val="21"/>
                      <w:szCs w:val="21"/>
                      <w:highlight w:val="none"/>
                    </w:rPr>
                    <w:t>管控要求</w:t>
                  </w:r>
                </w:p>
              </w:tc>
              <w:tc>
                <w:tcPr>
                  <w:tcW w:w="1218" w:type="pct"/>
                  <w:vAlign w:val="center"/>
                </w:tcPr>
                <w:p w14:paraId="477E8A09">
                  <w:pPr>
                    <w:pStyle w:val="12"/>
                    <w:spacing w:before="0" w:after="0" w:line="240" w:lineRule="auto"/>
                    <w:ind w:right="0"/>
                    <w:jc w:val="center"/>
                    <w:rPr>
                      <w:color w:val="auto"/>
                      <w:sz w:val="21"/>
                      <w:szCs w:val="21"/>
                      <w:highlight w:val="none"/>
                    </w:rPr>
                  </w:pPr>
                  <w:r>
                    <w:rPr>
                      <w:color w:val="auto"/>
                      <w:sz w:val="21"/>
                      <w:szCs w:val="21"/>
                      <w:highlight w:val="none"/>
                    </w:rPr>
                    <w:t>本项目工程内容</w:t>
                  </w:r>
                </w:p>
              </w:tc>
              <w:tc>
                <w:tcPr>
                  <w:tcW w:w="432" w:type="pct"/>
                  <w:vAlign w:val="center"/>
                </w:tcPr>
                <w:p w14:paraId="5C8247D8">
                  <w:pPr>
                    <w:pStyle w:val="12"/>
                    <w:spacing w:before="0" w:after="0" w:line="240" w:lineRule="auto"/>
                    <w:ind w:right="0"/>
                    <w:jc w:val="center"/>
                    <w:rPr>
                      <w:color w:val="auto"/>
                      <w:sz w:val="21"/>
                      <w:szCs w:val="21"/>
                      <w:highlight w:val="none"/>
                    </w:rPr>
                  </w:pPr>
                  <w:r>
                    <w:rPr>
                      <w:color w:val="auto"/>
                      <w:sz w:val="21"/>
                      <w:szCs w:val="21"/>
                      <w:highlight w:val="none"/>
                    </w:rPr>
                    <w:t>符合性</w:t>
                  </w:r>
                </w:p>
              </w:tc>
            </w:tr>
            <w:tr w14:paraId="762DA6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9" w:type="pct"/>
                  <w:vAlign w:val="center"/>
                </w:tcPr>
                <w:p w14:paraId="7E33D535">
                  <w:pPr>
                    <w:pStyle w:val="12"/>
                    <w:spacing w:after="0" w:line="240" w:lineRule="auto"/>
                    <w:ind w:right="0"/>
                    <w:jc w:val="center"/>
                    <w:rPr>
                      <w:color w:val="auto"/>
                      <w:sz w:val="21"/>
                      <w:szCs w:val="21"/>
                      <w:highlight w:val="none"/>
                    </w:rPr>
                  </w:pPr>
                  <w:r>
                    <w:rPr>
                      <w:color w:val="auto"/>
                      <w:sz w:val="21"/>
                      <w:szCs w:val="21"/>
                      <w:highlight w:val="none"/>
                    </w:rPr>
                    <w:t>空间布局约束</w:t>
                  </w:r>
                </w:p>
              </w:tc>
              <w:tc>
                <w:tcPr>
                  <w:tcW w:w="2949" w:type="pct"/>
                  <w:gridSpan w:val="2"/>
                  <w:vAlign w:val="center"/>
                </w:tcPr>
                <w:p w14:paraId="25875142">
                  <w:pPr>
                    <w:pStyle w:val="12"/>
                    <w:spacing w:after="0" w:line="240" w:lineRule="auto"/>
                    <w:ind w:right="0"/>
                    <w:jc w:val="center"/>
                    <w:rPr>
                      <w:color w:val="auto"/>
                      <w:sz w:val="21"/>
                      <w:szCs w:val="21"/>
                      <w:highlight w:val="none"/>
                    </w:rPr>
                  </w:pPr>
                  <w:r>
                    <w:rPr>
                      <w:color w:val="auto"/>
                      <w:sz w:val="21"/>
                      <w:szCs w:val="21"/>
                      <w:highlight w:val="none"/>
                    </w:rPr>
                    <w:t>功能布局总体按照“西产业、东生态、中服务”布局思路。西部依托汽开区、高新南区等平台，建设世界级汽车产业基地；依托绿园经济开发区、宽城装备制造产业开发区等平台，建设世界级轨道客车产业基地；依托北湖科技园、亚泰医药产业园、兴隆综保区、二道国际物流经济开发区等平台，建设中国智能装备制造中心和世界级农产品加工产业基地，并构建现代物流体系，承载世界级先进制造业尖峰区和东北亚国际物流中心职能。依托城市东部的大黑山脉，形成中国北方地区最优美的近郊复合生态功能带。中部沿城市中央的人民大街、伊通河、远达大街复合发展轴，集中发展现代金融、信息技术、科技创新、文化艺术等综合服务功能，打造东北亚国际商务服务中心、东北亚科技创新与转化基地。</w:t>
                  </w:r>
                </w:p>
              </w:tc>
              <w:tc>
                <w:tcPr>
                  <w:tcW w:w="1218" w:type="pct"/>
                  <w:vAlign w:val="center"/>
                </w:tcPr>
                <w:p w14:paraId="53452652">
                  <w:pPr>
                    <w:pStyle w:val="12"/>
                    <w:spacing w:after="0" w:line="240" w:lineRule="auto"/>
                    <w:ind w:right="0"/>
                    <w:jc w:val="center"/>
                    <w:rPr>
                      <w:color w:val="auto"/>
                      <w:sz w:val="21"/>
                      <w:szCs w:val="21"/>
                      <w:highlight w:val="none"/>
                    </w:rPr>
                  </w:pPr>
                  <w:r>
                    <w:rPr>
                      <w:color w:val="auto"/>
                      <w:sz w:val="21"/>
                      <w:szCs w:val="21"/>
                      <w:highlight w:val="none"/>
                    </w:rPr>
                    <w:t>本项目</w:t>
                  </w:r>
                  <w:r>
                    <w:rPr>
                      <w:rFonts w:hint="eastAsia"/>
                      <w:color w:val="auto"/>
                      <w:sz w:val="21"/>
                      <w:szCs w:val="21"/>
                      <w:highlight w:val="none"/>
                    </w:rPr>
                    <w:t>位于长春高新技术产业开发区北部产业片区，符合园区规划</w:t>
                  </w:r>
                </w:p>
              </w:tc>
              <w:tc>
                <w:tcPr>
                  <w:tcW w:w="432" w:type="pct"/>
                  <w:vAlign w:val="center"/>
                </w:tcPr>
                <w:p w14:paraId="1EDBED5C">
                  <w:pPr>
                    <w:pStyle w:val="12"/>
                    <w:spacing w:after="0" w:line="240" w:lineRule="auto"/>
                    <w:ind w:right="0"/>
                    <w:jc w:val="center"/>
                    <w:rPr>
                      <w:color w:val="auto"/>
                      <w:sz w:val="21"/>
                      <w:szCs w:val="21"/>
                      <w:highlight w:val="none"/>
                    </w:rPr>
                  </w:pPr>
                  <w:r>
                    <w:rPr>
                      <w:color w:val="auto"/>
                      <w:sz w:val="21"/>
                      <w:szCs w:val="21"/>
                      <w:highlight w:val="none"/>
                    </w:rPr>
                    <w:t>符合</w:t>
                  </w:r>
                </w:p>
              </w:tc>
            </w:tr>
            <w:tr w14:paraId="24910D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9" w:type="pct"/>
                  <w:vMerge w:val="restart"/>
                  <w:vAlign w:val="center"/>
                </w:tcPr>
                <w:p w14:paraId="505A8D84">
                  <w:pPr>
                    <w:pStyle w:val="12"/>
                    <w:spacing w:after="0" w:line="240" w:lineRule="auto"/>
                    <w:ind w:right="0"/>
                    <w:jc w:val="center"/>
                    <w:rPr>
                      <w:color w:val="auto"/>
                      <w:sz w:val="21"/>
                      <w:szCs w:val="21"/>
                      <w:highlight w:val="none"/>
                    </w:rPr>
                  </w:pPr>
                  <w:r>
                    <w:rPr>
                      <w:color w:val="auto"/>
                      <w:sz w:val="21"/>
                      <w:szCs w:val="21"/>
                      <w:highlight w:val="none"/>
                    </w:rPr>
                    <w:t>污染物排放管控</w:t>
                  </w:r>
                </w:p>
              </w:tc>
              <w:tc>
                <w:tcPr>
                  <w:tcW w:w="400" w:type="pct"/>
                  <w:vMerge w:val="restart"/>
                  <w:tcBorders>
                    <w:right w:val="single" w:color="auto" w:sz="4" w:space="0"/>
                  </w:tcBorders>
                  <w:vAlign w:val="center"/>
                </w:tcPr>
                <w:p w14:paraId="3CF3E030">
                  <w:pPr>
                    <w:pStyle w:val="12"/>
                    <w:spacing w:after="0" w:line="240" w:lineRule="auto"/>
                    <w:ind w:right="0"/>
                    <w:jc w:val="center"/>
                    <w:rPr>
                      <w:color w:val="auto"/>
                      <w:sz w:val="21"/>
                      <w:szCs w:val="21"/>
                      <w:highlight w:val="none"/>
                    </w:rPr>
                  </w:pPr>
                  <w:r>
                    <w:rPr>
                      <w:color w:val="auto"/>
                      <w:sz w:val="21"/>
                      <w:szCs w:val="21"/>
                      <w:highlight w:val="none"/>
                    </w:rPr>
                    <w:t>环境质量目标</w:t>
                  </w:r>
                </w:p>
              </w:tc>
              <w:tc>
                <w:tcPr>
                  <w:tcW w:w="2548" w:type="pct"/>
                  <w:tcBorders>
                    <w:left w:val="single" w:color="auto" w:sz="4" w:space="0"/>
                  </w:tcBorders>
                  <w:vAlign w:val="center"/>
                </w:tcPr>
                <w:p w14:paraId="72EC661B">
                  <w:pPr>
                    <w:jc w:val="center"/>
                    <w:rPr>
                      <w:color w:val="auto"/>
                      <w:kern w:val="0"/>
                      <w:szCs w:val="21"/>
                      <w:highlight w:val="none"/>
                    </w:rPr>
                  </w:pPr>
                  <w:r>
                    <w:rPr>
                      <w:color w:val="auto"/>
                      <w:kern w:val="0"/>
                      <w:szCs w:val="21"/>
                      <w:highlight w:val="none"/>
                    </w:rPr>
                    <w:t>大气环境质量持续改善。2025年全市PM</w:t>
                  </w:r>
                  <w:r>
                    <w:rPr>
                      <w:color w:val="auto"/>
                      <w:kern w:val="0"/>
                      <w:szCs w:val="21"/>
                      <w:highlight w:val="none"/>
                      <w:vertAlign w:val="subscript"/>
                    </w:rPr>
                    <w:t>2.5</w:t>
                  </w:r>
                  <w:r>
                    <w:rPr>
                      <w:color w:val="auto"/>
                      <w:kern w:val="0"/>
                      <w:szCs w:val="21"/>
                      <w:highlight w:val="none"/>
                    </w:rPr>
                    <w:t>年均浓度达到30微克/立方米，优良天数比例达到90%；2035年继续改善（沙尘影响不计入）。</w:t>
                  </w:r>
                </w:p>
              </w:tc>
              <w:tc>
                <w:tcPr>
                  <w:tcW w:w="1218" w:type="pct"/>
                  <w:vAlign w:val="center"/>
                </w:tcPr>
                <w:p w14:paraId="7215FD63">
                  <w:pPr>
                    <w:pStyle w:val="12"/>
                    <w:spacing w:after="0" w:line="240" w:lineRule="auto"/>
                    <w:ind w:right="0"/>
                    <w:jc w:val="center"/>
                    <w:rPr>
                      <w:color w:val="auto"/>
                      <w:sz w:val="21"/>
                      <w:szCs w:val="21"/>
                      <w:highlight w:val="none"/>
                    </w:rPr>
                  </w:pPr>
                  <w:r>
                    <w:rPr>
                      <w:rFonts w:hint="eastAsia"/>
                      <w:color w:val="auto"/>
                      <w:sz w:val="21"/>
                      <w:szCs w:val="21"/>
                      <w:highlight w:val="none"/>
                    </w:rPr>
                    <w:t>本项目产生废气采用相应处理措施进行处理，降低对周围环境的影响。</w:t>
                  </w:r>
                </w:p>
              </w:tc>
              <w:tc>
                <w:tcPr>
                  <w:tcW w:w="432" w:type="pct"/>
                  <w:vAlign w:val="center"/>
                </w:tcPr>
                <w:p w14:paraId="50A6A83D">
                  <w:pPr>
                    <w:pStyle w:val="12"/>
                    <w:spacing w:before="0" w:after="0" w:line="240" w:lineRule="auto"/>
                    <w:ind w:right="0"/>
                    <w:jc w:val="center"/>
                    <w:rPr>
                      <w:color w:val="auto"/>
                      <w:sz w:val="21"/>
                      <w:szCs w:val="21"/>
                      <w:highlight w:val="none"/>
                    </w:rPr>
                  </w:pPr>
                  <w:r>
                    <w:rPr>
                      <w:color w:val="auto"/>
                      <w:sz w:val="21"/>
                      <w:szCs w:val="21"/>
                      <w:highlight w:val="none"/>
                    </w:rPr>
                    <w:t>符合</w:t>
                  </w:r>
                </w:p>
              </w:tc>
            </w:tr>
            <w:tr w14:paraId="2AC07E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9" w:type="pct"/>
                  <w:vMerge w:val="continue"/>
                  <w:vAlign w:val="center"/>
                </w:tcPr>
                <w:p w14:paraId="6BD0B1F6">
                  <w:pPr>
                    <w:pStyle w:val="12"/>
                    <w:spacing w:after="0" w:line="240" w:lineRule="auto"/>
                    <w:ind w:right="0"/>
                    <w:jc w:val="center"/>
                    <w:rPr>
                      <w:color w:val="auto"/>
                      <w:sz w:val="21"/>
                      <w:szCs w:val="21"/>
                      <w:highlight w:val="none"/>
                    </w:rPr>
                  </w:pPr>
                </w:p>
              </w:tc>
              <w:tc>
                <w:tcPr>
                  <w:tcW w:w="400" w:type="pct"/>
                  <w:vMerge w:val="continue"/>
                  <w:tcBorders>
                    <w:right w:val="single" w:color="auto" w:sz="4" w:space="0"/>
                  </w:tcBorders>
                  <w:vAlign w:val="center"/>
                </w:tcPr>
                <w:p w14:paraId="40481B49">
                  <w:pPr>
                    <w:pStyle w:val="12"/>
                    <w:spacing w:after="0" w:line="240" w:lineRule="auto"/>
                    <w:ind w:right="0"/>
                    <w:jc w:val="center"/>
                    <w:rPr>
                      <w:color w:val="auto"/>
                      <w:sz w:val="21"/>
                      <w:szCs w:val="21"/>
                      <w:highlight w:val="none"/>
                    </w:rPr>
                  </w:pPr>
                </w:p>
              </w:tc>
              <w:tc>
                <w:tcPr>
                  <w:tcW w:w="2548" w:type="pct"/>
                  <w:tcBorders>
                    <w:left w:val="single" w:color="auto" w:sz="4" w:space="0"/>
                  </w:tcBorders>
                  <w:vAlign w:val="center"/>
                </w:tcPr>
                <w:p w14:paraId="294B8F2C">
                  <w:pPr>
                    <w:jc w:val="center"/>
                    <w:rPr>
                      <w:color w:val="auto"/>
                      <w:kern w:val="0"/>
                      <w:szCs w:val="21"/>
                      <w:highlight w:val="none"/>
                    </w:rPr>
                  </w:pPr>
                  <w:r>
                    <w:rPr>
                      <w:color w:val="auto"/>
                      <w:kern w:val="0"/>
                      <w:szCs w:val="21"/>
                      <w:highlight w:val="none"/>
                    </w:rPr>
                    <w:t>水环境质量持续改善。2025年，全市水生态环境质量全面改善，劣</w:t>
                  </w:r>
                  <w:r>
                    <w:rPr>
                      <w:rFonts w:hint="eastAsia"/>
                      <w:color w:val="auto"/>
                      <w:kern w:val="0"/>
                      <w:szCs w:val="21"/>
                      <w:highlight w:val="none"/>
                    </w:rPr>
                    <w:t>Ⅴ</w:t>
                  </w:r>
                  <w:r>
                    <w:rPr>
                      <w:color w:val="auto"/>
                      <w:kern w:val="0"/>
                      <w:szCs w:val="21"/>
                      <w:highlight w:val="none"/>
                    </w:rPr>
                    <w:t>类水体全面消除，地表水国控断面达到或好于</w:t>
                  </w:r>
                  <w:r>
                    <w:rPr>
                      <w:rFonts w:hint="eastAsia"/>
                      <w:color w:val="auto"/>
                      <w:kern w:val="0"/>
                      <w:szCs w:val="21"/>
                      <w:highlight w:val="none"/>
                    </w:rPr>
                    <w:t>Ⅲ</w:t>
                  </w:r>
                  <w:r>
                    <w:rPr>
                      <w:color w:val="auto"/>
                      <w:kern w:val="0"/>
                      <w:szCs w:val="21"/>
                      <w:highlight w:val="none"/>
                    </w:rPr>
                    <w:t>类水体比例达到</w:t>
                  </w:r>
                  <w:r>
                    <w:rPr>
                      <w:rFonts w:hint="eastAsia"/>
                      <w:color w:val="auto"/>
                      <w:kern w:val="0"/>
                      <w:szCs w:val="21"/>
                      <w:highlight w:val="none"/>
                    </w:rPr>
                    <w:t>62.5%</w:t>
                  </w:r>
                  <w:r>
                    <w:rPr>
                      <w:color w:val="auto"/>
                      <w:kern w:val="0"/>
                      <w:szCs w:val="21"/>
                      <w:highlight w:val="none"/>
                    </w:rPr>
                    <w:t>，河流生态水量得到基本保障，生态环境质量实现根本好转，水生态系统功能初步恢复。2035年，全市水生态环境质量在满足水生态功能区要求外，河流生态水量得到根本保障，水生态系统功能全面改善。</w:t>
                  </w:r>
                </w:p>
              </w:tc>
              <w:tc>
                <w:tcPr>
                  <w:tcW w:w="1218" w:type="pct"/>
                  <w:vAlign w:val="center"/>
                </w:tcPr>
                <w:p w14:paraId="52C041AE">
                  <w:pPr>
                    <w:pStyle w:val="12"/>
                    <w:spacing w:after="0" w:line="240" w:lineRule="auto"/>
                    <w:ind w:right="0"/>
                    <w:jc w:val="center"/>
                    <w:rPr>
                      <w:color w:val="auto"/>
                      <w:sz w:val="21"/>
                      <w:szCs w:val="21"/>
                      <w:highlight w:val="none"/>
                    </w:rPr>
                  </w:pPr>
                  <w:r>
                    <w:rPr>
                      <w:color w:val="auto"/>
                      <w:sz w:val="21"/>
                      <w:szCs w:val="21"/>
                      <w:highlight w:val="none"/>
                    </w:rPr>
                    <w:t>本项目</w:t>
                  </w:r>
                  <w:r>
                    <w:rPr>
                      <w:rFonts w:hint="eastAsia"/>
                      <w:color w:val="auto"/>
                      <w:sz w:val="21"/>
                      <w:szCs w:val="21"/>
                      <w:highlight w:val="none"/>
                    </w:rPr>
                    <w:t>混合废水经院内污水站处理后</w:t>
                  </w:r>
                  <w:r>
                    <w:rPr>
                      <w:color w:val="auto"/>
                      <w:sz w:val="21"/>
                      <w:szCs w:val="21"/>
                      <w:highlight w:val="none"/>
                    </w:rPr>
                    <w:t>经市政管网排入</w:t>
                  </w:r>
                  <w:r>
                    <w:rPr>
                      <w:rFonts w:hint="eastAsia"/>
                      <w:color w:val="auto"/>
                      <w:sz w:val="21"/>
                      <w:szCs w:val="21"/>
                      <w:highlight w:val="none"/>
                    </w:rPr>
                    <w:t>长春市南部污水处理厂处理。对地表水环境影响较小。</w:t>
                  </w:r>
                </w:p>
              </w:tc>
              <w:tc>
                <w:tcPr>
                  <w:tcW w:w="432" w:type="pct"/>
                  <w:vAlign w:val="center"/>
                </w:tcPr>
                <w:p w14:paraId="34A4A0FB">
                  <w:pPr>
                    <w:pStyle w:val="12"/>
                    <w:spacing w:before="0" w:after="0" w:line="240" w:lineRule="auto"/>
                    <w:ind w:right="0"/>
                    <w:jc w:val="center"/>
                    <w:rPr>
                      <w:color w:val="auto"/>
                      <w:sz w:val="21"/>
                      <w:szCs w:val="21"/>
                      <w:highlight w:val="none"/>
                    </w:rPr>
                  </w:pPr>
                  <w:r>
                    <w:rPr>
                      <w:color w:val="auto"/>
                      <w:sz w:val="21"/>
                      <w:szCs w:val="21"/>
                      <w:highlight w:val="none"/>
                    </w:rPr>
                    <w:t>符合</w:t>
                  </w:r>
                </w:p>
              </w:tc>
            </w:tr>
            <w:tr w14:paraId="464635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9" w:type="pct"/>
                  <w:vMerge w:val="continue"/>
                  <w:vAlign w:val="center"/>
                </w:tcPr>
                <w:p w14:paraId="35CE1CA0">
                  <w:pPr>
                    <w:pStyle w:val="12"/>
                    <w:spacing w:after="0" w:line="240" w:lineRule="auto"/>
                    <w:ind w:right="0"/>
                    <w:jc w:val="center"/>
                    <w:rPr>
                      <w:color w:val="auto"/>
                      <w:sz w:val="21"/>
                      <w:szCs w:val="21"/>
                      <w:highlight w:val="none"/>
                    </w:rPr>
                  </w:pPr>
                </w:p>
              </w:tc>
              <w:tc>
                <w:tcPr>
                  <w:tcW w:w="400" w:type="pct"/>
                  <w:vMerge w:val="restart"/>
                  <w:tcBorders>
                    <w:right w:val="single" w:color="auto" w:sz="4" w:space="0"/>
                  </w:tcBorders>
                  <w:vAlign w:val="center"/>
                </w:tcPr>
                <w:p w14:paraId="3F2CF3E7">
                  <w:pPr>
                    <w:pStyle w:val="12"/>
                    <w:spacing w:after="0" w:line="240" w:lineRule="auto"/>
                    <w:ind w:right="0"/>
                    <w:jc w:val="center"/>
                    <w:rPr>
                      <w:color w:val="auto"/>
                      <w:sz w:val="21"/>
                      <w:szCs w:val="21"/>
                      <w:highlight w:val="none"/>
                    </w:rPr>
                  </w:pPr>
                  <w:r>
                    <w:rPr>
                      <w:color w:val="auto"/>
                      <w:sz w:val="21"/>
                      <w:szCs w:val="21"/>
                      <w:highlight w:val="none"/>
                    </w:rPr>
                    <w:t>污染物控制要求</w:t>
                  </w:r>
                </w:p>
              </w:tc>
              <w:tc>
                <w:tcPr>
                  <w:tcW w:w="2548" w:type="pct"/>
                  <w:tcBorders>
                    <w:left w:val="single" w:color="auto" w:sz="4" w:space="0"/>
                  </w:tcBorders>
                  <w:vAlign w:val="center"/>
                </w:tcPr>
                <w:p w14:paraId="3A95AD39">
                  <w:pPr>
                    <w:jc w:val="center"/>
                    <w:rPr>
                      <w:color w:val="auto"/>
                      <w:kern w:val="0"/>
                      <w:szCs w:val="21"/>
                      <w:highlight w:val="none"/>
                    </w:rPr>
                  </w:pPr>
                  <w:r>
                    <w:rPr>
                      <w:color w:val="auto"/>
                      <w:kern w:val="0"/>
                      <w:szCs w:val="21"/>
                      <w:highlight w:val="none"/>
                    </w:rPr>
                    <w:t>实施20蒸吨以上燃煤锅炉升级改造，推动秸秆禁烧和综合利用。</w:t>
                  </w:r>
                </w:p>
              </w:tc>
              <w:tc>
                <w:tcPr>
                  <w:tcW w:w="1218" w:type="pct"/>
                  <w:vAlign w:val="center"/>
                </w:tcPr>
                <w:p w14:paraId="1B23486A">
                  <w:pPr>
                    <w:jc w:val="center"/>
                    <w:rPr>
                      <w:color w:val="auto"/>
                      <w:kern w:val="0"/>
                      <w:szCs w:val="21"/>
                      <w:highlight w:val="none"/>
                    </w:rPr>
                  </w:pPr>
                  <w:r>
                    <w:rPr>
                      <w:rFonts w:hint="eastAsia"/>
                      <w:color w:val="auto"/>
                      <w:kern w:val="0"/>
                      <w:szCs w:val="21"/>
                      <w:highlight w:val="none"/>
                    </w:rPr>
                    <w:t>不涉及。</w:t>
                  </w:r>
                </w:p>
              </w:tc>
              <w:tc>
                <w:tcPr>
                  <w:tcW w:w="432" w:type="pct"/>
                  <w:vAlign w:val="center"/>
                </w:tcPr>
                <w:p w14:paraId="339DC2C8">
                  <w:pPr>
                    <w:pStyle w:val="12"/>
                    <w:spacing w:before="0" w:after="0" w:line="240" w:lineRule="auto"/>
                    <w:ind w:right="0"/>
                    <w:jc w:val="center"/>
                    <w:rPr>
                      <w:color w:val="auto"/>
                      <w:sz w:val="21"/>
                      <w:szCs w:val="21"/>
                      <w:highlight w:val="none"/>
                    </w:rPr>
                  </w:pPr>
                  <w:r>
                    <w:rPr>
                      <w:color w:val="auto"/>
                      <w:sz w:val="21"/>
                      <w:szCs w:val="21"/>
                      <w:highlight w:val="none"/>
                    </w:rPr>
                    <w:t>符合</w:t>
                  </w:r>
                </w:p>
              </w:tc>
            </w:tr>
            <w:tr w14:paraId="616CC2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9" w:type="pct"/>
                  <w:vMerge w:val="continue"/>
                  <w:vAlign w:val="center"/>
                </w:tcPr>
                <w:p w14:paraId="0E903CBD">
                  <w:pPr>
                    <w:pStyle w:val="12"/>
                    <w:spacing w:after="0" w:line="240" w:lineRule="auto"/>
                    <w:ind w:right="0"/>
                    <w:jc w:val="center"/>
                    <w:rPr>
                      <w:color w:val="auto"/>
                      <w:sz w:val="21"/>
                      <w:szCs w:val="21"/>
                      <w:highlight w:val="none"/>
                    </w:rPr>
                  </w:pPr>
                </w:p>
              </w:tc>
              <w:tc>
                <w:tcPr>
                  <w:tcW w:w="400" w:type="pct"/>
                  <w:vMerge w:val="continue"/>
                  <w:tcBorders>
                    <w:right w:val="single" w:color="auto" w:sz="4" w:space="0"/>
                  </w:tcBorders>
                  <w:vAlign w:val="center"/>
                </w:tcPr>
                <w:p w14:paraId="4E76DE80">
                  <w:pPr>
                    <w:pStyle w:val="12"/>
                    <w:spacing w:after="0" w:line="240" w:lineRule="auto"/>
                    <w:ind w:right="0"/>
                    <w:jc w:val="center"/>
                    <w:rPr>
                      <w:color w:val="auto"/>
                      <w:sz w:val="21"/>
                      <w:szCs w:val="21"/>
                      <w:highlight w:val="none"/>
                    </w:rPr>
                  </w:pPr>
                </w:p>
              </w:tc>
              <w:tc>
                <w:tcPr>
                  <w:tcW w:w="2548" w:type="pct"/>
                  <w:tcBorders>
                    <w:left w:val="single" w:color="auto" w:sz="4" w:space="0"/>
                  </w:tcBorders>
                  <w:vAlign w:val="center"/>
                </w:tcPr>
                <w:p w14:paraId="4142A50C">
                  <w:pPr>
                    <w:jc w:val="center"/>
                    <w:rPr>
                      <w:color w:val="auto"/>
                      <w:kern w:val="0"/>
                      <w:szCs w:val="21"/>
                      <w:highlight w:val="none"/>
                    </w:rPr>
                  </w:pPr>
                  <w:r>
                    <w:rPr>
                      <w:color w:val="auto"/>
                      <w:kern w:val="0"/>
                      <w:szCs w:val="21"/>
                      <w:highlight w:val="none"/>
                    </w:rPr>
                    <w:t>全面推行清洁生产，加强重点企业清洁生产审核，推进重点行业改造生产流程。</w:t>
                  </w:r>
                </w:p>
              </w:tc>
              <w:tc>
                <w:tcPr>
                  <w:tcW w:w="1218" w:type="pct"/>
                  <w:vAlign w:val="center"/>
                </w:tcPr>
                <w:p w14:paraId="34C2A151">
                  <w:pPr>
                    <w:jc w:val="center"/>
                    <w:rPr>
                      <w:color w:val="auto"/>
                      <w:kern w:val="0"/>
                      <w:szCs w:val="21"/>
                      <w:highlight w:val="none"/>
                    </w:rPr>
                  </w:pPr>
                  <w:r>
                    <w:rPr>
                      <w:rFonts w:hint="eastAsia"/>
                      <w:color w:val="auto"/>
                      <w:kern w:val="0"/>
                      <w:szCs w:val="21"/>
                      <w:highlight w:val="none"/>
                    </w:rPr>
                    <w:t>本项目不属于重点行业。</w:t>
                  </w:r>
                </w:p>
              </w:tc>
              <w:tc>
                <w:tcPr>
                  <w:tcW w:w="432" w:type="pct"/>
                  <w:vAlign w:val="center"/>
                </w:tcPr>
                <w:p w14:paraId="29B35FBE">
                  <w:pPr>
                    <w:pStyle w:val="12"/>
                    <w:spacing w:after="0" w:line="240" w:lineRule="auto"/>
                    <w:ind w:right="0"/>
                    <w:jc w:val="center"/>
                    <w:rPr>
                      <w:color w:val="auto"/>
                      <w:sz w:val="21"/>
                      <w:szCs w:val="21"/>
                      <w:highlight w:val="none"/>
                    </w:rPr>
                  </w:pPr>
                  <w:r>
                    <w:rPr>
                      <w:color w:val="auto"/>
                      <w:sz w:val="21"/>
                      <w:szCs w:val="21"/>
                      <w:highlight w:val="none"/>
                    </w:rPr>
                    <w:t>符合</w:t>
                  </w:r>
                </w:p>
              </w:tc>
            </w:tr>
            <w:tr w14:paraId="62B729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9" w:type="pct"/>
                  <w:vMerge w:val="continue"/>
                  <w:vAlign w:val="center"/>
                </w:tcPr>
                <w:p w14:paraId="246152F9">
                  <w:pPr>
                    <w:pStyle w:val="12"/>
                    <w:spacing w:after="0" w:line="240" w:lineRule="auto"/>
                    <w:ind w:right="0"/>
                    <w:jc w:val="center"/>
                    <w:rPr>
                      <w:color w:val="auto"/>
                      <w:sz w:val="21"/>
                      <w:szCs w:val="21"/>
                      <w:highlight w:val="none"/>
                    </w:rPr>
                  </w:pPr>
                </w:p>
              </w:tc>
              <w:tc>
                <w:tcPr>
                  <w:tcW w:w="400" w:type="pct"/>
                  <w:vMerge w:val="continue"/>
                  <w:tcBorders>
                    <w:right w:val="single" w:color="auto" w:sz="4" w:space="0"/>
                  </w:tcBorders>
                  <w:vAlign w:val="center"/>
                </w:tcPr>
                <w:p w14:paraId="44B8D726">
                  <w:pPr>
                    <w:pStyle w:val="12"/>
                    <w:spacing w:after="0" w:line="240" w:lineRule="auto"/>
                    <w:ind w:right="0"/>
                    <w:jc w:val="center"/>
                    <w:rPr>
                      <w:color w:val="auto"/>
                      <w:sz w:val="21"/>
                      <w:szCs w:val="21"/>
                      <w:highlight w:val="none"/>
                    </w:rPr>
                  </w:pPr>
                </w:p>
              </w:tc>
              <w:tc>
                <w:tcPr>
                  <w:tcW w:w="2548" w:type="pct"/>
                  <w:tcBorders>
                    <w:left w:val="single" w:color="auto" w:sz="4" w:space="0"/>
                  </w:tcBorders>
                  <w:vAlign w:val="center"/>
                </w:tcPr>
                <w:p w14:paraId="0222AB98">
                  <w:pPr>
                    <w:jc w:val="center"/>
                    <w:rPr>
                      <w:color w:val="auto"/>
                      <w:kern w:val="0"/>
                      <w:szCs w:val="21"/>
                      <w:highlight w:val="none"/>
                    </w:rPr>
                  </w:pPr>
                  <w:r>
                    <w:rPr>
                      <w:color w:val="auto"/>
                      <w:kern w:val="0"/>
                      <w:szCs w:val="21"/>
                      <w:highlight w:val="none"/>
                    </w:rPr>
                    <w:t>加快产业园区绿色化循环化改造，建设绿色低碳的交通网络、建筑体系和工业体系，从源头减少能耗、物耗和污染物排放。</w:t>
                  </w:r>
                </w:p>
              </w:tc>
              <w:tc>
                <w:tcPr>
                  <w:tcW w:w="1218" w:type="pct"/>
                  <w:vAlign w:val="center"/>
                </w:tcPr>
                <w:p w14:paraId="071D9115">
                  <w:pPr>
                    <w:jc w:val="center"/>
                    <w:rPr>
                      <w:color w:val="auto"/>
                      <w:kern w:val="0"/>
                      <w:szCs w:val="21"/>
                      <w:highlight w:val="none"/>
                    </w:rPr>
                  </w:pPr>
                  <w:r>
                    <w:rPr>
                      <w:rFonts w:hint="eastAsia"/>
                      <w:color w:val="auto"/>
                      <w:kern w:val="0"/>
                      <w:szCs w:val="21"/>
                      <w:highlight w:val="none"/>
                    </w:rPr>
                    <w:t>不涉及</w:t>
                  </w:r>
                  <w:r>
                    <w:rPr>
                      <w:color w:val="auto"/>
                      <w:kern w:val="0"/>
                      <w:szCs w:val="21"/>
                      <w:highlight w:val="none"/>
                    </w:rPr>
                    <w:t>。</w:t>
                  </w:r>
                </w:p>
              </w:tc>
              <w:tc>
                <w:tcPr>
                  <w:tcW w:w="432" w:type="pct"/>
                  <w:vAlign w:val="center"/>
                </w:tcPr>
                <w:p w14:paraId="14538237">
                  <w:pPr>
                    <w:pStyle w:val="12"/>
                    <w:spacing w:after="0" w:line="240" w:lineRule="auto"/>
                    <w:ind w:right="0"/>
                    <w:jc w:val="center"/>
                    <w:rPr>
                      <w:color w:val="auto"/>
                      <w:sz w:val="21"/>
                      <w:szCs w:val="21"/>
                      <w:highlight w:val="none"/>
                    </w:rPr>
                  </w:pPr>
                  <w:r>
                    <w:rPr>
                      <w:color w:val="auto"/>
                      <w:sz w:val="21"/>
                      <w:szCs w:val="21"/>
                      <w:highlight w:val="none"/>
                    </w:rPr>
                    <w:t>符合</w:t>
                  </w:r>
                </w:p>
              </w:tc>
            </w:tr>
            <w:tr w14:paraId="635A6E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9" w:type="pct"/>
                  <w:vMerge w:val="restart"/>
                  <w:vAlign w:val="center"/>
                </w:tcPr>
                <w:p w14:paraId="27B46115">
                  <w:pPr>
                    <w:pStyle w:val="12"/>
                    <w:spacing w:after="0" w:line="240" w:lineRule="auto"/>
                    <w:ind w:right="0"/>
                    <w:jc w:val="center"/>
                    <w:rPr>
                      <w:color w:val="auto"/>
                      <w:sz w:val="21"/>
                      <w:szCs w:val="21"/>
                      <w:highlight w:val="none"/>
                    </w:rPr>
                  </w:pPr>
                  <w:r>
                    <w:rPr>
                      <w:color w:val="auto"/>
                      <w:sz w:val="21"/>
                      <w:szCs w:val="21"/>
                      <w:highlight w:val="none"/>
                    </w:rPr>
                    <w:t>资源利用要求</w:t>
                  </w:r>
                </w:p>
              </w:tc>
              <w:tc>
                <w:tcPr>
                  <w:tcW w:w="400" w:type="pct"/>
                  <w:tcBorders>
                    <w:right w:val="single" w:color="auto" w:sz="4" w:space="0"/>
                  </w:tcBorders>
                  <w:vAlign w:val="center"/>
                </w:tcPr>
                <w:p w14:paraId="4DFD32CD">
                  <w:pPr>
                    <w:pStyle w:val="12"/>
                    <w:spacing w:after="0" w:line="240" w:lineRule="auto"/>
                    <w:ind w:right="0"/>
                    <w:jc w:val="center"/>
                    <w:rPr>
                      <w:color w:val="auto"/>
                      <w:sz w:val="21"/>
                      <w:szCs w:val="21"/>
                      <w:highlight w:val="none"/>
                    </w:rPr>
                  </w:pPr>
                  <w:r>
                    <w:rPr>
                      <w:color w:val="auto"/>
                      <w:sz w:val="21"/>
                      <w:szCs w:val="21"/>
                      <w:highlight w:val="none"/>
                    </w:rPr>
                    <w:t>水资源</w:t>
                  </w:r>
                </w:p>
              </w:tc>
              <w:tc>
                <w:tcPr>
                  <w:tcW w:w="2548" w:type="pct"/>
                  <w:tcBorders>
                    <w:left w:val="single" w:color="auto" w:sz="4" w:space="0"/>
                  </w:tcBorders>
                  <w:vAlign w:val="center"/>
                </w:tcPr>
                <w:p w14:paraId="0592C9F4">
                  <w:pPr>
                    <w:pStyle w:val="12"/>
                    <w:spacing w:after="0" w:line="240" w:lineRule="auto"/>
                    <w:ind w:right="0"/>
                    <w:jc w:val="center"/>
                    <w:rPr>
                      <w:color w:val="auto"/>
                      <w:sz w:val="21"/>
                      <w:szCs w:val="21"/>
                      <w:highlight w:val="none"/>
                    </w:rPr>
                  </w:pPr>
                  <w:r>
                    <w:rPr>
                      <w:color w:val="auto"/>
                      <w:sz w:val="21"/>
                      <w:szCs w:val="21"/>
                      <w:highlight w:val="none"/>
                    </w:rPr>
                    <w:t>2025年用水量控制在30.20亿立方米内，2035年用水量控制在34.5亿立方米。</w:t>
                  </w:r>
                </w:p>
              </w:tc>
              <w:tc>
                <w:tcPr>
                  <w:tcW w:w="1218" w:type="pct"/>
                  <w:vAlign w:val="center"/>
                </w:tcPr>
                <w:p w14:paraId="6B5A4332">
                  <w:pPr>
                    <w:jc w:val="center"/>
                    <w:rPr>
                      <w:color w:val="auto"/>
                      <w:kern w:val="0"/>
                      <w:szCs w:val="21"/>
                      <w:highlight w:val="none"/>
                    </w:rPr>
                  </w:pPr>
                  <w:r>
                    <w:rPr>
                      <w:rFonts w:hint="eastAsia"/>
                      <w:color w:val="auto"/>
                      <w:szCs w:val="21"/>
                      <w:highlight w:val="none"/>
                    </w:rPr>
                    <w:t>本项目采用节水器具，缩短用水时间，减少水资源使用。</w:t>
                  </w:r>
                </w:p>
              </w:tc>
              <w:tc>
                <w:tcPr>
                  <w:tcW w:w="432" w:type="pct"/>
                  <w:vAlign w:val="center"/>
                </w:tcPr>
                <w:p w14:paraId="00D0BFCB">
                  <w:pPr>
                    <w:pStyle w:val="12"/>
                    <w:spacing w:after="0" w:line="240" w:lineRule="auto"/>
                    <w:ind w:right="0"/>
                    <w:jc w:val="center"/>
                    <w:rPr>
                      <w:color w:val="auto"/>
                      <w:sz w:val="21"/>
                      <w:szCs w:val="21"/>
                      <w:highlight w:val="none"/>
                    </w:rPr>
                  </w:pPr>
                  <w:r>
                    <w:rPr>
                      <w:color w:val="auto"/>
                      <w:sz w:val="21"/>
                      <w:szCs w:val="21"/>
                      <w:highlight w:val="none"/>
                    </w:rPr>
                    <w:t>符合</w:t>
                  </w:r>
                </w:p>
              </w:tc>
            </w:tr>
            <w:tr w14:paraId="07C307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9" w:type="pct"/>
                  <w:vMerge w:val="continue"/>
                  <w:vAlign w:val="center"/>
                </w:tcPr>
                <w:p w14:paraId="1F40390B">
                  <w:pPr>
                    <w:pStyle w:val="12"/>
                    <w:spacing w:after="0" w:line="240" w:lineRule="auto"/>
                    <w:ind w:right="0"/>
                    <w:jc w:val="center"/>
                    <w:rPr>
                      <w:color w:val="auto"/>
                      <w:sz w:val="21"/>
                      <w:szCs w:val="21"/>
                      <w:highlight w:val="none"/>
                    </w:rPr>
                  </w:pPr>
                </w:p>
              </w:tc>
              <w:tc>
                <w:tcPr>
                  <w:tcW w:w="400" w:type="pct"/>
                  <w:tcBorders>
                    <w:right w:val="single" w:color="auto" w:sz="4" w:space="0"/>
                  </w:tcBorders>
                  <w:vAlign w:val="center"/>
                </w:tcPr>
                <w:p w14:paraId="7DD91164">
                  <w:pPr>
                    <w:pStyle w:val="12"/>
                    <w:spacing w:after="0" w:line="240" w:lineRule="auto"/>
                    <w:ind w:right="0"/>
                    <w:jc w:val="center"/>
                    <w:rPr>
                      <w:color w:val="auto"/>
                      <w:sz w:val="21"/>
                      <w:szCs w:val="21"/>
                      <w:highlight w:val="none"/>
                    </w:rPr>
                  </w:pPr>
                  <w:r>
                    <w:rPr>
                      <w:color w:val="auto"/>
                      <w:sz w:val="21"/>
                      <w:szCs w:val="21"/>
                      <w:highlight w:val="none"/>
                    </w:rPr>
                    <w:t>土地资源</w:t>
                  </w:r>
                </w:p>
              </w:tc>
              <w:tc>
                <w:tcPr>
                  <w:tcW w:w="2548" w:type="pct"/>
                  <w:tcBorders>
                    <w:left w:val="single" w:color="auto" w:sz="4" w:space="0"/>
                  </w:tcBorders>
                  <w:vAlign w:val="center"/>
                </w:tcPr>
                <w:p w14:paraId="0B7D2497">
                  <w:pPr>
                    <w:pStyle w:val="12"/>
                    <w:spacing w:after="0" w:line="240" w:lineRule="auto"/>
                    <w:ind w:right="0"/>
                    <w:jc w:val="center"/>
                    <w:rPr>
                      <w:color w:val="auto"/>
                      <w:sz w:val="21"/>
                      <w:szCs w:val="21"/>
                      <w:highlight w:val="none"/>
                    </w:rPr>
                  </w:pPr>
                  <w:r>
                    <w:rPr>
                      <w:color w:val="auto"/>
                      <w:sz w:val="21"/>
                      <w:szCs w:val="21"/>
                      <w:highlight w:val="none"/>
                    </w:rPr>
                    <w:t>2025年耕地保有量不低于17858.88平方千米；永久基本农田保护面积不低于14766.90平方千米；城镇开发边界控制在1475.54平方千米以内。</w:t>
                  </w:r>
                </w:p>
              </w:tc>
              <w:tc>
                <w:tcPr>
                  <w:tcW w:w="1218" w:type="pct"/>
                  <w:vAlign w:val="center"/>
                </w:tcPr>
                <w:p w14:paraId="5AF160B0">
                  <w:pPr>
                    <w:jc w:val="center"/>
                    <w:rPr>
                      <w:rFonts w:hint="eastAsia" w:eastAsia="宋体"/>
                      <w:color w:val="auto"/>
                      <w:kern w:val="0"/>
                      <w:szCs w:val="21"/>
                      <w:highlight w:val="none"/>
                      <w:lang w:eastAsia="zh-CN"/>
                    </w:rPr>
                  </w:pPr>
                  <w:r>
                    <w:rPr>
                      <w:rFonts w:hint="eastAsia"/>
                      <w:color w:val="auto"/>
                      <w:kern w:val="0"/>
                      <w:szCs w:val="21"/>
                      <w:highlight w:val="none"/>
                    </w:rPr>
                    <w:t>本项目不新增占地</w:t>
                  </w:r>
                  <w:r>
                    <w:rPr>
                      <w:rFonts w:hint="eastAsia"/>
                      <w:color w:val="auto"/>
                      <w:kern w:val="0"/>
                      <w:szCs w:val="21"/>
                      <w:highlight w:val="none"/>
                      <w:lang w:eastAsia="zh-CN"/>
                    </w:rPr>
                    <w:t>。</w:t>
                  </w:r>
                </w:p>
              </w:tc>
              <w:tc>
                <w:tcPr>
                  <w:tcW w:w="432" w:type="pct"/>
                  <w:vAlign w:val="center"/>
                </w:tcPr>
                <w:p w14:paraId="791723BD">
                  <w:pPr>
                    <w:pStyle w:val="12"/>
                    <w:spacing w:after="0" w:line="240" w:lineRule="auto"/>
                    <w:ind w:right="0"/>
                    <w:jc w:val="center"/>
                    <w:rPr>
                      <w:color w:val="auto"/>
                      <w:sz w:val="21"/>
                      <w:szCs w:val="21"/>
                      <w:highlight w:val="none"/>
                    </w:rPr>
                  </w:pPr>
                  <w:r>
                    <w:rPr>
                      <w:color w:val="auto"/>
                      <w:sz w:val="21"/>
                      <w:szCs w:val="21"/>
                      <w:highlight w:val="none"/>
                    </w:rPr>
                    <w:t>符合</w:t>
                  </w:r>
                </w:p>
              </w:tc>
            </w:tr>
            <w:tr w14:paraId="73D4CD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9" w:type="pct"/>
                  <w:vMerge w:val="continue"/>
                  <w:vAlign w:val="center"/>
                </w:tcPr>
                <w:p w14:paraId="600DB8A7">
                  <w:pPr>
                    <w:pStyle w:val="12"/>
                    <w:spacing w:after="0" w:line="240" w:lineRule="auto"/>
                    <w:ind w:right="0"/>
                    <w:jc w:val="center"/>
                    <w:rPr>
                      <w:color w:val="auto"/>
                      <w:sz w:val="21"/>
                      <w:szCs w:val="21"/>
                      <w:highlight w:val="none"/>
                    </w:rPr>
                  </w:pPr>
                </w:p>
              </w:tc>
              <w:tc>
                <w:tcPr>
                  <w:tcW w:w="400" w:type="pct"/>
                  <w:tcBorders>
                    <w:right w:val="single" w:color="auto" w:sz="4" w:space="0"/>
                  </w:tcBorders>
                  <w:vAlign w:val="center"/>
                </w:tcPr>
                <w:p w14:paraId="0971BF54">
                  <w:pPr>
                    <w:pStyle w:val="12"/>
                    <w:spacing w:after="0" w:line="240" w:lineRule="auto"/>
                    <w:ind w:right="0"/>
                    <w:jc w:val="center"/>
                    <w:rPr>
                      <w:color w:val="auto"/>
                      <w:sz w:val="21"/>
                      <w:szCs w:val="21"/>
                      <w:highlight w:val="none"/>
                    </w:rPr>
                  </w:pPr>
                  <w:r>
                    <w:rPr>
                      <w:color w:val="auto"/>
                      <w:sz w:val="21"/>
                      <w:szCs w:val="21"/>
                      <w:highlight w:val="none"/>
                    </w:rPr>
                    <w:t>能源</w:t>
                  </w:r>
                </w:p>
              </w:tc>
              <w:tc>
                <w:tcPr>
                  <w:tcW w:w="2548" w:type="pct"/>
                  <w:tcBorders>
                    <w:left w:val="single" w:color="auto" w:sz="4" w:space="0"/>
                  </w:tcBorders>
                  <w:vAlign w:val="center"/>
                </w:tcPr>
                <w:p w14:paraId="6BC5B921">
                  <w:pPr>
                    <w:pStyle w:val="12"/>
                    <w:spacing w:after="0" w:line="240" w:lineRule="auto"/>
                    <w:ind w:right="0"/>
                    <w:jc w:val="center"/>
                    <w:rPr>
                      <w:color w:val="auto"/>
                      <w:sz w:val="21"/>
                      <w:szCs w:val="21"/>
                      <w:highlight w:val="none"/>
                    </w:rPr>
                  </w:pPr>
                  <w:r>
                    <w:rPr>
                      <w:color w:val="auto"/>
                      <w:spacing w:val="-11"/>
                      <w:sz w:val="21"/>
                      <w:szCs w:val="21"/>
                      <w:highlight w:val="none"/>
                    </w:rPr>
                    <w:t>2025年，煤炭消费总量控制在2711万吨以内。</w:t>
                  </w:r>
                </w:p>
              </w:tc>
              <w:tc>
                <w:tcPr>
                  <w:tcW w:w="1218" w:type="pct"/>
                  <w:vAlign w:val="center"/>
                </w:tcPr>
                <w:p w14:paraId="1B5C08FF">
                  <w:pPr>
                    <w:jc w:val="center"/>
                    <w:rPr>
                      <w:rFonts w:hint="eastAsia" w:eastAsia="宋体"/>
                      <w:color w:val="auto"/>
                      <w:kern w:val="0"/>
                      <w:szCs w:val="21"/>
                      <w:highlight w:val="none"/>
                      <w:lang w:eastAsia="zh-CN"/>
                    </w:rPr>
                  </w:pPr>
                  <w:r>
                    <w:rPr>
                      <w:rFonts w:hint="eastAsia"/>
                      <w:color w:val="auto"/>
                      <w:kern w:val="0"/>
                      <w:szCs w:val="21"/>
                      <w:highlight w:val="none"/>
                    </w:rPr>
                    <w:t>不涉及</w:t>
                  </w:r>
                  <w:r>
                    <w:rPr>
                      <w:rFonts w:hint="eastAsia"/>
                      <w:color w:val="auto"/>
                      <w:kern w:val="0"/>
                      <w:szCs w:val="21"/>
                      <w:highlight w:val="none"/>
                      <w:lang w:eastAsia="zh-CN"/>
                    </w:rPr>
                    <w:t>。</w:t>
                  </w:r>
                </w:p>
              </w:tc>
              <w:tc>
                <w:tcPr>
                  <w:tcW w:w="432" w:type="pct"/>
                  <w:vAlign w:val="center"/>
                </w:tcPr>
                <w:p w14:paraId="34D1E898">
                  <w:pPr>
                    <w:pStyle w:val="12"/>
                    <w:spacing w:after="0" w:line="240" w:lineRule="auto"/>
                    <w:ind w:right="0"/>
                    <w:jc w:val="center"/>
                    <w:rPr>
                      <w:color w:val="auto"/>
                      <w:sz w:val="21"/>
                      <w:szCs w:val="21"/>
                      <w:highlight w:val="none"/>
                    </w:rPr>
                  </w:pPr>
                  <w:r>
                    <w:rPr>
                      <w:color w:val="auto"/>
                      <w:sz w:val="21"/>
                      <w:szCs w:val="21"/>
                      <w:highlight w:val="none"/>
                    </w:rPr>
                    <w:t>符合</w:t>
                  </w:r>
                </w:p>
              </w:tc>
            </w:tr>
            <w:tr w14:paraId="1F7FB8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9" w:type="pct"/>
                  <w:vMerge w:val="continue"/>
                  <w:vAlign w:val="center"/>
                </w:tcPr>
                <w:p w14:paraId="45D905D8">
                  <w:pPr>
                    <w:pStyle w:val="12"/>
                    <w:spacing w:after="0" w:line="240" w:lineRule="auto"/>
                    <w:ind w:right="0"/>
                    <w:jc w:val="center"/>
                    <w:rPr>
                      <w:color w:val="auto"/>
                      <w:sz w:val="21"/>
                      <w:szCs w:val="21"/>
                      <w:highlight w:val="none"/>
                    </w:rPr>
                  </w:pPr>
                </w:p>
              </w:tc>
              <w:tc>
                <w:tcPr>
                  <w:tcW w:w="400" w:type="pct"/>
                  <w:tcBorders>
                    <w:right w:val="single" w:color="auto" w:sz="4" w:space="0"/>
                  </w:tcBorders>
                  <w:vAlign w:val="center"/>
                </w:tcPr>
                <w:p w14:paraId="31C1FB13">
                  <w:pPr>
                    <w:pStyle w:val="12"/>
                    <w:spacing w:after="0" w:line="240" w:lineRule="auto"/>
                    <w:ind w:right="0"/>
                    <w:jc w:val="center"/>
                    <w:rPr>
                      <w:color w:val="auto"/>
                      <w:sz w:val="21"/>
                      <w:szCs w:val="21"/>
                      <w:highlight w:val="none"/>
                    </w:rPr>
                  </w:pPr>
                  <w:r>
                    <w:rPr>
                      <w:color w:val="auto"/>
                      <w:sz w:val="21"/>
                      <w:szCs w:val="21"/>
                      <w:highlight w:val="none"/>
                    </w:rPr>
                    <w:t>其他</w:t>
                  </w:r>
                </w:p>
              </w:tc>
              <w:tc>
                <w:tcPr>
                  <w:tcW w:w="2548" w:type="pct"/>
                  <w:tcBorders>
                    <w:left w:val="single" w:color="auto" w:sz="4" w:space="0"/>
                  </w:tcBorders>
                  <w:vAlign w:val="center"/>
                </w:tcPr>
                <w:p w14:paraId="79C9C5F1">
                  <w:pPr>
                    <w:pStyle w:val="12"/>
                    <w:spacing w:after="0" w:line="240" w:lineRule="auto"/>
                    <w:ind w:right="0"/>
                    <w:jc w:val="center"/>
                    <w:rPr>
                      <w:color w:val="auto"/>
                      <w:sz w:val="21"/>
                      <w:szCs w:val="21"/>
                      <w:highlight w:val="none"/>
                    </w:rPr>
                  </w:pPr>
                  <w:r>
                    <w:rPr>
                      <w:color w:val="auto"/>
                      <w:sz w:val="21"/>
                      <w:szCs w:val="21"/>
                      <w:highlight w:val="none"/>
                    </w:rPr>
                    <w:t>探索构建统一高效的环境产品交易体系，积极推进排污权、用水权、碳排放交易，激发各类市场主体绿色发展内生动力。健全充分反映资源稀缺程度的用水、用电价格，体现环境损害成本的污水、垃圾处理价格，将生态环境成本纳入经济运行成本。推行生活垃圾分类。构建线上线下融合的废旧资源回收和循环利用体系，扩大生产者责任延伸制范围，动态更新产品回收名录，提高废旧资源再生利用水平。提高工业固体废物综合利用水平。发展循环经济。全面建立资源高效利用制度机制，健全资源节约集约循环利用政策体系，积极推进循环经济产业园建设。发展节能环保产业，提升节能环保技术、现代装备和服务水平。积极开发新能源和可再生能源，建立温室气体排放检测制度，构建以循环经济为主体的生态产业体系，培育以低碳为特征的循环经济增长点。</w:t>
                  </w:r>
                </w:p>
              </w:tc>
              <w:tc>
                <w:tcPr>
                  <w:tcW w:w="1218" w:type="pct"/>
                  <w:vAlign w:val="center"/>
                </w:tcPr>
                <w:p w14:paraId="4CBB97AD">
                  <w:pPr>
                    <w:jc w:val="center"/>
                    <w:rPr>
                      <w:color w:val="auto"/>
                      <w:kern w:val="0"/>
                      <w:szCs w:val="21"/>
                      <w:highlight w:val="none"/>
                    </w:rPr>
                  </w:pPr>
                  <w:r>
                    <w:rPr>
                      <w:rFonts w:hint="eastAsia"/>
                      <w:color w:val="auto"/>
                      <w:kern w:val="0"/>
                      <w:szCs w:val="21"/>
                      <w:highlight w:val="none"/>
                    </w:rPr>
                    <w:t>本项目严格按照要求对企业进行管理。</w:t>
                  </w:r>
                </w:p>
              </w:tc>
              <w:tc>
                <w:tcPr>
                  <w:tcW w:w="432" w:type="pct"/>
                  <w:vAlign w:val="center"/>
                </w:tcPr>
                <w:p w14:paraId="53B69BB1">
                  <w:pPr>
                    <w:pStyle w:val="12"/>
                    <w:spacing w:after="0" w:line="240" w:lineRule="auto"/>
                    <w:ind w:right="0"/>
                    <w:jc w:val="center"/>
                    <w:rPr>
                      <w:color w:val="auto"/>
                      <w:sz w:val="21"/>
                      <w:szCs w:val="21"/>
                      <w:highlight w:val="none"/>
                    </w:rPr>
                  </w:pPr>
                  <w:r>
                    <w:rPr>
                      <w:color w:val="auto"/>
                      <w:sz w:val="21"/>
                      <w:szCs w:val="21"/>
                      <w:highlight w:val="none"/>
                    </w:rPr>
                    <w:t>符合</w:t>
                  </w:r>
                </w:p>
              </w:tc>
            </w:tr>
          </w:tbl>
          <w:p w14:paraId="01E758D0">
            <w:pPr>
              <w:adjustRightInd w:val="0"/>
              <w:snapToGrid w:val="0"/>
              <w:spacing w:line="360" w:lineRule="auto"/>
              <w:ind w:firstLine="480" w:firstLineChars="200"/>
              <w:jc w:val="left"/>
              <w:textAlignment w:val="baseline"/>
              <w:rPr>
                <w:color w:val="auto"/>
                <w:sz w:val="24"/>
                <w:highlight w:val="none"/>
              </w:rPr>
            </w:pPr>
          </w:p>
          <w:p w14:paraId="2346D3D2">
            <w:pPr>
              <w:adjustRightInd w:val="0"/>
              <w:snapToGrid w:val="0"/>
              <w:spacing w:line="360" w:lineRule="auto"/>
              <w:ind w:firstLine="480" w:firstLineChars="200"/>
              <w:jc w:val="left"/>
              <w:textAlignment w:val="baseline"/>
              <w:rPr>
                <w:color w:val="auto"/>
                <w:highlight w:val="none"/>
              </w:rPr>
            </w:pPr>
            <w:r>
              <w:rPr>
                <w:color w:val="auto"/>
                <w:sz w:val="24"/>
                <w:highlight w:val="none"/>
              </w:rPr>
              <w:t>③</w:t>
            </w:r>
            <w:r>
              <w:rPr>
                <w:bCs/>
                <w:color w:val="auto"/>
                <w:sz w:val="24"/>
                <w:highlight w:val="none"/>
              </w:rPr>
              <w:t>长春高新技术产业开发区为重点管控区。本项目与所在生态环境管控区要求相符性分析如下：</w:t>
            </w:r>
          </w:p>
          <w:p w14:paraId="6F38D1DE">
            <w:pPr>
              <w:adjustRightInd w:val="0"/>
              <w:snapToGrid w:val="0"/>
              <w:jc w:val="center"/>
              <w:rPr>
                <w:b/>
                <w:color w:val="auto"/>
                <w:sz w:val="24"/>
                <w:highlight w:val="none"/>
              </w:rPr>
            </w:pPr>
            <w:r>
              <w:rPr>
                <w:b/>
                <w:color w:val="auto"/>
                <w:sz w:val="24"/>
                <w:highlight w:val="none"/>
              </w:rPr>
              <w:t>表1-5 与长春高新技术产业开发区生态环境准入清单符合性分析</w:t>
            </w:r>
          </w:p>
          <w:tbl>
            <w:tblPr>
              <w:tblStyle w:val="2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26"/>
              <w:gridCol w:w="5099"/>
              <w:gridCol w:w="1141"/>
              <w:gridCol w:w="666"/>
            </w:tblGrid>
            <w:tr w14:paraId="14A0E1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83" w:hRule="atLeast"/>
                <w:jc w:val="center"/>
              </w:trPr>
              <w:tc>
                <w:tcPr>
                  <w:tcW w:w="772" w:type="dxa"/>
                  <w:vAlign w:val="center"/>
                </w:tcPr>
                <w:p w14:paraId="71D8136D">
                  <w:pPr>
                    <w:pStyle w:val="12"/>
                    <w:spacing w:before="0" w:after="0" w:line="240" w:lineRule="auto"/>
                    <w:ind w:right="0"/>
                    <w:jc w:val="center"/>
                    <w:rPr>
                      <w:color w:val="auto"/>
                      <w:sz w:val="21"/>
                      <w:szCs w:val="21"/>
                      <w:highlight w:val="none"/>
                    </w:rPr>
                  </w:pPr>
                  <w:r>
                    <w:rPr>
                      <w:color w:val="auto"/>
                      <w:sz w:val="21"/>
                      <w:szCs w:val="21"/>
                      <w:highlight w:val="none"/>
                    </w:rPr>
                    <w:t>管控领域</w:t>
                  </w:r>
                </w:p>
              </w:tc>
              <w:tc>
                <w:tcPr>
                  <w:tcW w:w="5718" w:type="dxa"/>
                  <w:vAlign w:val="center"/>
                </w:tcPr>
                <w:p w14:paraId="096E3E74">
                  <w:pPr>
                    <w:pStyle w:val="12"/>
                    <w:spacing w:before="0" w:after="0" w:line="240" w:lineRule="auto"/>
                    <w:ind w:right="0"/>
                    <w:jc w:val="center"/>
                    <w:rPr>
                      <w:color w:val="auto"/>
                      <w:sz w:val="21"/>
                      <w:szCs w:val="21"/>
                      <w:highlight w:val="none"/>
                    </w:rPr>
                  </w:pPr>
                  <w:r>
                    <w:rPr>
                      <w:color w:val="auto"/>
                      <w:sz w:val="21"/>
                      <w:szCs w:val="21"/>
                      <w:highlight w:val="none"/>
                    </w:rPr>
                    <w:t>管控要求</w:t>
                  </w:r>
                </w:p>
              </w:tc>
              <w:tc>
                <w:tcPr>
                  <w:tcW w:w="1219" w:type="dxa"/>
                  <w:vAlign w:val="center"/>
                </w:tcPr>
                <w:p w14:paraId="655E935F">
                  <w:pPr>
                    <w:pStyle w:val="12"/>
                    <w:spacing w:before="0" w:after="0" w:line="240" w:lineRule="auto"/>
                    <w:ind w:right="0"/>
                    <w:jc w:val="center"/>
                    <w:rPr>
                      <w:color w:val="auto"/>
                      <w:sz w:val="21"/>
                      <w:szCs w:val="21"/>
                      <w:highlight w:val="none"/>
                    </w:rPr>
                  </w:pPr>
                  <w:r>
                    <w:rPr>
                      <w:color w:val="auto"/>
                      <w:sz w:val="21"/>
                      <w:szCs w:val="21"/>
                      <w:highlight w:val="none"/>
                    </w:rPr>
                    <w:t>本项目工程内容</w:t>
                  </w:r>
                </w:p>
              </w:tc>
              <w:tc>
                <w:tcPr>
                  <w:tcW w:w="703" w:type="dxa"/>
                  <w:vAlign w:val="center"/>
                </w:tcPr>
                <w:p w14:paraId="78489C4B">
                  <w:pPr>
                    <w:pStyle w:val="12"/>
                    <w:spacing w:before="0" w:after="0" w:line="240" w:lineRule="auto"/>
                    <w:ind w:right="0"/>
                    <w:jc w:val="center"/>
                    <w:rPr>
                      <w:color w:val="auto"/>
                      <w:sz w:val="21"/>
                      <w:szCs w:val="21"/>
                      <w:highlight w:val="none"/>
                    </w:rPr>
                  </w:pPr>
                  <w:r>
                    <w:rPr>
                      <w:color w:val="auto"/>
                      <w:sz w:val="21"/>
                      <w:szCs w:val="21"/>
                      <w:highlight w:val="none"/>
                    </w:rPr>
                    <w:t>符合性</w:t>
                  </w:r>
                </w:p>
              </w:tc>
            </w:tr>
            <w:tr w14:paraId="19C40C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72" w:type="dxa"/>
                  <w:vAlign w:val="center"/>
                </w:tcPr>
                <w:p w14:paraId="7B093F74">
                  <w:pPr>
                    <w:pStyle w:val="12"/>
                    <w:spacing w:before="0" w:after="0" w:line="240" w:lineRule="auto"/>
                    <w:ind w:right="0"/>
                    <w:jc w:val="center"/>
                    <w:rPr>
                      <w:color w:val="auto"/>
                      <w:sz w:val="21"/>
                      <w:szCs w:val="21"/>
                      <w:highlight w:val="none"/>
                    </w:rPr>
                  </w:pPr>
                  <w:r>
                    <w:rPr>
                      <w:color w:val="auto"/>
                      <w:sz w:val="21"/>
                      <w:szCs w:val="21"/>
                      <w:highlight w:val="none"/>
                    </w:rPr>
                    <w:t>空间布局约束</w:t>
                  </w:r>
                </w:p>
              </w:tc>
              <w:tc>
                <w:tcPr>
                  <w:tcW w:w="5718" w:type="dxa"/>
                  <w:vAlign w:val="center"/>
                </w:tcPr>
                <w:p w14:paraId="2CD441F9">
                  <w:pPr>
                    <w:pStyle w:val="12"/>
                    <w:spacing w:before="0" w:after="0" w:line="240" w:lineRule="auto"/>
                    <w:ind w:right="0"/>
                    <w:jc w:val="left"/>
                    <w:rPr>
                      <w:color w:val="auto"/>
                      <w:sz w:val="21"/>
                      <w:szCs w:val="21"/>
                      <w:highlight w:val="none"/>
                    </w:rPr>
                  </w:pPr>
                  <w:r>
                    <w:rPr>
                      <w:color w:val="auto"/>
                      <w:sz w:val="21"/>
                      <w:szCs w:val="21"/>
                      <w:highlight w:val="none"/>
                    </w:rPr>
                    <w:t>1禁止《产业结构调整指导目录》中的“淘汰类”项目；严格限制《产业结构调整指导目录》中的“限制类”项目入区。</w:t>
                  </w:r>
                </w:p>
                <w:p w14:paraId="65F3B89C">
                  <w:pPr>
                    <w:pStyle w:val="12"/>
                    <w:spacing w:before="0" w:after="0" w:line="240" w:lineRule="auto"/>
                    <w:ind w:right="0"/>
                    <w:jc w:val="left"/>
                    <w:rPr>
                      <w:color w:val="auto"/>
                      <w:sz w:val="21"/>
                      <w:szCs w:val="21"/>
                      <w:highlight w:val="none"/>
                    </w:rPr>
                  </w:pPr>
                  <w:r>
                    <w:rPr>
                      <w:color w:val="auto"/>
                      <w:sz w:val="21"/>
                      <w:szCs w:val="21"/>
                      <w:highlight w:val="none"/>
                    </w:rPr>
                    <w:t>2禁止《外商投资产业指导目录》中禁止外商投资的项目；严格限制《外商投资产业指导目录》中限制外商投资的项目入区。</w:t>
                  </w:r>
                </w:p>
                <w:p w14:paraId="51FE19A1">
                  <w:pPr>
                    <w:pStyle w:val="12"/>
                    <w:spacing w:before="0" w:after="0" w:line="240" w:lineRule="auto"/>
                    <w:ind w:right="0"/>
                    <w:jc w:val="left"/>
                    <w:rPr>
                      <w:color w:val="auto"/>
                      <w:sz w:val="21"/>
                      <w:szCs w:val="21"/>
                      <w:highlight w:val="none"/>
                    </w:rPr>
                  </w:pPr>
                  <w:r>
                    <w:rPr>
                      <w:color w:val="auto"/>
                      <w:sz w:val="21"/>
                      <w:szCs w:val="21"/>
                      <w:highlight w:val="none"/>
                    </w:rPr>
                    <w:t>3禁止不符合开发区总体规划或产业规划项目入区。</w:t>
                  </w:r>
                </w:p>
                <w:p w14:paraId="1C2A10FA">
                  <w:pPr>
                    <w:pStyle w:val="12"/>
                    <w:spacing w:before="0" w:after="0" w:line="240" w:lineRule="auto"/>
                    <w:ind w:right="0"/>
                    <w:jc w:val="left"/>
                    <w:rPr>
                      <w:color w:val="auto"/>
                      <w:sz w:val="21"/>
                      <w:szCs w:val="21"/>
                      <w:highlight w:val="none"/>
                    </w:rPr>
                  </w:pPr>
                  <w:r>
                    <w:rPr>
                      <w:color w:val="auto"/>
                      <w:sz w:val="21"/>
                      <w:szCs w:val="21"/>
                      <w:highlight w:val="none"/>
                    </w:rPr>
                    <w:t>4禁止新建水环境污染严重的项目；严格限制涉重企业入区，新增的重金属总量须征得相关主管部门批准后，方可实施。</w:t>
                  </w:r>
                </w:p>
              </w:tc>
              <w:tc>
                <w:tcPr>
                  <w:tcW w:w="1219" w:type="dxa"/>
                  <w:vAlign w:val="center"/>
                </w:tcPr>
                <w:p w14:paraId="14DA1858">
                  <w:pPr>
                    <w:pStyle w:val="12"/>
                    <w:spacing w:before="0" w:after="0" w:line="240" w:lineRule="auto"/>
                    <w:ind w:right="0"/>
                    <w:jc w:val="center"/>
                    <w:rPr>
                      <w:rFonts w:hint="eastAsia" w:eastAsia="宋体"/>
                      <w:color w:val="auto"/>
                      <w:sz w:val="21"/>
                      <w:szCs w:val="21"/>
                      <w:highlight w:val="none"/>
                      <w:lang w:val="en-US" w:eastAsia="zh-CN"/>
                    </w:rPr>
                  </w:pPr>
                  <w:r>
                    <w:rPr>
                      <w:color w:val="auto"/>
                      <w:sz w:val="21"/>
                      <w:szCs w:val="21"/>
                      <w:highlight w:val="none"/>
                    </w:rPr>
                    <w:t>本项目</w:t>
                  </w:r>
                  <w:r>
                    <w:rPr>
                      <w:rFonts w:hint="eastAsia"/>
                      <w:color w:val="auto"/>
                      <w:sz w:val="21"/>
                      <w:szCs w:val="21"/>
                      <w:highlight w:val="none"/>
                    </w:rPr>
                    <w:t>属于鼓励类项目，</w:t>
                  </w:r>
                  <w:r>
                    <w:rPr>
                      <w:color w:val="auto"/>
                      <w:sz w:val="21"/>
                      <w:szCs w:val="21"/>
                      <w:highlight w:val="none"/>
                    </w:rPr>
                    <w:t>不属于高污染企业</w:t>
                  </w:r>
                  <w:r>
                    <w:rPr>
                      <w:rFonts w:hint="eastAsia"/>
                      <w:color w:val="auto"/>
                      <w:sz w:val="21"/>
                      <w:szCs w:val="21"/>
                      <w:highlight w:val="none"/>
                      <w:lang w:eastAsia="zh-CN"/>
                    </w:rPr>
                    <w:t>。</w:t>
                  </w:r>
                </w:p>
              </w:tc>
              <w:tc>
                <w:tcPr>
                  <w:tcW w:w="703" w:type="dxa"/>
                  <w:vAlign w:val="center"/>
                </w:tcPr>
                <w:p w14:paraId="0DE4B36D">
                  <w:pPr>
                    <w:pStyle w:val="12"/>
                    <w:spacing w:before="0" w:after="0" w:line="240" w:lineRule="auto"/>
                    <w:ind w:right="0"/>
                    <w:jc w:val="center"/>
                    <w:rPr>
                      <w:color w:val="auto"/>
                      <w:sz w:val="21"/>
                      <w:szCs w:val="21"/>
                      <w:highlight w:val="none"/>
                    </w:rPr>
                  </w:pPr>
                  <w:r>
                    <w:rPr>
                      <w:color w:val="auto"/>
                      <w:sz w:val="21"/>
                      <w:szCs w:val="21"/>
                      <w:highlight w:val="none"/>
                    </w:rPr>
                    <w:t>符合</w:t>
                  </w:r>
                </w:p>
              </w:tc>
            </w:tr>
            <w:tr w14:paraId="7144D3D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72" w:type="dxa"/>
                  <w:vAlign w:val="center"/>
                </w:tcPr>
                <w:p w14:paraId="11282066">
                  <w:pPr>
                    <w:rPr>
                      <w:color w:val="auto"/>
                      <w:kern w:val="0"/>
                      <w:szCs w:val="21"/>
                      <w:highlight w:val="none"/>
                    </w:rPr>
                  </w:pPr>
                  <w:r>
                    <w:rPr>
                      <w:color w:val="auto"/>
                      <w:kern w:val="0"/>
                      <w:szCs w:val="21"/>
                      <w:highlight w:val="none"/>
                    </w:rPr>
                    <w:t>污染</w:t>
                  </w:r>
                </w:p>
                <w:p w14:paraId="4B6F95B6">
                  <w:pPr>
                    <w:rPr>
                      <w:color w:val="auto"/>
                      <w:kern w:val="0"/>
                      <w:szCs w:val="21"/>
                      <w:highlight w:val="none"/>
                    </w:rPr>
                  </w:pPr>
                  <w:r>
                    <w:rPr>
                      <w:color w:val="auto"/>
                      <w:kern w:val="0"/>
                      <w:szCs w:val="21"/>
                      <w:highlight w:val="none"/>
                    </w:rPr>
                    <w:t>物排</w:t>
                  </w:r>
                </w:p>
                <w:p w14:paraId="12CF4ADA">
                  <w:pPr>
                    <w:rPr>
                      <w:color w:val="auto"/>
                      <w:kern w:val="0"/>
                      <w:szCs w:val="21"/>
                      <w:highlight w:val="none"/>
                    </w:rPr>
                  </w:pPr>
                  <w:r>
                    <w:rPr>
                      <w:color w:val="auto"/>
                      <w:kern w:val="0"/>
                      <w:szCs w:val="21"/>
                      <w:highlight w:val="none"/>
                    </w:rPr>
                    <w:t>放管</w:t>
                  </w:r>
                </w:p>
                <w:p w14:paraId="3577379B">
                  <w:pPr>
                    <w:rPr>
                      <w:color w:val="auto"/>
                      <w:kern w:val="0"/>
                      <w:szCs w:val="21"/>
                      <w:highlight w:val="none"/>
                    </w:rPr>
                  </w:pPr>
                  <w:r>
                    <w:rPr>
                      <w:color w:val="auto"/>
                      <w:kern w:val="0"/>
                      <w:szCs w:val="21"/>
                      <w:highlight w:val="none"/>
                    </w:rPr>
                    <w:t>控</w:t>
                  </w:r>
                </w:p>
              </w:tc>
              <w:tc>
                <w:tcPr>
                  <w:tcW w:w="5718" w:type="dxa"/>
                  <w:vAlign w:val="center"/>
                </w:tcPr>
                <w:p w14:paraId="399D07CE">
                  <w:pPr>
                    <w:rPr>
                      <w:color w:val="auto"/>
                      <w:kern w:val="0"/>
                      <w:szCs w:val="21"/>
                      <w:highlight w:val="none"/>
                    </w:rPr>
                  </w:pPr>
                  <w:r>
                    <w:rPr>
                      <w:color w:val="auto"/>
                      <w:kern w:val="0"/>
                      <w:szCs w:val="21"/>
                      <w:highlight w:val="none"/>
                    </w:rPr>
                    <w:t>1工业涂装等涉及挥发性有机物排放的行业企业属于控制重点，应推广使用低（无）挥发性有机物含量的原辅材料，安装高效集气装置等措施，提升工艺废气、尾气收集处置率。</w:t>
                  </w:r>
                </w:p>
                <w:p w14:paraId="58414326">
                  <w:pPr>
                    <w:rPr>
                      <w:color w:val="auto"/>
                      <w:kern w:val="0"/>
                      <w:szCs w:val="21"/>
                      <w:highlight w:val="none"/>
                    </w:rPr>
                  </w:pPr>
                  <w:r>
                    <w:rPr>
                      <w:color w:val="auto"/>
                      <w:kern w:val="0"/>
                      <w:szCs w:val="21"/>
                      <w:highlight w:val="none"/>
                    </w:rPr>
                    <w:t>2重点行业污染治理升级改造，推进各类园区循环化改造。</w:t>
                  </w:r>
                </w:p>
                <w:p w14:paraId="5AB9F66C">
                  <w:pPr>
                    <w:rPr>
                      <w:color w:val="auto"/>
                      <w:kern w:val="0"/>
                      <w:szCs w:val="21"/>
                      <w:highlight w:val="none"/>
                    </w:rPr>
                  </w:pPr>
                  <w:r>
                    <w:rPr>
                      <w:color w:val="auto"/>
                      <w:kern w:val="0"/>
                      <w:szCs w:val="21"/>
                      <w:highlight w:val="none"/>
                    </w:rPr>
                    <w:t>3一体推进重点行业大气污染深度治理与节能降碳，推动大型燃煤锅炉、钢铁、水泥等行业超低排放改造，推动重点行业、重点领域氮氧化物减排，探索开展大气污染物与温室气体排放协同控制改造提升工程试点。</w:t>
                  </w:r>
                </w:p>
                <w:p w14:paraId="2B2F8379">
                  <w:pPr>
                    <w:rPr>
                      <w:color w:val="auto"/>
                      <w:kern w:val="0"/>
                      <w:szCs w:val="21"/>
                      <w:highlight w:val="none"/>
                    </w:rPr>
                  </w:pPr>
                  <w:r>
                    <w:rPr>
                      <w:color w:val="auto"/>
                      <w:kern w:val="0"/>
                      <w:szCs w:val="21"/>
                      <w:highlight w:val="none"/>
                    </w:rPr>
                    <w:t>4执行《吉林省新污染物治理实施方案》相关要求，加强新污染物多环境介质协同治理，全面强化清洁生产和绿色制造。</w:t>
                  </w:r>
                </w:p>
              </w:tc>
              <w:tc>
                <w:tcPr>
                  <w:tcW w:w="1219" w:type="dxa"/>
                  <w:vAlign w:val="center"/>
                </w:tcPr>
                <w:p w14:paraId="58D3848F">
                  <w:pPr>
                    <w:pStyle w:val="12"/>
                    <w:spacing w:before="0" w:after="0" w:line="240" w:lineRule="auto"/>
                    <w:ind w:right="0"/>
                    <w:jc w:val="center"/>
                    <w:rPr>
                      <w:rFonts w:hint="eastAsia" w:eastAsia="宋体"/>
                      <w:color w:val="auto"/>
                      <w:sz w:val="21"/>
                      <w:szCs w:val="21"/>
                      <w:highlight w:val="none"/>
                      <w:lang w:eastAsia="zh-CN"/>
                    </w:rPr>
                  </w:pPr>
                  <w:r>
                    <w:rPr>
                      <w:rFonts w:hint="eastAsia"/>
                      <w:color w:val="auto"/>
                      <w:sz w:val="21"/>
                      <w:szCs w:val="21"/>
                      <w:highlight w:val="none"/>
                    </w:rPr>
                    <w:t>本项目不属于重点行业，项目废气均得到有效处理，满足相应排放标准，对环境污染较小</w:t>
                  </w:r>
                  <w:r>
                    <w:rPr>
                      <w:rFonts w:hint="eastAsia"/>
                      <w:color w:val="auto"/>
                      <w:sz w:val="21"/>
                      <w:szCs w:val="21"/>
                      <w:highlight w:val="none"/>
                      <w:lang w:eastAsia="zh-CN"/>
                    </w:rPr>
                    <w:t>。</w:t>
                  </w:r>
                </w:p>
              </w:tc>
              <w:tc>
                <w:tcPr>
                  <w:tcW w:w="703" w:type="dxa"/>
                  <w:vAlign w:val="center"/>
                </w:tcPr>
                <w:p w14:paraId="4591465A">
                  <w:pPr>
                    <w:pStyle w:val="12"/>
                    <w:spacing w:before="0" w:after="0" w:line="240" w:lineRule="auto"/>
                    <w:ind w:right="0"/>
                    <w:jc w:val="center"/>
                    <w:rPr>
                      <w:color w:val="auto"/>
                      <w:sz w:val="21"/>
                      <w:szCs w:val="21"/>
                      <w:highlight w:val="none"/>
                    </w:rPr>
                  </w:pPr>
                  <w:r>
                    <w:rPr>
                      <w:color w:val="auto"/>
                      <w:sz w:val="21"/>
                      <w:szCs w:val="21"/>
                      <w:highlight w:val="none"/>
                    </w:rPr>
                    <w:t>符合</w:t>
                  </w:r>
                </w:p>
              </w:tc>
            </w:tr>
            <w:tr w14:paraId="717817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72" w:type="dxa"/>
                  <w:vAlign w:val="center"/>
                </w:tcPr>
                <w:p w14:paraId="787EF30E">
                  <w:pPr>
                    <w:rPr>
                      <w:color w:val="auto"/>
                      <w:kern w:val="0"/>
                      <w:szCs w:val="21"/>
                      <w:highlight w:val="none"/>
                    </w:rPr>
                  </w:pPr>
                  <w:r>
                    <w:rPr>
                      <w:color w:val="auto"/>
                      <w:kern w:val="0"/>
                      <w:szCs w:val="21"/>
                      <w:highlight w:val="none"/>
                    </w:rPr>
                    <w:t>环境</w:t>
                  </w:r>
                </w:p>
                <w:p w14:paraId="393F6349">
                  <w:pPr>
                    <w:rPr>
                      <w:color w:val="auto"/>
                      <w:kern w:val="0"/>
                      <w:szCs w:val="21"/>
                      <w:highlight w:val="none"/>
                    </w:rPr>
                  </w:pPr>
                  <w:r>
                    <w:rPr>
                      <w:color w:val="auto"/>
                      <w:kern w:val="0"/>
                      <w:szCs w:val="21"/>
                      <w:highlight w:val="none"/>
                    </w:rPr>
                    <w:t>风险</w:t>
                  </w:r>
                </w:p>
                <w:p w14:paraId="4FD0C375">
                  <w:pPr>
                    <w:rPr>
                      <w:color w:val="auto"/>
                      <w:kern w:val="0"/>
                      <w:szCs w:val="21"/>
                      <w:highlight w:val="none"/>
                    </w:rPr>
                  </w:pPr>
                  <w:r>
                    <w:rPr>
                      <w:color w:val="auto"/>
                      <w:kern w:val="0"/>
                      <w:szCs w:val="21"/>
                      <w:highlight w:val="none"/>
                    </w:rPr>
                    <w:t>防控</w:t>
                  </w:r>
                </w:p>
              </w:tc>
              <w:tc>
                <w:tcPr>
                  <w:tcW w:w="5718" w:type="dxa"/>
                  <w:vAlign w:val="center"/>
                </w:tcPr>
                <w:p w14:paraId="16E7347A">
                  <w:pPr>
                    <w:rPr>
                      <w:color w:val="auto"/>
                      <w:kern w:val="0"/>
                      <w:szCs w:val="21"/>
                      <w:highlight w:val="none"/>
                    </w:rPr>
                  </w:pPr>
                  <w:r>
                    <w:rPr>
                      <w:color w:val="auto"/>
                      <w:kern w:val="0"/>
                      <w:szCs w:val="21"/>
                      <w:highlight w:val="none"/>
                    </w:rPr>
                    <w:t>1开发区应制定环境风险应急预案，成立应急组织机构，定期开展应急演练，提高区域环境风险防范能力。</w:t>
                  </w:r>
                </w:p>
                <w:p w14:paraId="3ED4DF0C">
                  <w:pPr>
                    <w:rPr>
                      <w:color w:val="auto"/>
                      <w:kern w:val="0"/>
                      <w:szCs w:val="21"/>
                      <w:highlight w:val="none"/>
                    </w:rPr>
                  </w:pPr>
                  <w:r>
                    <w:rPr>
                      <w:color w:val="auto"/>
                      <w:kern w:val="0"/>
                      <w:szCs w:val="21"/>
                      <w:highlight w:val="none"/>
                    </w:rPr>
                    <w:t>2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土壤环境污染重点监管企业、危化品仓储企业落实《工矿用地土壤环境管理办法（试行）》要求，实施项目环评、设计建设、拆除设施、终止经营全生命周期土壤和地下水污染防治。</w:t>
                  </w:r>
                </w:p>
                <w:p w14:paraId="077DA814">
                  <w:pPr>
                    <w:rPr>
                      <w:color w:val="auto"/>
                      <w:kern w:val="0"/>
                      <w:szCs w:val="21"/>
                      <w:highlight w:val="none"/>
                    </w:rPr>
                  </w:pPr>
                  <w:r>
                    <w:rPr>
                      <w:color w:val="auto"/>
                      <w:kern w:val="0"/>
                      <w:szCs w:val="21"/>
                      <w:highlight w:val="none"/>
                    </w:rPr>
                    <w:t>3</w:t>
                  </w:r>
                  <w:r>
                    <w:rPr>
                      <w:rFonts w:hint="eastAsia"/>
                      <w:color w:val="auto"/>
                      <w:kern w:val="0"/>
                      <w:szCs w:val="21"/>
                      <w:highlight w:val="none"/>
                    </w:rPr>
                    <w:t>严格管理涉及易导致环境风险的有毒有害和易燃易爆物质的生产、使用、贮运等新建、改扩建项目</w:t>
                  </w:r>
                  <w:r>
                    <w:rPr>
                      <w:color w:val="auto"/>
                      <w:kern w:val="0"/>
                      <w:szCs w:val="21"/>
                      <w:highlight w:val="none"/>
                    </w:rPr>
                    <w:t>。</w:t>
                  </w:r>
                </w:p>
                <w:p w14:paraId="7AA5BD23">
                  <w:pPr>
                    <w:rPr>
                      <w:color w:val="auto"/>
                      <w:kern w:val="0"/>
                      <w:szCs w:val="21"/>
                      <w:highlight w:val="none"/>
                    </w:rPr>
                  </w:pPr>
                  <w:r>
                    <w:rPr>
                      <w:color w:val="auto"/>
                      <w:kern w:val="0"/>
                      <w:szCs w:val="21"/>
                      <w:highlight w:val="none"/>
                    </w:rPr>
                    <w:t>4严格落实规划环评及其批复文件制定的环境风险防范措施。</w:t>
                  </w:r>
                </w:p>
              </w:tc>
              <w:tc>
                <w:tcPr>
                  <w:tcW w:w="1219" w:type="dxa"/>
                  <w:vAlign w:val="center"/>
                </w:tcPr>
                <w:p w14:paraId="4355D88F">
                  <w:pPr>
                    <w:pStyle w:val="12"/>
                    <w:spacing w:before="0" w:after="0" w:line="240" w:lineRule="auto"/>
                    <w:ind w:right="0"/>
                    <w:jc w:val="center"/>
                    <w:rPr>
                      <w:rFonts w:hint="eastAsia" w:eastAsia="宋体"/>
                      <w:color w:val="auto"/>
                      <w:sz w:val="21"/>
                      <w:szCs w:val="21"/>
                      <w:highlight w:val="none"/>
                      <w:lang w:eastAsia="zh-CN"/>
                    </w:rPr>
                  </w:pPr>
                  <w:r>
                    <w:rPr>
                      <w:rFonts w:hint="eastAsia"/>
                      <w:color w:val="auto"/>
                      <w:sz w:val="21"/>
                      <w:szCs w:val="21"/>
                      <w:highlight w:val="none"/>
                    </w:rPr>
                    <w:t>不涉及</w:t>
                  </w:r>
                  <w:r>
                    <w:rPr>
                      <w:rFonts w:hint="eastAsia"/>
                      <w:color w:val="auto"/>
                      <w:sz w:val="21"/>
                      <w:szCs w:val="21"/>
                      <w:highlight w:val="none"/>
                      <w:lang w:eastAsia="zh-CN"/>
                    </w:rPr>
                    <w:t>。</w:t>
                  </w:r>
                </w:p>
              </w:tc>
              <w:tc>
                <w:tcPr>
                  <w:tcW w:w="703" w:type="dxa"/>
                  <w:vAlign w:val="center"/>
                </w:tcPr>
                <w:p w14:paraId="4F61AEB4">
                  <w:pPr>
                    <w:pStyle w:val="12"/>
                    <w:spacing w:before="0" w:after="0" w:line="240" w:lineRule="auto"/>
                    <w:ind w:right="0"/>
                    <w:jc w:val="center"/>
                    <w:rPr>
                      <w:color w:val="auto"/>
                      <w:sz w:val="21"/>
                      <w:szCs w:val="21"/>
                      <w:highlight w:val="none"/>
                    </w:rPr>
                  </w:pPr>
                  <w:r>
                    <w:rPr>
                      <w:color w:val="auto"/>
                      <w:sz w:val="21"/>
                      <w:szCs w:val="21"/>
                      <w:highlight w:val="none"/>
                    </w:rPr>
                    <w:t>符合</w:t>
                  </w:r>
                </w:p>
              </w:tc>
            </w:tr>
            <w:tr w14:paraId="5C0C1A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72" w:type="dxa"/>
                  <w:vAlign w:val="center"/>
                </w:tcPr>
                <w:p w14:paraId="272BF568">
                  <w:pPr>
                    <w:rPr>
                      <w:color w:val="auto"/>
                      <w:kern w:val="0"/>
                      <w:szCs w:val="21"/>
                      <w:highlight w:val="none"/>
                    </w:rPr>
                  </w:pPr>
                  <w:r>
                    <w:rPr>
                      <w:color w:val="auto"/>
                      <w:kern w:val="0"/>
                      <w:szCs w:val="21"/>
                      <w:highlight w:val="none"/>
                    </w:rPr>
                    <w:t>资源</w:t>
                  </w:r>
                </w:p>
                <w:p w14:paraId="5C725C63">
                  <w:pPr>
                    <w:rPr>
                      <w:color w:val="auto"/>
                      <w:kern w:val="0"/>
                      <w:szCs w:val="21"/>
                      <w:highlight w:val="none"/>
                    </w:rPr>
                  </w:pPr>
                  <w:r>
                    <w:rPr>
                      <w:color w:val="auto"/>
                      <w:kern w:val="0"/>
                      <w:szCs w:val="21"/>
                      <w:highlight w:val="none"/>
                    </w:rPr>
                    <w:t>开发</w:t>
                  </w:r>
                </w:p>
                <w:p w14:paraId="2A4F385A">
                  <w:pPr>
                    <w:rPr>
                      <w:color w:val="auto"/>
                      <w:kern w:val="0"/>
                      <w:szCs w:val="21"/>
                      <w:highlight w:val="none"/>
                    </w:rPr>
                  </w:pPr>
                  <w:r>
                    <w:rPr>
                      <w:color w:val="auto"/>
                      <w:kern w:val="0"/>
                      <w:szCs w:val="21"/>
                      <w:highlight w:val="none"/>
                    </w:rPr>
                    <w:t>效率</w:t>
                  </w:r>
                </w:p>
              </w:tc>
              <w:tc>
                <w:tcPr>
                  <w:tcW w:w="5718" w:type="dxa"/>
                  <w:vAlign w:val="center"/>
                </w:tcPr>
                <w:p w14:paraId="3C31AE3C">
                  <w:pPr>
                    <w:rPr>
                      <w:color w:val="auto"/>
                      <w:kern w:val="0"/>
                      <w:szCs w:val="21"/>
                      <w:highlight w:val="none"/>
                    </w:rPr>
                  </w:pPr>
                  <w:r>
                    <w:rPr>
                      <w:color w:val="auto"/>
                      <w:kern w:val="0"/>
                      <w:szCs w:val="21"/>
                      <w:highlight w:val="none"/>
                    </w:rPr>
                    <w:t>1完成吉林省下达的产能置换要求。各产业执行对应的清洁生产标准。</w:t>
                  </w:r>
                </w:p>
                <w:p w14:paraId="58F60FF5">
                  <w:pPr>
                    <w:rPr>
                      <w:color w:val="auto"/>
                      <w:kern w:val="0"/>
                      <w:szCs w:val="21"/>
                      <w:highlight w:val="none"/>
                    </w:rPr>
                  </w:pPr>
                  <w:r>
                    <w:rPr>
                      <w:color w:val="auto"/>
                      <w:kern w:val="0"/>
                      <w:szCs w:val="21"/>
                      <w:highlight w:val="none"/>
                    </w:rPr>
                    <w:t>2禁燃区内禁止燃用的高污染燃料按照《高污染燃料目录》中的第Ⅱ类执行；禁燃区内禁止新建、扩建燃用高污染燃料的锅炉、窑炉等燃烧设施（单台额定功率29MW及以上的集中供热锅炉、热电联产锅炉除外）；在集中供热管网或者燃气管网覆盖范围内的单台出力小于20蒸吨/小时（14MW/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w:t>
                  </w:r>
                </w:p>
                <w:p w14:paraId="72CF13E0">
                  <w:pPr>
                    <w:rPr>
                      <w:color w:val="auto"/>
                      <w:kern w:val="0"/>
                      <w:szCs w:val="21"/>
                      <w:highlight w:val="none"/>
                    </w:rPr>
                  </w:pPr>
                  <w:r>
                    <w:rPr>
                      <w:color w:val="auto"/>
                      <w:kern w:val="0"/>
                      <w:szCs w:val="21"/>
                      <w:highlight w:val="none"/>
                    </w:rPr>
                    <w:t>3积极推进区内供热（汽）管网建设，尽快实现开发区集中供热。在实现开发区集中供热之前，应采用电加热或清洁能源作为过渡热源。园区新建供热设施执行特别排放限值</w:t>
                  </w:r>
                  <w:r>
                    <w:rPr>
                      <w:rFonts w:hint="eastAsia"/>
                      <w:color w:val="auto"/>
                      <w:kern w:val="0"/>
                      <w:szCs w:val="21"/>
                      <w:highlight w:val="none"/>
                    </w:rPr>
                    <w:t>或按省、市相关文件要求执行排放浓度限值</w:t>
                  </w:r>
                  <w:r>
                    <w:rPr>
                      <w:color w:val="auto"/>
                      <w:kern w:val="0"/>
                      <w:szCs w:val="21"/>
                      <w:highlight w:val="none"/>
                    </w:rPr>
                    <w:t>。</w:t>
                  </w:r>
                </w:p>
              </w:tc>
              <w:tc>
                <w:tcPr>
                  <w:tcW w:w="1219" w:type="dxa"/>
                  <w:vAlign w:val="center"/>
                </w:tcPr>
                <w:p w14:paraId="0D3A6B78">
                  <w:pPr>
                    <w:pStyle w:val="12"/>
                    <w:spacing w:before="0" w:after="0" w:line="240" w:lineRule="auto"/>
                    <w:ind w:right="0"/>
                    <w:jc w:val="center"/>
                    <w:rPr>
                      <w:rFonts w:hint="eastAsia" w:eastAsia="宋体"/>
                      <w:color w:val="auto"/>
                      <w:sz w:val="21"/>
                      <w:szCs w:val="21"/>
                      <w:highlight w:val="none"/>
                      <w:lang w:eastAsia="zh-CN"/>
                    </w:rPr>
                  </w:pPr>
                  <w:r>
                    <w:rPr>
                      <w:rFonts w:hint="eastAsia"/>
                      <w:color w:val="auto"/>
                      <w:sz w:val="21"/>
                      <w:szCs w:val="21"/>
                      <w:highlight w:val="none"/>
                    </w:rPr>
                    <w:t>项目采用电采暖</w:t>
                  </w:r>
                  <w:r>
                    <w:rPr>
                      <w:rFonts w:hint="eastAsia"/>
                      <w:color w:val="auto"/>
                      <w:sz w:val="21"/>
                      <w:szCs w:val="21"/>
                      <w:highlight w:val="none"/>
                      <w:lang w:eastAsia="zh-CN"/>
                    </w:rPr>
                    <w:t>。</w:t>
                  </w:r>
                </w:p>
              </w:tc>
              <w:tc>
                <w:tcPr>
                  <w:tcW w:w="703" w:type="dxa"/>
                  <w:vAlign w:val="center"/>
                </w:tcPr>
                <w:p w14:paraId="15398E13">
                  <w:pPr>
                    <w:pStyle w:val="12"/>
                    <w:spacing w:before="0" w:after="0" w:line="240" w:lineRule="auto"/>
                    <w:ind w:right="0"/>
                    <w:jc w:val="center"/>
                    <w:rPr>
                      <w:color w:val="auto"/>
                      <w:sz w:val="21"/>
                      <w:szCs w:val="21"/>
                      <w:highlight w:val="none"/>
                    </w:rPr>
                  </w:pPr>
                  <w:r>
                    <w:rPr>
                      <w:rFonts w:hint="eastAsia"/>
                      <w:color w:val="auto"/>
                      <w:sz w:val="21"/>
                      <w:szCs w:val="21"/>
                      <w:highlight w:val="none"/>
                    </w:rPr>
                    <w:t>符合</w:t>
                  </w:r>
                </w:p>
              </w:tc>
            </w:tr>
          </w:tbl>
          <w:p w14:paraId="57566301">
            <w:pPr>
              <w:autoSpaceDE w:val="0"/>
              <w:autoSpaceDN w:val="0"/>
              <w:adjustRightInd w:val="0"/>
              <w:snapToGrid w:val="0"/>
              <w:spacing w:line="360" w:lineRule="auto"/>
              <w:ind w:firstLine="480" w:firstLineChars="200"/>
              <w:rPr>
                <w:color w:val="auto"/>
                <w:kern w:val="0"/>
                <w:sz w:val="24"/>
                <w:highlight w:val="none"/>
              </w:rPr>
            </w:pPr>
          </w:p>
          <w:p w14:paraId="282111F4">
            <w:pPr>
              <w:adjustRightInd w:val="0"/>
              <w:snapToGrid w:val="0"/>
              <w:spacing w:line="360" w:lineRule="auto"/>
              <w:ind w:firstLine="482" w:firstLineChars="200"/>
              <w:rPr>
                <w:b/>
                <w:bCs/>
                <w:color w:val="auto"/>
                <w:kern w:val="0"/>
                <w:sz w:val="24"/>
                <w:highlight w:val="none"/>
              </w:rPr>
            </w:pPr>
            <w:r>
              <w:rPr>
                <w:rFonts w:hint="eastAsia"/>
                <w:b/>
                <w:bCs/>
                <w:color w:val="auto"/>
                <w:kern w:val="0"/>
                <w:sz w:val="24"/>
                <w:highlight w:val="none"/>
              </w:rPr>
              <w:t>4、与《吉林省空气环境质量巩固提升行动方案》相符性分析</w:t>
            </w:r>
          </w:p>
          <w:p w14:paraId="17BA8965">
            <w:pPr>
              <w:pStyle w:val="14"/>
              <w:spacing w:line="360" w:lineRule="auto"/>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项目与吉政办发〔2021〕10号《吉林省人民政府办公厅关于印发吉林省空气、水环境、土壤环境质量巩固提升三个行动方案的通知》符合性分析内容详见下表。</w:t>
            </w:r>
          </w:p>
          <w:p w14:paraId="6A35B3AB">
            <w:pPr>
              <w:jc w:val="center"/>
              <w:rPr>
                <w:rFonts w:cs="宋体"/>
                <w:b/>
                <w:bCs/>
                <w:color w:val="auto"/>
                <w:sz w:val="24"/>
                <w:highlight w:val="none"/>
              </w:rPr>
            </w:pPr>
            <w:r>
              <w:rPr>
                <w:rFonts w:cs="宋体"/>
                <w:b/>
                <w:bCs/>
                <w:color w:val="auto"/>
                <w:sz w:val="24"/>
                <w:highlight w:val="none"/>
              </w:rPr>
              <w:t>表</w:t>
            </w:r>
            <w:r>
              <w:rPr>
                <w:rFonts w:hint="eastAsia" w:cs="宋体"/>
                <w:b/>
                <w:bCs/>
                <w:color w:val="auto"/>
                <w:sz w:val="24"/>
                <w:highlight w:val="none"/>
              </w:rPr>
              <w:t>1-6 吉林省空气环境质量巩固提升行动方案</w:t>
            </w:r>
            <w:r>
              <w:rPr>
                <w:rFonts w:cs="宋体"/>
                <w:b/>
                <w:bCs/>
                <w:color w:val="auto"/>
                <w:sz w:val="24"/>
                <w:highlight w:val="none"/>
              </w:rPr>
              <w:t>符合性</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2814"/>
            </w:tblGrid>
            <w:tr w14:paraId="695E4D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8" w:hRule="atLeast"/>
                <w:jc w:val="center"/>
              </w:trPr>
              <w:tc>
                <w:tcPr>
                  <w:tcW w:w="3156" w:type="pct"/>
                  <w:tcBorders>
                    <w:tl2br w:val="nil"/>
                    <w:tr2bl w:val="nil"/>
                  </w:tcBorders>
                  <w:vAlign w:val="center"/>
                </w:tcPr>
                <w:p w14:paraId="293A8801">
                  <w:pPr>
                    <w:widowControl/>
                    <w:jc w:val="center"/>
                    <w:rPr>
                      <w:color w:val="auto"/>
                      <w:szCs w:val="21"/>
                      <w:highlight w:val="none"/>
                    </w:rPr>
                  </w:pPr>
                  <w:r>
                    <w:rPr>
                      <w:rFonts w:hint="eastAsia"/>
                      <w:color w:val="auto"/>
                      <w:szCs w:val="21"/>
                      <w:highlight w:val="none"/>
                    </w:rPr>
                    <w:t>文件要求：三、深入推进工业污染源治理</w:t>
                  </w:r>
                </w:p>
              </w:tc>
              <w:tc>
                <w:tcPr>
                  <w:tcW w:w="1843" w:type="pct"/>
                  <w:tcBorders>
                    <w:tl2br w:val="nil"/>
                    <w:tr2bl w:val="nil"/>
                  </w:tcBorders>
                  <w:vAlign w:val="center"/>
                </w:tcPr>
                <w:p w14:paraId="458062E2">
                  <w:pPr>
                    <w:widowControl/>
                    <w:jc w:val="center"/>
                    <w:rPr>
                      <w:color w:val="auto"/>
                      <w:szCs w:val="21"/>
                      <w:highlight w:val="none"/>
                    </w:rPr>
                  </w:pPr>
                  <w:r>
                    <w:rPr>
                      <w:color w:val="auto"/>
                      <w:szCs w:val="21"/>
                      <w:highlight w:val="none"/>
                    </w:rPr>
                    <w:t>本项目</w:t>
                  </w:r>
                </w:p>
              </w:tc>
            </w:tr>
            <w:tr w14:paraId="31FA91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3156" w:type="pct"/>
                  <w:tcBorders>
                    <w:tl2br w:val="nil"/>
                    <w:tr2bl w:val="nil"/>
                  </w:tcBorders>
                  <w:vAlign w:val="center"/>
                </w:tcPr>
                <w:p w14:paraId="61D96377">
                  <w:pPr>
                    <w:widowControl/>
                    <w:rPr>
                      <w:color w:val="auto"/>
                      <w:szCs w:val="21"/>
                      <w:highlight w:val="none"/>
                    </w:rPr>
                  </w:pPr>
                  <w:r>
                    <w:rPr>
                      <w:rFonts w:hint="eastAsia"/>
                      <w:color w:val="auto"/>
                      <w:szCs w:val="21"/>
                      <w:highlight w:val="none"/>
                    </w:rPr>
                    <w:t>10、持续推进工业污染源全面达标排放。加大工业污染源烟气高效脱硫脱硝、除尘改造力度，确保各项污染物稳定达标排放。重点排污单位全部安装自动监控设备并与生态环境部门联网。对排放不达标的企业按照“一企一策”的原则，限期整改到位。全面加强工业无组织排放管控。</w:t>
                  </w:r>
                </w:p>
              </w:tc>
              <w:tc>
                <w:tcPr>
                  <w:tcW w:w="1843" w:type="pct"/>
                  <w:tcBorders>
                    <w:tl2br w:val="nil"/>
                    <w:tr2bl w:val="nil"/>
                  </w:tcBorders>
                  <w:vAlign w:val="center"/>
                </w:tcPr>
                <w:p w14:paraId="6BC9A638">
                  <w:pPr>
                    <w:widowControl/>
                    <w:jc w:val="center"/>
                    <w:rPr>
                      <w:color w:val="auto"/>
                      <w:szCs w:val="21"/>
                      <w:highlight w:val="none"/>
                    </w:rPr>
                  </w:pPr>
                  <w:r>
                    <w:rPr>
                      <w:rFonts w:hint="eastAsia"/>
                      <w:color w:val="auto"/>
                      <w:szCs w:val="21"/>
                      <w:highlight w:val="none"/>
                    </w:rPr>
                    <w:t>符合，项目废气均得到有效处理，满足相应排放标准，对环境污染较小。</w:t>
                  </w:r>
                </w:p>
              </w:tc>
            </w:tr>
            <w:tr w14:paraId="4A47D0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156" w:type="pct"/>
                  <w:tcBorders>
                    <w:tl2br w:val="nil"/>
                    <w:tr2bl w:val="nil"/>
                  </w:tcBorders>
                  <w:vAlign w:val="center"/>
                </w:tcPr>
                <w:p w14:paraId="74BE0EC9">
                  <w:pPr>
                    <w:widowControl/>
                    <w:rPr>
                      <w:color w:val="auto"/>
                      <w:szCs w:val="21"/>
                      <w:highlight w:val="none"/>
                    </w:rPr>
                  </w:pPr>
                  <w:r>
                    <w:rPr>
                      <w:rFonts w:hint="eastAsia"/>
                      <w:color w:val="auto"/>
                      <w:szCs w:val="21"/>
                      <w:highlight w:val="none"/>
                    </w:rPr>
                    <w:t>11、推进重点行业污染深度治理。强化源头防控，鼓励企业采用先进适用的清洁生产原料、技术、工艺和装备。对排放强度高的重污染行业实施清洁化改造。推进吉林建龙、吉林恒联精密、四平金钢、鑫达钢铁、通化钢铁5家钢铁企业污染治理设施超低排放改造。推动水泥行业污染治理设施超低排放改造。长春市、吉林市、辽源市等空气质量未达标地区新建项目主要污染物全面执行大气污染物特别排放限值。</w:t>
                  </w:r>
                </w:p>
              </w:tc>
              <w:tc>
                <w:tcPr>
                  <w:tcW w:w="1843" w:type="pct"/>
                  <w:tcBorders>
                    <w:tl2br w:val="nil"/>
                    <w:tr2bl w:val="nil"/>
                  </w:tcBorders>
                  <w:vAlign w:val="center"/>
                </w:tcPr>
                <w:p w14:paraId="3A4A2A5C">
                  <w:pPr>
                    <w:widowControl/>
                    <w:jc w:val="center"/>
                    <w:rPr>
                      <w:color w:val="auto"/>
                      <w:szCs w:val="21"/>
                      <w:highlight w:val="none"/>
                    </w:rPr>
                  </w:pPr>
                  <w:r>
                    <w:rPr>
                      <w:rFonts w:hint="eastAsia"/>
                      <w:color w:val="auto"/>
                      <w:szCs w:val="21"/>
                      <w:highlight w:val="none"/>
                    </w:rPr>
                    <w:t>符合，项目废气均得到有效处理，满足相应排放标准，对环境污染较小。</w:t>
                  </w:r>
                </w:p>
              </w:tc>
            </w:tr>
          </w:tbl>
          <w:p w14:paraId="400E3139">
            <w:pPr>
              <w:adjustRightInd w:val="0"/>
              <w:snapToGrid w:val="0"/>
              <w:spacing w:line="360" w:lineRule="auto"/>
              <w:ind w:firstLine="480" w:firstLineChars="200"/>
              <w:rPr>
                <w:color w:val="auto"/>
                <w:kern w:val="0"/>
                <w:sz w:val="24"/>
                <w:highlight w:val="none"/>
              </w:rPr>
            </w:pPr>
          </w:p>
          <w:p w14:paraId="7B833417">
            <w:pPr>
              <w:adjustRightInd w:val="0"/>
              <w:snapToGrid w:val="0"/>
              <w:spacing w:line="360" w:lineRule="auto"/>
              <w:ind w:firstLine="482" w:firstLineChars="200"/>
              <w:rPr>
                <w:b/>
                <w:bCs/>
                <w:color w:val="auto"/>
                <w:kern w:val="0"/>
                <w:sz w:val="24"/>
                <w:highlight w:val="none"/>
              </w:rPr>
            </w:pPr>
            <w:r>
              <w:rPr>
                <w:rFonts w:hint="eastAsia"/>
                <w:b/>
                <w:bCs/>
                <w:color w:val="auto"/>
                <w:kern w:val="0"/>
                <w:sz w:val="24"/>
                <w:highlight w:val="none"/>
              </w:rPr>
              <w:t>5、与《长春市空气质量巩固提升行动实施方案》符合性分析</w:t>
            </w:r>
          </w:p>
          <w:p w14:paraId="73725522">
            <w:pPr>
              <w:pStyle w:val="14"/>
              <w:spacing w:line="360" w:lineRule="auto"/>
              <w:ind w:firstLine="480" w:firstLineChars="200"/>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项目与长府办发〔2021〕14号《长春市人民政府办公厅关于印发长春市空气、水环境、土壤环境质量巩固提升三个行动方案的通知》符合性分析内容详见下表。</w:t>
            </w:r>
          </w:p>
          <w:p w14:paraId="0438E015">
            <w:pPr>
              <w:jc w:val="center"/>
              <w:rPr>
                <w:rFonts w:cs="宋体"/>
                <w:b/>
                <w:bCs/>
                <w:color w:val="auto"/>
                <w:sz w:val="28"/>
                <w:szCs w:val="20"/>
                <w:highlight w:val="none"/>
              </w:rPr>
            </w:pPr>
            <w:r>
              <w:rPr>
                <w:rFonts w:cs="宋体"/>
                <w:b/>
                <w:bCs/>
                <w:color w:val="auto"/>
                <w:sz w:val="24"/>
                <w:highlight w:val="none"/>
              </w:rPr>
              <w:t>表</w:t>
            </w:r>
            <w:r>
              <w:rPr>
                <w:rFonts w:hint="eastAsia" w:cs="宋体"/>
                <w:b/>
                <w:bCs/>
                <w:color w:val="auto"/>
                <w:sz w:val="24"/>
                <w:highlight w:val="none"/>
              </w:rPr>
              <w:t>1-7 长春市空气环境质量巩固提升行动方案</w:t>
            </w:r>
            <w:r>
              <w:rPr>
                <w:rFonts w:cs="宋体"/>
                <w:b/>
                <w:bCs/>
                <w:color w:val="auto"/>
                <w:sz w:val="24"/>
                <w:highlight w:val="none"/>
              </w:rPr>
              <w:t>符合性</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67"/>
              <w:gridCol w:w="3266"/>
            </w:tblGrid>
            <w:tr w14:paraId="5336F0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7" w:hRule="atLeast"/>
                <w:jc w:val="center"/>
              </w:trPr>
              <w:tc>
                <w:tcPr>
                  <w:tcW w:w="2860" w:type="pct"/>
                  <w:tcBorders>
                    <w:tl2br w:val="nil"/>
                    <w:tr2bl w:val="nil"/>
                  </w:tcBorders>
                  <w:vAlign w:val="center"/>
                </w:tcPr>
                <w:p w14:paraId="14F93A4E">
                  <w:pPr>
                    <w:widowControl/>
                    <w:jc w:val="center"/>
                    <w:rPr>
                      <w:color w:val="auto"/>
                      <w:szCs w:val="21"/>
                      <w:highlight w:val="none"/>
                    </w:rPr>
                  </w:pPr>
                  <w:r>
                    <w:rPr>
                      <w:rFonts w:hint="eastAsia"/>
                      <w:color w:val="auto"/>
                      <w:szCs w:val="21"/>
                      <w:highlight w:val="none"/>
                    </w:rPr>
                    <w:t>文件要求：三、深入推进工业污染源治理</w:t>
                  </w:r>
                </w:p>
              </w:tc>
              <w:tc>
                <w:tcPr>
                  <w:tcW w:w="2139" w:type="pct"/>
                  <w:tcBorders>
                    <w:tl2br w:val="nil"/>
                    <w:tr2bl w:val="nil"/>
                  </w:tcBorders>
                  <w:vAlign w:val="center"/>
                </w:tcPr>
                <w:p w14:paraId="383E9069">
                  <w:pPr>
                    <w:widowControl/>
                    <w:jc w:val="center"/>
                    <w:rPr>
                      <w:color w:val="auto"/>
                      <w:szCs w:val="21"/>
                      <w:highlight w:val="none"/>
                    </w:rPr>
                  </w:pPr>
                  <w:r>
                    <w:rPr>
                      <w:color w:val="auto"/>
                      <w:szCs w:val="21"/>
                      <w:highlight w:val="none"/>
                    </w:rPr>
                    <w:t>本项目</w:t>
                  </w:r>
                </w:p>
              </w:tc>
            </w:tr>
            <w:tr w14:paraId="7FC3D5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860" w:type="pct"/>
                  <w:tcBorders>
                    <w:tl2br w:val="nil"/>
                    <w:tr2bl w:val="nil"/>
                  </w:tcBorders>
                  <w:vAlign w:val="center"/>
                </w:tcPr>
                <w:p w14:paraId="7DAE745E">
                  <w:pPr>
                    <w:widowControl/>
                    <w:rPr>
                      <w:color w:val="auto"/>
                      <w:szCs w:val="21"/>
                      <w:highlight w:val="none"/>
                    </w:rPr>
                  </w:pPr>
                  <w:r>
                    <w:rPr>
                      <w:rFonts w:hint="eastAsia"/>
                      <w:color w:val="auto"/>
                      <w:szCs w:val="21"/>
                      <w:highlight w:val="none"/>
                    </w:rPr>
                    <w:t>10、持续推进工业污染源全面达标排放。加大工业污染源烟气高效脱硫脱硝、除尘改造力度，确保各项污染物稳定达标排放。重点排污单位全部安装自动监控设备并与生态环境部门联网。对排放不达标的企业按照“一企一策”的原则，限期整改到位。全面加强工业无组织排放管控。</w:t>
                  </w:r>
                </w:p>
              </w:tc>
              <w:tc>
                <w:tcPr>
                  <w:tcW w:w="2139" w:type="pct"/>
                  <w:tcBorders>
                    <w:tl2br w:val="nil"/>
                    <w:tr2bl w:val="nil"/>
                  </w:tcBorders>
                  <w:vAlign w:val="center"/>
                </w:tcPr>
                <w:p w14:paraId="28B340A5">
                  <w:pPr>
                    <w:widowControl/>
                    <w:jc w:val="center"/>
                    <w:rPr>
                      <w:color w:val="auto"/>
                      <w:szCs w:val="21"/>
                      <w:highlight w:val="none"/>
                    </w:rPr>
                  </w:pPr>
                  <w:r>
                    <w:rPr>
                      <w:rFonts w:hint="eastAsia"/>
                      <w:color w:val="auto"/>
                      <w:szCs w:val="21"/>
                      <w:highlight w:val="none"/>
                    </w:rPr>
                    <w:t>符合，项目废气均得到有效处理，满足相应排放标准，对环境污染较小。</w:t>
                  </w:r>
                </w:p>
              </w:tc>
            </w:tr>
            <w:tr w14:paraId="0F79E3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860" w:type="pct"/>
                  <w:tcBorders>
                    <w:tl2br w:val="nil"/>
                    <w:tr2bl w:val="nil"/>
                  </w:tcBorders>
                  <w:vAlign w:val="center"/>
                </w:tcPr>
                <w:p w14:paraId="16E56E3A">
                  <w:pPr>
                    <w:widowControl/>
                    <w:rPr>
                      <w:color w:val="auto"/>
                      <w:szCs w:val="21"/>
                      <w:highlight w:val="none"/>
                    </w:rPr>
                  </w:pPr>
                  <w:r>
                    <w:rPr>
                      <w:rFonts w:hint="eastAsia"/>
                      <w:color w:val="auto"/>
                      <w:szCs w:val="21"/>
                      <w:highlight w:val="none"/>
                    </w:rPr>
                    <w:t>11、推进重点行业深度治理。强化源头防控，鼓励企业采用先进适用的清洁生产原料、工艺、技术和装备。对排放强度高的重污染行业实施清洁化改造。推动吉林亚泰水泥有限公司等重点行业企业实施超低排放改造。新建项目主要污染物全面执行大气污染物特别排放限值。</w:t>
                  </w:r>
                </w:p>
              </w:tc>
              <w:tc>
                <w:tcPr>
                  <w:tcW w:w="2139" w:type="pct"/>
                  <w:tcBorders>
                    <w:tl2br w:val="nil"/>
                    <w:tr2bl w:val="nil"/>
                  </w:tcBorders>
                  <w:vAlign w:val="center"/>
                </w:tcPr>
                <w:p w14:paraId="7AC26A6D">
                  <w:pPr>
                    <w:widowControl/>
                    <w:jc w:val="center"/>
                    <w:rPr>
                      <w:color w:val="auto"/>
                      <w:szCs w:val="21"/>
                      <w:highlight w:val="none"/>
                    </w:rPr>
                  </w:pPr>
                  <w:r>
                    <w:rPr>
                      <w:rFonts w:hint="eastAsia"/>
                      <w:color w:val="auto"/>
                      <w:szCs w:val="21"/>
                      <w:highlight w:val="none"/>
                    </w:rPr>
                    <w:t>符合，项目废气均得到有效处理，满足相应排放标准，对环境污染较小。</w:t>
                  </w:r>
                </w:p>
              </w:tc>
            </w:tr>
          </w:tbl>
          <w:p w14:paraId="520AB1C4">
            <w:pPr>
              <w:autoSpaceDE w:val="0"/>
              <w:autoSpaceDN w:val="0"/>
              <w:adjustRightInd w:val="0"/>
              <w:snapToGrid w:val="0"/>
              <w:spacing w:line="360" w:lineRule="auto"/>
              <w:ind w:firstLine="480" w:firstLineChars="200"/>
              <w:rPr>
                <w:color w:val="auto"/>
                <w:kern w:val="0"/>
                <w:sz w:val="24"/>
                <w:highlight w:val="none"/>
              </w:rPr>
            </w:pPr>
          </w:p>
          <w:p w14:paraId="1AE5FA08">
            <w:pPr>
              <w:adjustRightInd w:val="0"/>
              <w:snapToGrid w:val="0"/>
              <w:spacing w:line="360" w:lineRule="auto"/>
              <w:ind w:firstLine="482" w:firstLineChars="200"/>
              <w:rPr>
                <w:rFonts w:hint="eastAsia" w:eastAsia="宋体"/>
                <w:b/>
                <w:bCs/>
                <w:color w:val="auto"/>
                <w:kern w:val="0"/>
                <w:sz w:val="24"/>
                <w:highlight w:val="none"/>
                <w:lang w:eastAsia="zh-CN"/>
              </w:rPr>
            </w:pPr>
            <w:r>
              <w:rPr>
                <w:rFonts w:hint="eastAsia"/>
                <w:b/>
                <w:bCs/>
                <w:color w:val="auto"/>
                <w:kern w:val="0"/>
                <w:sz w:val="24"/>
                <w:highlight w:val="none"/>
                <w:lang w:val="en-US" w:eastAsia="zh-CN"/>
              </w:rPr>
              <w:t>6</w:t>
            </w:r>
            <w:r>
              <w:rPr>
                <w:rFonts w:hint="eastAsia"/>
                <w:b/>
                <w:bCs/>
                <w:color w:val="auto"/>
                <w:kern w:val="0"/>
                <w:sz w:val="24"/>
                <w:highlight w:val="none"/>
              </w:rPr>
              <w:t>、</w:t>
            </w:r>
            <w:r>
              <w:rPr>
                <w:rFonts w:hint="eastAsia"/>
                <w:b/>
                <w:bCs/>
                <w:color w:val="auto"/>
                <w:kern w:val="0"/>
                <w:sz w:val="24"/>
                <w:highlight w:val="none"/>
                <w:lang w:eastAsia="zh-CN"/>
              </w:rPr>
              <w:t>选址合理性分析</w:t>
            </w:r>
          </w:p>
          <w:p w14:paraId="2C436A20">
            <w:pPr>
              <w:autoSpaceDE w:val="0"/>
              <w:autoSpaceDN w:val="0"/>
              <w:adjustRightInd w:val="0"/>
              <w:snapToGrid w:val="0"/>
              <w:spacing w:line="360" w:lineRule="auto"/>
              <w:ind w:firstLine="480" w:firstLineChars="200"/>
              <w:rPr>
                <w:rFonts w:hint="default"/>
                <w:i/>
                <w:iCs/>
                <w:color w:val="auto"/>
                <w:kern w:val="0"/>
                <w:sz w:val="24"/>
                <w:szCs w:val="24"/>
                <w:highlight w:val="none"/>
                <w:u w:val="single"/>
                <w:lang w:val="en-US" w:eastAsia="zh-CN"/>
              </w:rPr>
            </w:pPr>
            <w:r>
              <w:rPr>
                <w:rFonts w:hint="eastAsia"/>
                <w:i/>
                <w:iCs/>
                <w:color w:val="auto"/>
                <w:kern w:val="0"/>
                <w:sz w:val="24"/>
                <w:szCs w:val="24"/>
                <w:highlight w:val="none"/>
                <w:u w:val="single"/>
                <w:lang w:val="en-US" w:eastAsia="zh-CN"/>
              </w:rPr>
              <w:t>1.外环境对本项目影响分析</w:t>
            </w:r>
          </w:p>
          <w:p w14:paraId="782CED4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i/>
                <w:iCs/>
                <w:color w:val="auto"/>
                <w:kern w:val="0"/>
                <w:sz w:val="24"/>
                <w:szCs w:val="24"/>
                <w:highlight w:val="none"/>
                <w:u w:val="single"/>
                <w:lang w:eastAsia="zh-CN"/>
              </w:rPr>
            </w:pPr>
            <w:r>
              <w:rPr>
                <w:rFonts w:hint="eastAsia"/>
                <w:i/>
                <w:iCs/>
                <w:color w:val="auto"/>
                <w:kern w:val="0"/>
                <w:sz w:val="24"/>
                <w:szCs w:val="24"/>
                <w:highlight w:val="none"/>
                <w:u w:val="single"/>
                <w:lang w:eastAsia="zh-CN"/>
              </w:rPr>
              <w:t>本项目位于工业区，项目周边主要的工业企业为长春禹衡光学有限公司，吉林省中奥能源电力工程有限公司、长春天宝英联汽车饰件有限公司。</w:t>
            </w:r>
          </w:p>
          <w:p w14:paraId="3730ACD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i/>
                <w:iCs/>
                <w:color w:val="auto"/>
                <w:kern w:val="0"/>
                <w:sz w:val="24"/>
                <w:szCs w:val="24"/>
                <w:highlight w:val="none"/>
                <w:u w:val="single"/>
                <w:lang w:eastAsia="zh-CN"/>
              </w:rPr>
            </w:pPr>
            <w:r>
              <w:rPr>
                <w:rFonts w:hint="eastAsia"/>
                <w:i/>
                <w:iCs/>
                <w:color w:val="auto"/>
                <w:kern w:val="0"/>
                <w:sz w:val="24"/>
                <w:szCs w:val="24"/>
                <w:highlight w:val="none"/>
                <w:u w:val="single"/>
                <w:lang w:eastAsia="zh-CN"/>
              </w:rPr>
              <w:t>（</w:t>
            </w:r>
            <w:r>
              <w:rPr>
                <w:rFonts w:hint="eastAsia"/>
                <w:i/>
                <w:iCs/>
                <w:color w:val="auto"/>
                <w:kern w:val="0"/>
                <w:sz w:val="24"/>
                <w:szCs w:val="24"/>
                <w:highlight w:val="none"/>
                <w:u w:val="single"/>
                <w:lang w:val="en-US" w:eastAsia="zh-CN"/>
              </w:rPr>
              <w:t>1</w:t>
            </w:r>
            <w:r>
              <w:rPr>
                <w:rFonts w:hint="eastAsia"/>
                <w:i/>
                <w:iCs/>
                <w:color w:val="auto"/>
                <w:kern w:val="0"/>
                <w:sz w:val="24"/>
                <w:szCs w:val="24"/>
                <w:highlight w:val="none"/>
                <w:u w:val="single"/>
                <w:lang w:eastAsia="zh-CN"/>
              </w:rPr>
              <w:t>）长春禹衡光学有限公司主要产品为光栅尺，编码器等光学仪器，主要原料为玻璃及金属材料，玻璃及金属制品较重，在打磨和切割过程中，打磨及切割粉尘均在车间内沉降，会对本项目造成影响。</w:t>
            </w:r>
          </w:p>
          <w:p w14:paraId="361881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i/>
                <w:iCs/>
                <w:color w:val="auto"/>
                <w:kern w:val="0"/>
                <w:sz w:val="24"/>
                <w:szCs w:val="24"/>
                <w:highlight w:val="none"/>
                <w:u w:val="single"/>
                <w:lang w:val="en-US" w:eastAsia="zh-CN"/>
              </w:rPr>
            </w:pPr>
            <w:r>
              <w:rPr>
                <w:rFonts w:hint="eastAsia"/>
                <w:i/>
                <w:iCs/>
                <w:color w:val="auto"/>
                <w:kern w:val="0"/>
                <w:sz w:val="24"/>
                <w:szCs w:val="24"/>
                <w:highlight w:val="none"/>
                <w:u w:val="single"/>
                <w:lang w:eastAsia="zh-CN"/>
              </w:rPr>
              <w:t>（</w:t>
            </w:r>
            <w:r>
              <w:rPr>
                <w:rFonts w:hint="eastAsia"/>
                <w:i/>
                <w:iCs/>
                <w:color w:val="auto"/>
                <w:kern w:val="0"/>
                <w:sz w:val="24"/>
                <w:szCs w:val="24"/>
                <w:highlight w:val="none"/>
                <w:u w:val="single"/>
                <w:lang w:val="en-US" w:eastAsia="zh-CN"/>
              </w:rPr>
              <w:t>2</w:t>
            </w:r>
            <w:r>
              <w:rPr>
                <w:rFonts w:hint="eastAsia"/>
                <w:i/>
                <w:iCs/>
                <w:color w:val="auto"/>
                <w:kern w:val="0"/>
                <w:sz w:val="24"/>
                <w:szCs w:val="24"/>
                <w:highlight w:val="none"/>
                <w:u w:val="single"/>
                <w:lang w:eastAsia="zh-CN"/>
              </w:rPr>
              <w:t>）吉林省中奥能源电力工程有限公司主要从事电力安装及维修、变电箱生产等工作，变电箱生产过程产生的焊接烟尘经集气罩</w:t>
            </w:r>
            <w:r>
              <w:rPr>
                <w:rFonts w:hint="eastAsia"/>
                <w:i/>
                <w:iCs/>
                <w:color w:val="auto"/>
                <w:kern w:val="0"/>
                <w:sz w:val="24"/>
                <w:szCs w:val="24"/>
                <w:highlight w:val="none"/>
                <w:u w:val="single"/>
                <w:lang w:val="en-US" w:eastAsia="zh-CN"/>
              </w:rPr>
              <w:t>+</w:t>
            </w:r>
            <w:r>
              <w:rPr>
                <w:rFonts w:hint="eastAsia"/>
                <w:i/>
                <w:iCs/>
                <w:color w:val="auto"/>
                <w:kern w:val="0"/>
                <w:sz w:val="24"/>
                <w:szCs w:val="24"/>
                <w:highlight w:val="none"/>
                <w:u w:val="single"/>
                <w:lang w:eastAsia="zh-CN"/>
              </w:rPr>
              <w:t>过滤棉</w:t>
            </w:r>
            <w:r>
              <w:rPr>
                <w:rFonts w:hint="eastAsia"/>
                <w:i/>
                <w:iCs/>
                <w:color w:val="auto"/>
                <w:kern w:val="0"/>
                <w:sz w:val="24"/>
                <w:szCs w:val="24"/>
                <w:highlight w:val="none"/>
                <w:u w:val="single"/>
                <w:lang w:val="en-US" w:eastAsia="zh-CN"/>
              </w:rPr>
              <w:t>+15m高排气筒排放，厂区内现有2台3t/h燃气热水锅炉，锅炉烟气经15m高排气筒排放，天然气属于清洁能源无需进行脱硫除尘，且与本项目间隔新大光谷里商业区，可以有效阻隔该公司对本项目的影响。</w:t>
            </w:r>
          </w:p>
          <w:p w14:paraId="37B6691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i/>
                <w:iCs/>
                <w:color w:val="auto"/>
                <w:kern w:val="0"/>
                <w:sz w:val="24"/>
                <w:szCs w:val="24"/>
                <w:highlight w:val="none"/>
                <w:u w:val="single"/>
                <w:lang w:eastAsia="zh-CN"/>
              </w:rPr>
            </w:pPr>
            <w:r>
              <w:rPr>
                <w:rFonts w:hint="eastAsia"/>
                <w:i/>
                <w:iCs/>
                <w:color w:val="auto"/>
                <w:kern w:val="0"/>
                <w:sz w:val="24"/>
                <w:szCs w:val="24"/>
                <w:highlight w:val="none"/>
                <w:u w:val="single"/>
                <w:lang w:val="en-US" w:eastAsia="zh-CN"/>
              </w:rPr>
              <w:t>（3）</w:t>
            </w:r>
            <w:r>
              <w:rPr>
                <w:rFonts w:hint="eastAsia"/>
                <w:i/>
                <w:iCs/>
                <w:color w:val="auto"/>
                <w:kern w:val="0"/>
                <w:sz w:val="24"/>
                <w:szCs w:val="24"/>
                <w:highlight w:val="none"/>
                <w:u w:val="single"/>
                <w:lang w:eastAsia="zh-CN"/>
              </w:rPr>
              <w:t>长春天宝英联汽车饰件有限公司主要从事塑料制品制造，该公司目前处于停产状态，且未来不再进行生产。不会对本项目造成影响。</w:t>
            </w:r>
          </w:p>
          <w:p w14:paraId="59E22BB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i/>
                <w:iCs/>
                <w:color w:val="auto"/>
                <w:kern w:val="0"/>
                <w:sz w:val="24"/>
                <w:szCs w:val="24"/>
                <w:highlight w:val="none"/>
                <w:u w:val="single"/>
                <w:lang w:eastAsia="zh-CN"/>
              </w:rPr>
            </w:pPr>
            <w:r>
              <w:rPr>
                <w:rFonts w:hint="eastAsia"/>
                <w:i/>
                <w:iCs/>
                <w:color w:val="auto"/>
                <w:kern w:val="0"/>
                <w:sz w:val="24"/>
                <w:szCs w:val="24"/>
                <w:highlight w:val="none"/>
                <w:u w:val="single"/>
                <w:lang w:eastAsia="zh-CN"/>
              </w:rPr>
              <w:t>综上外部环境对本项目基本无污染贡献，与周边企业相容。</w:t>
            </w:r>
          </w:p>
          <w:p w14:paraId="22D9D651">
            <w:pPr>
              <w:autoSpaceDE w:val="0"/>
              <w:autoSpaceDN w:val="0"/>
              <w:adjustRightInd w:val="0"/>
              <w:snapToGrid w:val="0"/>
              <w:spacing w:line="360" w:lineRule="auto"/>
              <w:ind w:firstLine="480" w:firstLineChars="200"/>
              <w:rPr>
                <w:rFonts w:hint="default"/>
                <w:color w:val="auto"/>
                <w:kern w:val="0"/>
                <w:sz w:val="24"/>
                <w:szCs w:val="24"/>
                <w:highlight w:val="none"/>
                <w:lang w:val="en-US" w:eastAsia="zh-CN"/>
              </w:rPr>
            </w:pPr>
            <w:r>
              <w:rPr>
                <w:rFonts w:hint="eastAsia"/>
                <w:color w:val="auto"/>
                <w:kern w:val="0"/>
                <w:sz w:val="24"/>
                <w:szCs w:val="24"/>
                <w:highlight w:val="none"/>
                <w:lang w:val="en-US" w:eastAsia="zh-CN"/>
              </w:rPr>
              <w:t>2.与“长春市临时改变房屋用途管理办法”的相符性</w:t>
            </w:r>
          </w:p>
          <w:p w14:paraId="73ACAE78">
            <w:pPr>
              <w:jc w:val="center"/>
              <w:rPr>
                <w:rFonts w:cs="宋体"/>
                <w:b/>
                <w:bCs/>
                <w:color w:val="auto"/>
                <w:sz w:val="28"/>
                <w:szCs w:val="20"/>
                <w:highlight w:val="none"/>
              </w:rPr>
            </w:pPr>
            <w:r>
              <w:rPr>
                <w:rFonts w:cs="宋体"/>
                <w:b/>
                <w:bCs/>
                <w:color w:val="auto"/>
                <w:sz w:val="24"/>
                <w:highlight w:val="none"/>
              </w:rPr>
              <w:t>表</w:t>
            </w:r>
            <w:r>
              <w:rPr>
                <w:rFonts w:hint="eastAsia" w:cs="宋体"/>
                <w:b/>
                <w:bCs/>
                <w:color w:val="auto"/>
                <w:sz w:val="24"/>
                <w:highlight w:val="none"/>
              </w:rPr>
              <w:t>1-</w:t>
            </w:r>
            <w:r>
              <w:rPr>
                <w:rFonts w:hint="eastAsia" w:cs="宋体"/>
                <w:b/>
                <w:bCs/>
                <w:color w:val="auto"/>
                <w:sz w:val="24"/>
                <w:highlight w:val="none"/>
                <w:lang w:val="en-US" w:eastAsia="zh-CN"/>
              </w:rPr>
              <w:t>8</w:t>
            </w:r>
            <w:r>
              <w:rPr>
                <w:rFonts w:hint="eastAsia" w:cs="宋体"/>
                <w:b/>
                <w:bCs/>
                <w:color w:val="auto"/>
                <w:sz w:val="24"/>
                <w:highlight w:val="none"/>
              </w:rPr>
              <w:t xml:space="preserve"> </w:t>
            </w:r>
            <w:r>
              <w:rPr>
                <w:rFonts w:hint="eastAsia" w:cs="宋体"/>
                <w:b/>
                <w:bCs/>
                <w:color w:val="auto"/>
                <w:sz w:val="24"/>
                <w:highlight w:val="none"/>
                <w:lang w:val="en-US" w:eastAsia="zh-CN"/>
              </w:rPr>
              <w:t>长春市临时改变房屋用途管理办法</w:t>
            </w:r>
            <w:r>
              <w:rPr>
                <w:rFonts w:cs="宋体"/>
                <w:b/>
                <w:bCs/>
                <w:color w:val="auto"/>
                <w:sz w:val="24"/>
                <w:highlight w:val="none"/>
              </w:rPr>
              <w:t>符合性</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35"/>
              <w:gridCol w:w="2458"/>
              <w:gridCol w:w="939"/>
            </w:tblGrid>
            <w:tr w14:paraId="28E34B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775" w:type="pct"/>
                  <w:tcBorders>
                    <w:tl2br w:val="nil"/>
                    <w:tr2bl w:val="nil"/>
                  </w:tcBorders>
                  <w:vAlign w:val="center"/>
                </w:tcPr>
                <w:p w14:paraId="4D903E98">
                  <w:pPr>
                    <w:widowControl/>
                    <w:jc w:val="center"/>
                    <w:rPr>
                      <w:b/>
                      <w:bCs/>
                      <w:color w:val="auto"/>
                      <w:szCs w:val="21"/>
                      <w:highlight w:val="none"/>
                    </w:rPr>
                  </w:pPr>
                  <w:r>
                    <w:rPr>
                      <w:rFonts w:hint="eastAsia"/>
                      <w:b/>
                      <w:bCs/>
                      <w:color w:val="auto"/>
                      <w:szCs w:val="21"/>
                      <w:highlight w:val="none"/>
                    </w:rPr>
                    <w:t>文件要求</w:t>
                  </w:r>
                </w:p>
              </w:tc>
              <w:tc>
                <w:tcPr>
                  <w:tcW w:w="1610" w:type="pct"/>
                  <w:tcBorders>
                    <w:tl2br w:val="nil"/>
                    <w:tr2bl w:val="nil"/>
                  </w:tcBorders>
                  <w:vAlign w:val="center"/>
                </w:tcPr>
                <w:p w14:paraId="548727B0">
                  <w:pPr>
                    <w:widowControl/>
                    <w:jc w:val="center"/>
                    <w:rPr>
                      <w:b/>
                      <w:bCs/>
                      <w:color w:val="auto"/>
                      <w:szCs w:val="21"/>
                      <w:highlight w:val="none"/>
                    </w:rPr>
                  </w:pPr>
                  <w:r>
                    <w:rPr>
                      <w:b/>
                      <w:bCs/>
                      <w:color w:val="auto"/>
                      <w:szCs w:val="21"/>
                      <w:highlight w:val="none"/>
                    </w:rPr>
                    <w:t>本项目</w:t>
                  </w:r>
                </w:p>
              </w:tc>
              <w:tc>
                <w:tcPr>
                  <w:tcW w:w="613" w:type="pct"/>
                  <w:tcBorders>
                    <w:tl2br w:val="nil"/>
                    <w:tr2bl w:val="nil"/>
                  </w:tcBorders>
                  <w:vAlign w:val="center"/>
                </w:tcPr>
                <w:p w14:paraId="410CC5B8">
                  <w:pPr>
                    <w:widowControl/>
                    <w:jc w:val="center"/>
                    <w:rPr>
                      <w:rFonts w:hint="eastAsia" w:eastAsia="宋体"/>
                      <w:b/>
                      <w:bCs/>
                      <w:color w:val="auto"/>
                      <w:szCs w:val="21"/>
                      <w:highlight w:val="none"/>
                      <w:lang w:eastAsia="zh-CN"/>
                    </w:rPr>
                  </w:pPr>
                  <w:r>
                    <w:rPr>
                      <w:rFonts w:hint="eastAsia"/>
                      <w:b/>
                      <w:bCs/>
                      <w:color w:val="auto"/>
                      <w:szCs w:val="21"/>
                      <w:highlight w:val="none"/>
                      <w:lang w:eastAsia="zh-CN"/>
                    </w:rPr>
                    <w:t>符合性</w:t>
                  </w:r>
                </w:p>
              </w:tc>
            </w:tr>
            <w:tr w14:paraId="367E45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000" w:type="pct"/>
                  <w:gridSpan w:val="3"/>
                  <w:tcBorders>
                    <w:tl2br w:val="nil"/>
                    <w:tr2bl w:val="nil"/>
                  </w:tcBorders>
                  <w:vAlign w:val="center"/>
                </w:tcPr>
                <w:p w14:paraId="159E2F35">
                  <w:pPr>
                    <w:widowControl/>
                    <w:jc w:val="center"/>
                    <w:rPr>
                      <w:rFonts w:hint="eastAsia"/>
                      <w:color w:val="auto"/>
                      <w:szCs w:val="21"/>
                      <w:highlight w:val="none"/>
                      <w:lang w:eastAsia="zh-CN"/>
                    </w:rPr>
                  </w:pPr>
                  <w:r>
                    <w:rPr>
                      <w:rFonts w:hint="eastAsia"/>
                      <w:b/>
                      <w:bCs/>
                      <w:color w:val="auto"/>
                      <w:szCs w:val="21"/>
                      <w:highlight w:val="none"/>
                      <w:lang w:eastAsia="zh-CN"/>
                    </w:rPr>
                    <w:t>第</w:t>
                  </w:r>
                  <w:r>
                    <w:rPr>
                      <w:rFonts w:hint="eastAsia"/>
                      <w:b/>
                      <w:bCs/>
                      <w:color w:val="auto"/>
                      <w:szCs w:val="21"/>
                      <w:highlight w:val="none"/>
                      <w:lang w:val="en-US" w:eastAsia="zh-CN"/>
                    </w:rPr>
                    <w:t>3条</w:t>
                  </w:r>
                </w:p>
              </w:tc>
            </w:tr>
            <w:tr w14:paraId="4D6EED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1A870C05">
                  <w:pPr>
                    <w:widowControl/>
                    <w:rPr>
                      <w:color w:val="auto"/>
                      <w:szCs w:val="21"/>
                      <w:highlight w:val="none"/>
                    </w:rPr>
                  </w:pPr>
                  <w:r>
                    <w:rPr>
                      <w:rFonts w:hint="eastAsia"/>
                      <w:color w:val="auto"/>
                      <w:szCs w:val="21"/>
                      <w:highlight w:val="none"/>
                    </w:rPr>
                    <w:t>本办法所称的临时改变房屋用途，是指在国有土地上依法建设并投入使用的非住宅及非商业性质房屋，因社会经济发展、产业布局调整、城市区域功能调整等原因，在不改变土地用途、不改变建筑规模、不改变房屋结构承重体系的基础上，临时改变不动产权证(房屋所有权证)确定的房屋用途的行为。</w:t>
                  </w:r>
                </w:p>
              </w:tc>
              <w:tc>
                <w:tcPr>
                  <w:tcW w:w="1610" w:type="pct"/>
                  <w:tcBorders>
                    <w:tl2br w:val="nil"/>
                    <w:tr2bl w:val="nil"/>
                  </w:tcBorders>
                  <w:vAlign w:val="center"/>
                </w:tcPr>
                <w:p w14:paraId="297BC283">
                  <w:pPr>
                    <w:widowControl/>
                    <w:jc w:val="center"/>
                    <w:rPr>
                      <w:rFonts w:hint="eastAsia" w:eastAsia="宋体"/>
                      <w:color w:val="auto"/>
                      <w:szCs w:val="21"/>
                      <w:highlight w:val="none"/>
                      <w:lang w:eastAsia="zh-CN"/>
                    </w:rPr>
                  </w:pPr>
                  <w:r>
                    <w:rPr>
                      <w:rFonts w:hint="eastAsia"/>
                      <w:color w:val="auto"/>
                      <w:szCs w:val="21"/>
                      <w:highlight w:val="none"/>
                      <w:lang w:eastAsia="zh-CN"/>
                    </w:rPr>
                    <w:t>本项目所用房屋为长春天宝英联汽车饰件有限公司厂房，不属于</w:t>
                  </w:r>
                  <w:r>
                    <w:rPr>
                      <w:rFonts w:hint="eastAsia"/>
                      <w:color w:val="auto"/>
                      <w:szCs w:val="21"/>
                      <w:highlight w:val="none"/>
                    </w:rPr>
                    <w:t>住宅及非商业性质房屋。</w:t>
                  </w:r>
                  <w:r>
                    <w:rPr>
                      <w:rFonts w:hint="eastAsia"/>
                      <w:color w:val="auto"/>
                      <w:szCs w:val="21"/>
                      <w:highlight w:val="none"/>
                      <w:lang w:eastAsia="zh-CN"/>
                    </w:rPr>
                    <w:t>本项目不改变土地用途，（仍为工业用地），仅将地上房屋作为医疗用途。</w:t>
                  </w:r>
                </w:p>
              </w:tc>
              <w:tc>
                <w:tcPr>
                  <w:tcW w:w="613" w:type="pct"/>
                  <w:tcBorders>
                    <w:tl2br w:val="nil"/>
                    <w:tr2bl w:val="nil"/>
                  </w:tcBorders>
                  <w:vAlign w:val="center"/>
                </w:tcPr>
                <w:p w14:paraId="31BC6F52">
                  <w:pPr>
                    <w:widowControl/>
                    <w:jc w:val="center"/>
                    <w:rPr>
                      <w:rFonts w:hint="eastAsia" w:eastAsia="宋体"/>
                      <w:color w:val="auto"/>
                      <w:szCs w:val="21"/>
                      <w:highlight w:val="none"/>
                      <w:lang w:eastAsia="zh-CN"/>
                    </w:rPr>
                  </w:pPr>
                  <w:r>
                    <w:rPr>
                      <w:rFonts w:hint="eastAsia"/>
                      <w:color w:val="auto"/>
                      <w:szCs w:val="21"/>
                      <w:highlight w:val="none"/>
                      <w:lang w:eastAsia="zh-CN"/>
                    </w:rPr>
                    <w:t>符合</w:t>
                  </w:r>
                </w:p>
              </w:tc>
            </w:tr>
            <w:tr w14:paraId="67AC0D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000" w:type="pct"/>
                  <w:gridSpan w:val="3"/>
                  <w:tcBorders>
                    <w:tl2br w:val="nil"/>
                    <w:tr2bl w:val="nil"/>
                  </w:tcBorders>
                  <w:vAlign w:val="center"/>
                </w:tcPr>
                <w:p w14:paraId="08BAAB05">
                  <w:pPr>
                    <w:widowControl/>
                    <w:jc w:val="center"/>
                    <w:rPr>
                      <w:rFonts w:hint="eastAsia"/>
                      <w:color w:val="auto"/>
                      <w:szCs w:val="21"/>
                      <w:highlight w:val="none"/>
                      <w:lang w:eastAsia="zh-CN"/>
                    </w:rPr>
                  </w:pPr>
                  <w:r>
                    <w:rPr>
                      <w:rFonts w:hint="eastAsia"/>
                      <w:b/>
                      <w:bCs/>
                      <w:color w:val="auto"/>
                      <w:szCs w:val="21"/>
                      <w:highlight w:val="none"/>
                      <w:lang w:eastAsia="zh-CN"/>
                    </w:rPr>
                    <w:t>第</w:t>
                  </w:r>
                  <w:r>
                    <w:rPr>
                      <w:rFonts w:hint="eastAsia"/>
                      <w:b/>
                      <w:bCs/>
                      <w:color w:val="auto"/>
                      <w:szCs w:val="21"/>
                      <w:highlight w:val="none"/>
                      <w:lang w:val="en-US" w:eastAsia="zh-CN"/>
                    </w:rPr>
                    <w:t>7条 有下列情形之一的，禁止临时改变房屋用途</w:t>
                  </w:r>
                </w:p>
              </w:tc>
            </w:tr>
            <w:tr w14:paraId="3ABF6A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36373070">
                  <w:pPr>
                    <w:widowControl/>
                    <w:rPr>
                      <w:color w:val="auto"/>
                      <w:szCs w:val="21"/>
                      <w:highlight w:val="none"/>
                    </w:rPr>
                  </w:pPr>
                  <w:r>
                    <w:rPr>
                      <w:rFonts w:hint="eastAsia"/>
                      <w:color w:val="auto"/>
                      <w:szCs w:val="21"/>
                      <w:highlight w:val="none"/>
                      <w:lang w:val="en-US" w:eastAsia="zh-CN"/>
                    </w:rPr>
                    <w:t>1</w:t>
                  </w:r>
                  <w:r>
                    <w:rPr>
                      <w:rFonts w:hint="eastAsia"/>
                      <w:color w:val="auto"/>
                      <w:szCs w:val="21"/>
                      <w:highlight w:val="none"/>
                    </w:rPr>
                    <w:t>、</w:t>
                  </w:r>
                  <w:r>
                    <w:rPr>
                      <w:rFonts w:hint="eastAsia"/>
                      <w:color w:val="auto"/>
                      <w:szCs w:val="21"/>
                      <w:highlight w:val="none"/>
                      <w:lang w:eastAsia="zh-CN"/>
                    </w:rPr>
                    <w:t>属于临时建筑或者危房的</w:t>
                  </w:r>
                  <w:r>
                    <w:rPr>
                      <w:rFonts w:hint="eastAsia"/>
                      <w:color w:val="auto"/>
                      <w:szCs w:val="21"/>
                      <w:highlight w:val="none"/>
                      <w:lang w:val="en-US" w:eastAsia="zh-CN"/>
                    </w:rPr>
                    <w:t>；</w:t>
                  </w:r>
                </w:p>
              </w:tc>
              <w:tc>
                <w:tcPr>
                  <w:tcW w:w="1610" w:type="pct"/>
                  <w:tcBorders>
                    <w:tl2br w:val="nil"/>
                    <w:tr2bl w:val="nil"/>
                  </w:tcBorders>
                  <w:vAlign w:val="center"/>
                </w:tcPr>
                <w:p w14:paraId="55296933">
                  <w:pPr>
                    <w:widowControl/>
                    <w:jc w:val="center"/>
                    <w:rPr>
                      <w:rFonts w:hint="eastAsia" w:eastAsia="宋体"/>
                      <w:color w:val="auto"/>
                      <w:szCs w:val="21"/>
                      <w:highlight w:val="none"/>
                      <w:lang w:eastAsia="zh-CN"/>
                    </w:rPr>
                  </w:pPr>
                  <w:r>
                    <w:rPr>
                      <w:rFonts w:hint="eastAsia"/>
                      <w:color w:val="auto"/>
                      <w:szCs w:val="21"/>
                      <w:highlight w:val="none"/>
                      <w:lang w:eastAsia="zh-CN"/>
                    </w:rPr>
                    <w:t>不属于临时性建筑或危房。</w:t>
                  </w:r>
                </w:p>
              </w:tc>
              <w:tc>
                <w:tcPr>
                  <w:tcW w:w="613" w:type="pct"/>
                  <w:tcBorders>
                    <w:tl2br w:val="nil"/>
                    <w:tr2bl w:val="nil"/>
                  </w:tcBorders>
                  <w:vAlign w:val="center"/>
                </w:tcPr>
                <w:p w14:paraId="25E5D368">
                  <w:pPr>
                    <w:widowControl/>
                    <w:jc w:val="center"/>
                    <w:rPr>
                      <w:color w:val="auto"/>
                      <w:szCs w:val="21"/>
                      <w:highlight w:val="none"/>
                    </w:rPr>
                  </w:pPr>
                  <w:r>
                    <w:rPr>
                      <w:rFonts w:hint="eastAsia"/>
                      <w:color w:val="auto"/>
                      <w:szCs w:val="21"/>
                      <w:highlight w:val="none"/>
                      <w:lang w:eastAsia="zh-CN"/>
                    </w:rPr>
                    <w:t>符合</w:t>
                  </w:r>
                </w:p>
              </w:tc>
            </w:tr>
            <w:tr w14:paraId="65C61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139D280A">
                  <w:pPr>
                    <w:widowControl/>
                    <w:rPr>
                      <w:rFonts w:hint="default"/>
                      <w:color w:val="auto"/>
                      <w:szCs w:val="21"/>
                      <w:highlight w:val="none"/>
                      <w:lang w:val="en-US" w:eastAsia="zh-CN"/>
                    </w:rPr>
                  </w:pPr>
                  <w:r>
                    <w:rPr>
                      <w:rFonts w:hint="eastAsia"/>
                      <w:color w:val="auto"/>
                      <w:szCs w:val="21"/>
                      <w:highlight w:val="none"/>
                      <w:lang w:val="en-US" w:eastAsia="zh-CN"/>
                    </w:rPr>
                    <w:t>2、纳入房屋征收范围、城中村改造范围或者土地储备计划范围的；</w:t>
                  </w:r>
                </w:p>
              </w:tc>
              <w:tc>
                <w:tcPr>
                  <w:tcW w:w="1610" w:type="pct"/>
                  <w:tcBorders>
                    <w:tl2br w:val="nil"/>
                    <w:tr2bl w:val="nil"/>
                  </w:tcBorders>
                  <w:vAlign w:val="center"/>
                </w:tcPr>
                <w:p w14:paraId="12A63612">
                  <w:pPr>
                    <w:widowControl/>
                    <w:jc w:val="center"/>
                    <w:rPr>
                      <w:rFonts w:hint="eastAsia" w:eastAsia="宋体"/>
                      <w:color w:val="auto"/>
                      <w:szCs w:val="21"/>
                      <w:highlight w:val="none"/>
                      <w:lang w:eastAsia="zh-CN"/>
                    </w:rPr>
                  </w:pPr>
                  <w:r>
                    <w:rPr>
                      <w:rFonts w:hint="eastAsia"/>
                      <w:color w:val="auto"/>
                      <w:szCs w:val="21"/>
                      <w:highlight w:val="none"/>
                      <w:lang w:eastAsia="zh-CN"/>
                    </w:rPr>
                    <w:t>不属于</w:t>
                  </w:r>
                  <w:r>
                    <w:rPr>
                      <w:rFonts w:hint="eastAsia"/>
                      <w:color w:val="auto"/>
                      <w:szCs w:val="21"/>
                      <w:highlight w:val="none"/>
                      <w:lang w:val="en-US" w:eastAsia="zh-CN"/>
                    </w:rPr>
                    <w:t>纳入房屋征收范围、城中村改造范围或者土地储备计划范围</w:t>
                  </w:r>
                </w:p>
              </w:tc>
              <w:tc>
                <w:tcPr>
                  <w:tcW w:w="613" w:type="pct"/>
                  <w:tcBorders>
                    <w:tl2br w:val="nil"/>
                    <w:tr2bl w:val="nil"/>
                  </w:tcBorders>
                  <w:vAlign w:val="center"/>
                </w:tcPr>
                <w:p w14:paraId="0B660AEE">
                  <w:pPr>
                    <w:widowControl/>
                    <w:jc w:val="center"/>
                    <w:rPr>
                      <w:rFonts w:hint="eastAsia"/>
                      <w:color w:val="auto"/>
                      <w:szCs w:val="21"/>
                      <w:highlight w:val="none"/>
                    </w:rPr>
                  </w:pPr>
                  <w:r>
                    <w:rPr>
                      <w:rFonts w:hint="eastAsia"/>
                      <w:color w:val="auto"/>
                      <w:szCs w:val="21"/>
                      <w:highlight w:val="none"/>
                      <w:lang w:eastAsia="zh-CN"/>
                    </w:rPr>
                    <w:t>符合</w:t>
                  </w:r>
                </w:p>
              </w:tc>
            </w:tr>
            <w:tr w14:paraId="3E3266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06871BBB">
                  <w:pPr>
                    <w:widowControl/>
                    <w:rPr>
                      <w:rFonts w:hint="default"/>
                      <w:color w:val="auto"/>
                      <w:szCs w:val="21"/>
                      <w:highlight w:val="none"/>
                      <w:lang w:val="en-US" w:eastAsia="zh-CN"/>
                    </w:rPr>
                  </w:pPr>
                  <w:r>
                    <w:rPr>
                      <w:rFonts w:hint="eastAsia"/>
                      <w:color w:val="auto"/>
                      <w:szCs w:val="21"/>
                      <w:highlight w:val="none"/>
                      <w:lang w:val="en-US" w:eastAsia="zh-CN"/>
                    </w:rPr>
                    <w:t>3、影响近期建设规划或者控制性详细规划实施的；</w:t>
                  </w:r>
                </w:p>
              </w:tc>
              <w:tc>
                <w:tcPr>
                  <w:tcW w:w="1610" w:type="pct"/>
                  <w:tcBorders>
                    <w:tl2br w:val="nil"/>
                    <w:tr2bl w:val="nil"/>
                  </w:tcBorders>
                  <w:vAlign w:val="center"/>
                </w:tcPr>
                <w:p w14:paraId="523038BF">
                  <w:pPr>
                    <w:widowControl/>
                    <w:jc w:val="center"/>
                    <w:rPr>
                      <w:rFonts w:hint="default" w:eastAsia="宋体"/>
                      <w:color w:val="auto"/>
                      <w:szCs w:val="21"/>
                      <w:highlight w:val="none"/>
                      <w:lang w:val="en-US" w:eastAsia="zh-CN"/>
                    </w:rPr>
                  </w:pPr>
                  <w:r>
                    <w:rPr>
                      <w:rFonts w:hint="eastAsia"/>
                      <w:color w:val="auto"/>
                      <w:szCs w:val="21"/>
                      <w:highlight w:val="none"/>
                      <w:lang w:eastAsia="zh-CN"/>
                    </w:rPr>
                    <w:t>本项目建设符合远期规划，不会影响近期规划。</w:t>
                  </w:r>
                </w:p>
              </w:tc>
              <w:tc>
                <w:tcPr>
                  <w:tcW w:w="613" w:type="pct"/>
                  <w:tcBorders>
                    <w:tl2br w:val="nil"/>
                    <w:tr2bl w:val="nil"/>
                  </w:tcBorders>
                  <w:vAlign w:val="center"/>
                </w:tcPr>
                <w:p w14:paraId="589991F2">
                  <w:pPr>
                    <w:widowControl/>
                    <w:jc w:val="center"/>
                    <w:rPr>
                      <w:rFonts w:hint="eastAsia"/>
                      <w:color w:val="auto"/>
                      <w:szCs w:val="21"/>
                      <w:highlight w:val="none"/>
                    </w:rPr>
                  </w:pPr>
                  <w:r>
                    <w:rPr>
                      <w:rFonts w:hint="eastAsia"/>
                      <w:color w:val="auto"/>
                      <w:szCs w:val="21"/>
                      <w:highlight w:val="none"/>
                      <w:lang w:eastAsia="zh-CN"/>
                    </w:rPr>
                    <w:t>符合</w:t>
                  </w:r>
                </w:p>
              </w:tc>
            </w:tr>
            <w:tr w14:paraId="35E795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7CC958CF">
                  <w:pPr>
                    <w:widowControl/>
                    <w:rPr>
                      <w:rFonts w:hint="default"/>
                      <w:color w:val="auto"/>
                      <w:szCs w:val="21"/>
                      <w:highlight w:val="none"/>
                      <w:lang w:val="en-US" w:eastAsia="zh-CN"/>
                    </w:rPr>
                  </w:pPr>
                  <w:r>
                    <w:rPr>
                      <w:rFonts w:hint="eastAsia"/>
                      <w:color w:val="auto"/>
                      <w:szCs w:val="21"/>
                      <w:highlight w:val="none"/>
                      <w:lang w:val="en-US" w:eastAsia="zh-CN"/>
                    </w:rPr>
                    <w:t>4、临时改变用途后影响交通、市容、安全、环境的；</w:t>
                  </w:r>
                </w:p>
              </w:tc>
              <w:tc>
                <w:tcPr>
                  <w:tcW w:w="1610" w:type="pct"/>
                  <w:tcBorders>
                    <w:tl2br w:val="nil"/>
                    <w:tr2bl w:val="nil"/>
                  </w:tcBorders>
                  <w:vAlign w:val="center"/>
                </w:tcPr>
                <w:p w14:paraId="1B0F6A3B">
                  <w:pPr>
                    <w:widowControl/>
                    <w:jc w:val="center"/>
                    <w:rPr>
                      <w:rFonts w:hint="eastAsia" w:eastAsia="宋体"/>
                      <w:color w:val="auto"/>
                      <w:szCs w:val="21"/>
                      <w:highlight w:val="none"/>
                      <w:lang w:eastAsia="zh-CN"/>
                    </w:rPr>
                  </w:pPr>
                  <w:r>
                    <w:rPr>
                      <w:rFonts w:hint="eastAsia"/>
                      <w:color w:val="auto"/>
                      <w:szCs w:val="21"/>
                      <w:highlight w:val="none"/>
                      <w:lang w:eastAsia="zh-CN"/>
                    </w:rPr>
                    <w:t>临时改变房屋用途后不会影响交通</w:t>
                  </w:r>
                  <w:r>
                    <w:rPr>
                      <w:rFonts w:hint="eastAsia"/>
                      <w:color w:val="auto"/>
                      <w:szCs w:val="21"/>
                      <w:highlight w:val="none"/>
                      <w:lang w:val="en-US" w:eastAsia="zh-CN"/>
                    </w:rPr>
                    <w:t>、市容、安全、环境。</w:t>
                  </w:r>
                </w:p>
              </w:tc>
              <w:tc>
                <w:tcPr>
                  <w:tcW w:w="613" w:type="pct"/>
                  <w:tcBorders>
                    <w:tl2br w:val="nil"/>
                    <w:tr2bl w:val="nil"/>
                  </w:tcBorders>
                  <w:vAlign w:val="center"/>
                </w:tcPr>
                <w:p w14:paraId="7258D134">
                  <w:pPr>
                    <w:widowControl/>
                    <w:jc w:val="center"/>
                    <w:rPr>
                      <w:rFonts w:hint="eastAsia"/>
                      <w:color w:val="auto"/>
                      <w:szCs w:val="21"/>
                      <w:highlight w:val="none"/>
                    </w:rPr>
                  </w:pPr>
                  <w:r>
                    <w:rPr>
                      <w:rFonts w:hint="eastAsia"/>
                      <w:color w:val="auto"/>
                      <w:szCs w:val="21"/>
                      <w:highlight w:val="none"/>
                      <w:lang w:eastAsia="zh-CN"/>
                    </w:rPr>
                    <w:t>符合</w:t>
                  </w:r>
                </w:p>
              </w:tc>
            </w:tr>
            <w:tr w14:paraId="6E8DED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4AAB9FFE">
                  <w:pPr>
                    <w:widowControl/>
                    <w:rPr>
                      <w:rFonts w:hint="default"/>
                      <w:color w:val="auto"/>
                      <w:szCs w:val="21"/>
                      <w:highlight w:val="none"/>
                      <w:lang w:val="en-US" w:eastAsia="zh-CN"/>
                    </w:rPr>
                  </w:pPr>
                  <w:r>
                    <w:rPr>
                      <w:rFonts w:hint="eastAsia"/>
                      <w:color w:val="auto"/>
                      <w:szCs w:val="21"/>
                      <w:highlight w:val="none"/>
                      <w:lang w:val="en-US" w:eastAsia="zh-CN"/>
                    </w:rPr>
                    <w:t>5、属于建筑配套设施以及地块配套建设的基础设施和公共服务设施的（用于城市社区嵌入式服务设施的除外）；</w:t>
                  </w:r>
                </w:p>
              </w:tc>
              <w:tc>
                <w:tcPr>
                  <w:tcW w:w="1610" w:type="pct"/>
                  <w:tcBorders>
                    <w:tl2br w:val="nil"/>
                    <w:tr2bl w:val="nil"/>
                  </w:tcBorders>
                  <w:vAlign w:val="center"/>
                </w:tcPr>
                <w:p w14:paraId="0A8D8706">
                  <w:pPr>
                    <w:widowControl/>
                    <w:jc w:val="center"/>
                    <w:rPr>
                      <w:rFonts w:hint="eastAsia" w:eastAsia="宋体"/>
                      <w:color w:val="auto"/>
                      <w:szCs w:val="21"/>
                      <w:highlight w:val="none"/>
                      <w:lang w:eastAsia="zh-CN"/>
                    </w:rPr>
                  </w:pPr>
                  <w:r>
                    <w:rPr>
                      <w:rFonts w:hint="eastAsia"/>
                      <w:color w:val="auto"/>
                      <w:szCs w:val="21"/>
                      <w:highlight w:val="none"/>
                      <w:lang w:eastAsia="zh-CN"/>
                    </w:rPr>
                    <w:t>本项目房屋不属于</w:t>
                  </w:r>
                  <w:r>
                    <w:rPr>
                      <w:rFonts w:hint="eastAsia"/>
                      <w:color w:val="auto"/>
                      <w:szCs w:val="21"/>
                      <w:highlight w:val="none"/>
                      <w:lang w:val="en-US" w:eastAsia="zh-CN"/>
                    </w:rPr>
                    <w:t>建筑配套设施以及地块配套建设的基础设施和公共服务设施。</w:t>
                  </w:r>
                </w:p>
              </w:tc>
              <w:tc>
                <w:tcPr>
                  <w:tcW w:w="613" w:type="pct"/>
                  <w:tcBorders>
                    <w:tl2br w:val="nil"/>
                    <w:tr2bl w:val="nil"/>
                  </w:tcBorders>
                  <w:vAlign w:val="center"/>
                </w:tcPr>
                <w:p w14:paraId="5E8C1E85">
                  <w:pPr>
                    <w:widowControl/>
                    <w:jc w:val="center"/>
                    <w:rPr>
                      <w:rFonts w:hint="eastAsia"/>
                      <w:color w:val="auto"/>
                      <w:szCs w:val="21"/>
                      <w:highlight w:val="none"/>
                    </w:rPr>
                  </w:pPr>
                  <w:r>
                    <w:rPr>
                      <w:rFonts w:hint="eastAsia"/>
                      <w:color w:val="auto"/>
                      <w:szCs w:val="21"/>
                      <w:highlight w:val="none"/>
                      <w:lang w:eastAsia="zh-CN"/>
                    </w:rPr>
                    <w:t>符合</w:t>
                  </w:r>
                </w:p>
              </w:tc>
            </w:tr>
            <w:tr w14:paraId="0FBE1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02AC2E41">
                  <w:pPr>
                    <w:widowControl/>
                    <w:rPr>
                      <w:rFonts w:hint="default"/>
                      <w:color w:val="auto"/>
                      <w:szCs w:val="21"/>
                      <w:highlight w:val="none"/>
                      <w:lang w:val="en-US" w:eastAsia="zh-CN"/>
                    </w:rPr>
                  </w:pPr>
                  <w:r>
                    <w:rPr>
                      <w:rFonts w:hint="eastAsia"/>
                      <w:color w:val="auto"/>
                      <w:szCs w:val="21"/>
                      <w:highlight w:val="none"/>
                      <w:lang w:val="en-US" w:eastAsia="zh-CN"/>
                    </w:rPr>
                    <w:t>6、房屋局部临时改变用途后不能满足独立使用要求或者造成未改变部分使用功能缺陷的；</w:t>
                  </w:r>
                </w:p>
              </w:tc>
              <w:tc>
                <w:tcPr>
                  <w:tcW w:w="1610" w:type="pct"/>
                  <w:tcBorders>
                    <w:tl2br w:val="nil"/>
                    <w:tr2bl w:val="nil"/>
                  </w:tcBorders>
                  <w:vAlign w:val="center"/>
                </w:tcPr>
                <w:p w14:paraId="3BE032B6">
                  <w:pPr>
                    <w:widowControl/>
                    <w:jc w:val="center"/>
                    <w:rPr>
                      <w:rFonts w:hint="eastAsia" w:eastAsia="宋体"/>
                      <w:color w:val="auto"/>
                      <w:szCs w:val="21"/>
                      <w:highlight w:val="none"/>
                      <w:lang w:eastAsia="zh-CN"/>
                    </w:rPr>
                  </w:pPr>
                  <w:r>
                    <w:rPr>
                      <w:rFonts w:hint="eastAsia"/>
                      <w:color w:val="auto"/>
                      <w:szCs w:val="21"/>
                      <w:highlight w:val="none"/>
                      <w:lang w:eastAsia="zh-CN"/>
                    </w:rPr>
                    <w:t>本项目房屋全部临时改变用途，且可以独立使用</w:t>
                  </w:r>
                </w:p>
              </w:tc>
              <w:tc>
                <w:tcPr>
                  <w:tcW w:w="613" w:type="pct"/>
                  <w:tcBorders>
                    <w:tl2br w:val="nil"/>
                    <w:tr2bl w:val="nil"/>
                  </w:tcBorders>
                  <w:vAlign w:val="center"/>
                </w:tcPr>
                <w:p w14:paraId="3CB0C557">
                  <w:pPr>
                    <w:widowControl/>
                    <w:jc w:val="center"/>
                    <w:rPr>
                      <w:rFonts w:hint="eastAsia"/>
                      <w:color w:val="auto"/>
                      <w:szCs w:val="21"/>
                      <w:highlight w:val="none"/>
                    </w:rPr>
                  </w:pPr>
                  <w:r>
                    <w:rPr>
                      <w:rFonts w:hint="eastAsia"/>
                      <w:color w:val="auto"/>
                      <w:szCs w:val="21"/>
                      <w:highlight w:val="none"/>
                      <w:lang w:eastAsia="zh-CN"/>
                    </w:rPr>
                    <w:t>符合</w:t>
                  </w:r>
                </w:p>
              </w:tc>
            </w:tr>
            <w:tr w14:paraId="3E3391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4A3C7C3D">
                  <w:pPr>
                    <w:widowControl/>
                    <w:rPr>
                      <w:rFonts w:hint="default"/>
                      <w:color w:val="auto"/>
                      <w:szCs w:val="21"/>
                      <w:highlight w:val="none"/>
                      <w:lang w:val="en-US" w:eastAsia="zh-CN"/>
                    </w:rPr>
                  </w:pPr>
                  <w:r>
                    <w:rPr>
                      <w:rFonts w:hint="eastAsia"/>
                      <w:color w:val="auto"/>
                      <w:szCs w:val="21"/>
                      <w:highlight w:val="none"/>
                      <w:lang w:val="en-US" w:eastAsia="zh-CN"/>
                    </w:rPr>
                    <w:t>7、改变使用功能后对相邻土地、建筑物造成影响或影响相关利害关系人合法权益的；</w:t>
                  </w:r>
                </w:p>
              </w:tc>
              <w:tc>
                <w:tcPr>
                  <w:tcW w:w="1610" w:type="pct"/>
                  <w:tcBorders>
                    <w:tl2br w:val="nil"/>
                    <w:tr2bl w:val="nil"/>
                  </w:tcBorders>
                  <w:vAlign w:val="center"/>
                </w:tcPr>
                <w:p w14:paraId="76C590EF">
                  <w:pPr>
                    <w:widowControl/>
                    <w:jc w:val="center"/>
                    <w:rPr>
                      <w:rFonts w:hint="eastAsia" w:eastAsia="宋体"/>
                      <w:color w:val="auto"/>
                      <w:szCs w:val="21"/>
                      <w:highlight w:val="none"/>
                      <w:lang w:eastAsia="zh-CN"/>
                    </w:rPr>
                  </w:pPr>
                  <w:r>
                    <w:rPr>
                      <w:rFonts w:hint="eastAsia"/>
                      <w:color w:val="auto"/>
                      <w:szCs w:val="21"/>
                      <w:highlight w:val="none"/>
                      <w:lang w:eastAsia="zh-CN"/>
                    </w:rPr>
                    <w:t>项目房屋改为医院后不会对相邻土地及建筑造成影响。</w:t>
                  </w:r>
                </w:p>
              </w:tc>
              <w:tc>
                <w:tcPr>
                  <w:tcW w:w="613" w:type="pct"/>
                  <w:tcBorders>
                    <w:tl2br w:val="nil"/>
                    <w:tr2bl w:val="nil"/>
                  </w:tcBorders>
                  <w:vAlign w:val="center"/>
                </w:tcPr>
                <w:p w14:paraId="3D9D5394">
                  <w:pPr>
                    <w:widowControl/>
                    <w:jc w:val="center"/>
                    <w:rPr>
                      <w:rFonts w:hint="eastAsia"/>
                      <w:color w:val="auto"/>
                      <w:szCs w:val="21"/>
                      <w:highlight w:val="none"/>
                    </w:rPr>
                  </w:pPr>
                  <w:r>
                    <w:rPr>
                      <w:rFonts w:hint="eastAsia"/>
                      <w:color w:val="auto"/>
                      <w:szCs w:val="21"/>
                      <w:highlight w:val="none"/>
                      <w:lang w:eastAsia="zh-CN"/>
                    </w:rPr>
                    <w:t>符合</w:t>
                  </w:r>
                </w:p>
              </w:tc>
            </w:tr>
            <w:tr w14:paraId="09F94A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43E75DB6">
                  <w:pPr>
                    <w:widowControl/>
                    <w:rPr>
                      <w:rFonts w:hint="default"/>
                      <w:color w:val="auto"/>
                      <w:szCs w:val="21"/>
                      <w:highlight w:val="none"/>
                      <w:lang w:val="en-US" w:eastAsia="zh-CN"/>
                    </w:rPr>
                  </w:pPr>
                  <w:r>
                    <w:rPr>
                      <w:rFonts w:hint="eastAsia"/>
                      <w:color w:val="auto"/>
                      <w:szCs w:val="21"/>
                      <w:highlight w:val="none"/>
                      <w:lang w:val="en-US" w:eastAsia="zh-CN"/>
                    </w:rPr>
                    <w:t>8、属于历史建筑、纪念性建筑、标志性建筑、具有地方特色和传统风格的建筑物，且改变用途不符合保护要求或者影响城市景观的；</w:t>
                  </w:r>
                </w:p>
              </w:tc>
              <w:tc>
                <w:tcPr>
                  <w:tcW w:w="1610" w:type="pct"/>
                  <w:tcBorders>
                    <w:tl2br w:val="nil"/>
                    <w:tr2bl w:val="nil"/>
                  </w:tcBorders>
                  <w:vAlign w:val="center"/>
                </w:tcPr>
                <w:p w14:paraId="67E27950">
                  <w:pPr>
                    <w:widowControl/>
                    <w:jc w:val="center"/>
                    <w:rPr>
                      <w:rFonts w:hint="eastAsia" w:eastAsia="宋体"/>
                      <w:color w:val="auto"/>
                      <w:szCs w:val="21"/>
                      <w:highlight w:val="none"/>
                      <w:lang w:eastAsia="zh-CN"/>
                    </w:rPr>
                  </w:pPr>
                  <w:r>
                    <w:rPr>
                      <w:rFonts w:hint="eastAsia"/>
                      <w:color w:val="auto"/>
                      <w:szCs w:val="21"/>
                      <w:highlight w:val="none"/>
                      <w:lang w:eastAsia="zh-CN"/>
                    </w:rPr>
                    <w:t>不属于。</w:t>
                  </w:r>
                </w:p>
              </w:tc>
              <w:tc>
                <w:tcPr>
                  <w:tcW w:w="613" w:type="pct"/>
                  <w:tcBorders>
                    <w:tl2br w:val="nil"/>
                    <w:tr2bl w:val="nil"/>
                  </w:tcBorders>
                  <w:vAlign w:val="center"/>
                </w:tcPr>
                <w:p w14:paraId="7718C899">
                  <w:pPr>
                    <w:widowControl/>
                    <w:jc w:val="center"/>
                    <w:rPr>
                      <w:rFonts w:hint="eastAsia"/>
                      <w:color w:val="auto"/>
                      <w:szCs w:val="21"/>
                      <w:highlight w:val="none"/>
                    </w:rPr>
                  </w:pPr>
                  <w:r>
                    <w:rPr>
                      <w:rFonts w:hint="eastAsia"/>
                      <w:color w:val="auto"/>
                      <w:szCs w:val="21"/>
                      <w:highlight w:val="none"/>
                      <w:lang w:eastAsia="zh-CN"/>
                    </w:rPr>
                    <w:t>符合</w:t>
                  </w:r>
                </w:p>
              </w:tc>
            </w:tr>
            <w:tr w14:paraId="72B206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1807DFC1">
                  <w:pPr>
                    <w:widowControl/>
                    <w:rPr>
                      <w:rFonts w:hint="default"/>
                      <w:color w:val="auto"/>
                      <w:szCs w:val="21"/>
                      <w:highlight w:val="none"/>
                      <w:lang w:val="en-US" w:eastAsia="zh-CN"/>
                    </w:rPr>
                  </w:pPr>
                  <w:r>
                    <w:rPr>
                      <w:rFonts w:hint="eastAsia"/>
                      <w:color w:val="auto"/>
                      <w:szCs w:val="21"/>
                      <w:highlight w:val="none"/>
                      <w:lang w:val="en-US" w:eastAsia="zh-CN"/>
                    </w:rPr>
                    <w:t>9、房屋产权与他人共有但未经共有人同意的；</w:t>
                  </w:r>
                </w:p>
              </w:tc>
              <w:tc>
                <w:tcPr>
                  <w:tcW w:w="1610" w:type="pct"/>
                  <w:tcBorders>
                    <w:tl2br w:val="nil"/>
                    <w:tr2bl w:val="nil"/>
                  </w:tcBorders>
                  <w:vAlign w:val="center"/>
                </w:tcPr>
                <w:p w14:paraId="3A145A87">
                  <w:pPr>
                    <w:widowControl/>
                    <w:jc w:val="center"/>
                    <w:rPr>
                      <w:rFonts w:hint="eastAsia" w:eastAsia="宋体"/>
                      <w:color w:val="auto"/>
                      <w:szCs w:val="21"/>
                      <w:highlight w:val="none"/>
                      <w:lang w:eastAsia="zh-CN"/>
                    </w:rPr>
                  </w:pPr>
                  <w:r>
                    <w:rPr>
                      <w:rFonts w:hint="eastAsia"/>
                      <w:color w:val="auto"/>
                      <w:szCs w:val="21"/>
                      <w:highlight w:val="none"/>
                      <w:lang w:eastAsia="zh-CN"/>
                    </w:rPr>
                    <w:t>已经过房屋产权人同意。</w:t>
                  </w:r>
                </w:p>
              </w:tc>
              <w:tc>
                <w:tcPr>
                  <w:tcW w:w="613" w:type="pct"/>
                  <w:tcBorders>
                    <w:tl2br w:val="nil"/>
                    <w:tr2bl w:val="nil"/>
                  </w:tcBorders>
                  <w:vAlign w:val="center"/>
                </w:tcPr>
                <w:p w14:paraId="24398D46">
                  <w:pPr>
                    <w:widowControl/>
                    <w:jc w:val="center"/>
                    <w:rPr>
                      <w:rFonts w:hint="eastAsia"/>
                      <w:color w:val="auto"/>
                      <w:szCs w:val="21"/>
                      <w:highlight w:val="none"/>
                    </w:rPr>
                  </w:pPr>
                  <w:r>
                    <w:rPr>
                      <w:rFonts w:hint="eastAsia"/>
                      <w:color w:val="auto"/>
                      <w:szCs w:val="21"/>
                      <w:highlight w:val="none"/>
                      <w:lang w:eastAsia="zh-CN"/>
                    </w:rPr>
                    <w:t>符合</w:t>
                  </w:r>
                </w:p>
              </w:tc>
            </w:tr>
            <w:tr w14:paraId="66B6C7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3411F651">
                  <w:pPr>
                    <w:widowControl/>
                    <w:rPr>
                      <w:rFonts w:hint="default"/>
                      <w:color w:val="auto"/>
                      <w:szCs w:val="21"/>
                      <w:highlight w:val="none"/>
                      <w:lang w:val="en-US" w:eastAsia="zh-CN"/>
                    </w:rPr>
                  </w:pPr>
                  <w:r>
                    <w:rPr>
                      <w:rFonts w:hint="eastAsia"/>
                      <w:color w:val="auto"/>
                      <w:szCs w:val="21"/>
                      <w:highlight w:val="none"/>
                      <w:lang w:val="en-US" w:eastAsia="zh-CN"/>
                    </w:rPr>
                    <w:t>10、属于全体业主共有部分，但未经业主大会决定或者业主共同决定改变用途的；</w:t>
                  </w:r>
                </w:p>
              </w:tc>
              <w:tc>
                <w:tcPr>
                  <w:tcW w:w="1610" w:type="pct"/>
                  <w:tcBorders>
                    <w:tl2br w:val="nil"/>
                    <w:tr2bl w:val="nil"/>
                  </w:tcBorders>
                  <w:vAlign w:val="center"/>
                </w:tcPr>
                <w:p w14:paraId="1B7F4CCA">
                  <w:pPr>
                    <w:widowControl/>
                    <w:jc w:val="center"/>
                    <w:rPr>
                      <w:rFonts w:hint="eastAsia" w:eastAsia="宋体"/>
                      <w:color w:val="auto"/>
                      <w:szCs w:val="21"/>
                      <w:highlight w:val="none"/>
                      <w:lang w:eastAsia="zh-CN"/>
                    </w:rPr>
                  </w:pPr>
                  <w:r>
                    <w:rPr>
                      <w:rFonts w:hint="eastAsia"/>
                      <w:color w:val="auto"/>
                      <w:szCs w:val="21"/>
                      <w:highlight w:val="none"/>
                      <w:lang w:eastAsia="zh-CN"/>
                    </w:rPr>
                    <w:t>不属于。</w:t>
                  </w:r>
                </w:p>
              </w:tc>
              <w:tc>
                <w:tcPr>
                  <w:tcW w:w="613" w:type="pct"/>
                  <w:tcBorders>
                    <w:tl2br w:val="nil"/>
                    <w:tr2bl w:val="nil"/>
                  </w:tcBorders>
                  <w:vAlign w:val="center"/>
                </w:tcPr>
                <w:p w14:paraId="5CBD120E">
                  <w:pPr>
                    <w:widowControl/>
                    <w:jc w:val="center"/>
                    <w:rPr>
                      <w:rFonts w:hint="eastAsia"/>
                      <w:color w:val="auto"/>
                      <w:szCs w:val="21"/>
                      <w:highlight w:val="none"/>
                    </w:rPr>
                  </w:pPr>
                  <w:r>
                    <w:rPr>
                      <w:rFonts w:hint="eastAsia"/>
                      <w:color w:val="auto"/>
                      <w:szCs w:val="21"/>
                      <w:highlight w:val="none"/>
                      <w:lang w:eastAsia="zh-CN"/>
                    </w:rPr>
                    <w:t>符合</w:t>
                  </w:r>
                </w:p>
              </w:tc>
            </w:tr>
            <w:tr w14:paraId="7CCFB4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730FDA4E">
                  <w:pPr>
                    <w:widowControl/>
                    <w:rPr>
                      <w:rFonts w:hint="default"/>
                      <w:color w:val="auto"/>
                      <w:szCs w:val="21"/>
                      <w:highlight w:val="none"/>
                      <w:lang w:val="en-US" w:eastAsia="zh-CN"/>
                    </w:rPr>
                  </w:pPr>
                  <w:r>
                    <w:rPr>
                      <w:rFonts w:hint="eastAsia"/>
                      <w:color w:val="auto"/>
                      <w:szCs w:val="21"/>
                      <w:highlight w:val="none"/>
                      <w:lang w:val="en-US" w:eastAsia="zh-CN"/>
                    </w:rPr>
                    <w:t>11、工业、仓储等建筑改为公寓、居住用房的（按规定改造建设住房租赁试点项目或保障性租赁住房等情形的除外）；</w:t>
                  </w:r>
                </w:p>
              </w:tc>
              <w:tc>
                <w:tcPr>
                  <w:tcW w:w="1610" w:type="pct"/>
                  <w:tcBorders>
                    <w:tl2br w:val="nil"/>
                    <w:tr2bl w:val="nil"/>
                  </w:tcBorders>
                  <w:vAlign w:val="center"/>
                </w:tcPr>
                <w:p w14:paraId="73F6F77F">
                  <w:pPr>
                    <w:widowControl/>
                    <w:jc w:val="center"/>
                    <w:rPr>
                      <w:rFonts w:hint="eastAsia" w:eastAsia="宋体"/>
                      <w:color w:val="auto"/>
                      <w:szCs w:val="21"/>
                      <w:highlight w:val="none"/>
                      <w:lang w:eastAsia="zh-CN"/>
                    </w:rPr>
                  </w:pPr>
                  <w:r>
                    <w:rPr>
                      <w:rFonts w:hint="eastAsia"/>
                      <w:color w:val="auto"/>
                      <w:szCs w:val="21"/>
                      <w:highlight w:val="none"/>
                      <w:lang w:eastAsia="zh-CN"/>
                    </w:rPr>
                    <w:t>本项目房屋作为医院，不改为公寓及居住用房。</w:t>
                  </w:r>
                </w:p>
              </w:tc>
              <w:tc>
                <w:tcPr>
                  <w:tcW w:w="613" w:type="pct"/>
                  <w:tcBorders>
                    <w:tl2br w:val="nil"/>
                    <w:tr2bl w:val="nil"/>
                  </w:tcBorders>
                  <w:vAlign w:val="center"/>
                </w:tcPr>
                <w:p w14:paraId="37ECE7BC">
                  <w:pPr>
                    <w:widowControl/>
                    <w:jc w:val="center"/>
                    <w:rPr>
                      <w:rFonts w:hint="eastAsia"/>
                      <w:color w:val="auto"/>
                      <w:szCs w:val="21"/>
                      <w:highlight w:val="none"/>
                    </w:rPr>
                  </w:pPr>
                  <w:r>
                    <w:rPr>
                      <w:rFonts w:hint="eastAsia"/>
                      <w:color w:val="auto"/>
                      <w:szCs w:val="21"/>
                      <w:highlight w:val="none"/>
                      <w:lang w:eastAsia="zh-CN"/>
                    </w:rPr>
                    <w:t>符合</w:t>
                  </w:r>
                </w:p>
              </w:tc>
            </w:tr>
            <w:tr w14:paraId="655CC0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75" w:type="pct"/>
                  <w:tcBorders>
                    <w:tl2br w:val="nil"/>
                    <w:tr2bl w:val="nil"/>
                  </w:tcBorders>
                  <w:vAlign w:val="center"/>
                </w:tcPr>
                <w:p w14:paraId="36027CB3">
                  <w:pPr>
                    <w:widowControl/>
                    <w:rPr>
                      <w:rFonts w:hint="default"/>
                      <w:color w:val="auto"/>
                      <w:szCs w:val="21"/>
                      <w:highlight w:val="none"/>
                      <w:lang w:val="en-US" w:eastAsia="zh-CN"/>
                    </w:rPr>
                  </w:pPr>
                  <w:r>
                    <w:rPr>
                      <w:rFonts w:hint="eastAsia"/>
                      <w:color w:val="auto"/>
                      <w:szCs w:val="21"/>
                      <w:highlight w:val="none"/>
                      <w:lang w:val="en-US" w:eastAsia="zh-CN"/>
                    </w:rPr>
                    <w:t>12、法律、法规、规章规定禁止临时改变房屋用途的其他情形；</w:t>
                  </w:r>
                </w:p>
              </w:tc>
              <w:tc>
                <w:tcPr>
                  <w:tcW w:w="1610" w:type="pct"/>
                  <w:tcBorders>
                    <w:tl2br w:val="nil"/>
                    <w:tr2bl w:val="nil"/>
                  </w:tcBorders>
                  <w:vAlign w:val="center"/>
                </w:tcPr>
                <w:p w14:paraId="428B39D6">
                  <w:pPr>
                    <w:widowControl/>
                    <w:jc w:val="center"/>
                    <w:rPr>
                      <w:rFonts w:hint="eastAsia" w:eastAsia="宋体"/>
                      <w:color w:val="auto"/>
                      <w:szCs w:val="21"/>
                      <w:highlight w:val="none"/>
                      <w:lang w:eastAsia="zh-CN"/>
                    </w:rPr>
                  </w:pPr>
                  <w:r>
                    <w:rPr>
                      <w:rFonts w:hint="eastAsia"/>
                      <w:color w:val="auto"/>
                      <w:szCs w:val="21"/>
                      <w:highlight w:val="none"/>
                      <w:lang w:eastAsia="zh-CN"/>
                    </w:rPr>
                    <w:t>不属于。</w:t>
                  </w:r>
                </w:p>
              </w:tc>
              <w:tc>
                <w:tcPr>
                  <w:tcW w:w="613" w:type="pct"/>
                  <w:tcBorders>
                    <w:tl2br w:val="nil"/>
                    <w:tr2bl w:val="nil"/>
                  </w:tcBorders>
                  <w:vAlign w:val="center"/>
                </w:tcPr>
                <w:p w14:paraId="40DB0FF1">
                  <w:pPr>
                    <w:widowControl/>
                    <w:jc w:val="center"/>
                    <w:rPr>
                      <w:rFonts w:hint="eastAsia"/>
                      <w:color w:val="auto"/>
                      <w:szCs w:val="21"/>
                      <w:highlight w:val="none"/>
                    </w:rPr>
                  </w:pPr>
                  <w:r>
                    <w:rPr>
                      <w:rFonts w:hint="eastAsia"/>
                      <w:color w:val="auto"/>
                      <w:szCs w:val="21"/>
                      <w:highlight w:val="none"/>
                      <w:lang w:eastAsia="zh-CN"/>
                    </w:rPr>
                    <w:t>符合</w:t>
                  </w:r>
                </w:p>
              </w:tc>
            </w:tr>
          </w:tbl>
          <w:p w14:paraId="4BC7390A">
            <w:pPr>
              <w:autoSpaceDE w:val="0"/>
              <w:autoSpaceDN w:val="0"/>
              <w:adjustRightInd w:val="0"/>
              <w:snapToGrid w:val="0"/>
              <w:spacing w:line="360" w:lineRule="auto"/>
              <w:ind w:firstLine="420" w:firstLineChars="200"/>
              <w:rPr>
                <w:color w:val="auto"/>
                <w:highlight w:val="none"/>
              </w:rPr>
            </w:pPr>
          </w:p>
        </w:tc>
      </w:tr>
    </w:tbl>
    <w:p w14:paraId="685F9CF5">
      <w:pPr>
        <w:spacing w:line="360" w:lineRule="auto"/>
        <w:outlineLvl w:val="0"/>
        <w:rPr>
          <w:rFonts w:eastAsia="黑体"/>
          <w:color w:val="auto"/>
          <w:sz w:val="30"/>
          <w:highlight w:val="none"/>
        </w:rPr>
        <w:sectPr>
          <w:footerReference r:id="rId4" w:type="default"/>
          <w:pgSz w:w="11906" w:h="16838"/>
          <w:pgMar w:top="1701" w:right="1531" w:bottom="1701" w:left="1531" w:header="851" w:footer="1077" w:gutter="0"/>
          <w:pgNumType w:start="1"/>
          <w:cols w:space="720" w:num="1"/>
          <w:docGrid w:linePitch="312" w:charSpace="0"/>
        </w:sectPr>
      </w:pPr>
    </w:p>
    <w:p w14:paraId="278F4F46">
      <w:pPr>
        <w:pStyle w:val="2"/>
        <w:spacing w:line="240" w:lineRule="auto"/>
        <w:rPr>
          <w:rFonts w:hint="eastAsia" w:ascii="黑体" w:hAnsi="黑体"/>
          <w:snapToGrid w:val="0"/>
          <w:color w:val="auto"/>
          <w:highlight w:val="none"/>
        </w:rPr>
      </w:pPr>
      <w:r>
        <w:rPr>
          <w:rFonts w:hint="eastAsia" w:eastAsia="宋体"/>
          <w:color w:val="auto"/>
          <w:highlight w:val="none"/>
        </w:rPr>
        <w:t>二、建设项目工程分析</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8637"/>
      </w:tblGrid>
      <w:tr w14:paraId="2E80A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74" w:hRule="atLeast"/>
          <w:jc w:val="center"/>
        </w:trPr>
        <w:tc>
          <w:tcPr>
            <w:tcW w:w="235" w:type="pct"/>
            <w:vAlign w:val="center"/>
          </w:tcPr>
          <w:p w14:paraId="3FE0F24B">
            <w:pPr>
              <w:pStyle w:val="24"/>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建设内容</w:t>
            </w:r>
          </w:p>
        </w:tc>
        <w:tc>
          <w:tcPr>
            <w:tcW w:w="4764" w:type="pct"/>
          </w:tcPr>
          <w:p w14:paraId="33BBF420">
            <w:pPr>
              <w:spacing w:line="360" w:lineRule="auto"/>
              <w:ind w:firstLine="482" w:firstLineChars="200"/>
              <w:rPr>
                <w:b/>
                <w:bCs/>
                <w:color w:val="auto"/>
                <w:sz w:val="24"/>
                <w:highlight w:val="none"/>
              </w:rPr>
            </w:pPr>
            <w:r>
              <w:rPr>
                <w:b/>
                <w:bCs/>
                <w:color w:val="auto"/>
                <w:sz w:val="24"/>
                <w:highlight w:val="none"/>
              </w:rPr>
              <w:t>1、项目</w:t>
            </w:r>
            <w:r>
              <w:rPr>
                <w:rFonts w:hint="eastAsia"/>
                <w:b/>
                <w:bCs/>
                <w:color w:val="auto"/>
                <w:sz w:val="24"/>
                <w:highlight w:val="none"/>
              </w:rPr>
              <w:t>名称、性质</w:t>
            </w:r>
            <w:r>
              <w:rPr>
                <w:b/>
                <w:bCs/>
                <w:color w:val="auto"/>
                <w:sz w:val="24"/>
                <w:highlight w:val="none"/>
              </w:rPr>
              <w:t>及</w:t>
            </w:r>
            <w:r>
              <w:rPr>
                <w:rFonts w:hint="eastAsia"/>
                <w:b/>
                <w:bCs/>
                <w:color w:val="auto"/>
                <w:sz w:val="24"/>
                <w:highlight w:val="none"/>
              </w:rPr>
              <w:t>建设地点</w:t>
            </w:r>
          </w:p>
          <w:p w14:paraId="4C913109">
            <w:pPr>
              <w:pStyle w:val="24"/>
              <w:adjustRightInd w:val="0"/>
              <w:snapToGrid w:val="0"/>
              <w:spacing w:before="0" w:beforeAutospacing="0" w:after="0" w:afterAutospacing="0" w:line="360" w:lineRule="auto"/>
              <w:ind w:firstLine="480" w:firstLineChars="200"/>
              <w:jc w:val="both"/>
              <w:rPr>
                <w:rFonts w:ascii="Times New Roman" w:hAnsi="Times New Roman"/>
                <w:color w:val="auto"/>
                <w:szCs w:val="24"/>
                <w:highlight w:val="none"/>
              </w:rPr>
            </w:pPr>
            <w:r>
              <w:rPr>
                <w:rFonts w:hint="eastAsia" w:ascii="Times New Roman" w:hAnsi="Times New Roman"/>
                <w:color w:val="auto"/>
                <w:szCs w:val="24"/>
                <w:highlight w:val="none"/>
              </w:rPr>
              <w:t>项目名称：长春新区民康康复医院建设项目</w:t>
            </w:r>
          </w:p>
          <w:p w14:paraId="7913160F">
            <w:pPr>
              <w:pStyle w:val="24"/>
              <w:adjustRightInd w:val="0"/>
              <w:snapToGrid w:val="0"/>
              <w:spacing w:before="0" w:beforeAutospacing="0" w:after="0" w:afterAutospacing="0" w:line="360" w:lineRule="auto"/>
              <w:ind w:firstLine="480" w:firstLineChars="200"/>
              <w:jc w:val="both"/>
              <w:rPr>
                <w:rFonts w:ascii="Times New Roman" w:hAnsi="Times New Roman"/>
                <w:color w:val="auto"/>
                <w:szCs w:val="24"/>
                <w:highlight w:val="none"/>
              </w:rPr>
            </w:pPr>
            <w:r>
              <w:rPr>
                <w:rFonts w:hint="eastAsia" w:ascii="Times New Roman" w:hAnsi="Times New Roman"/>
                <w:color w:val="auto"/>
                <w:szCs w:val="24"/>
                <w:highlight w:val="none"/>
              </w:rPr>
              <w:t>建设性质：新建</w:t>
            </w:r>
          </w:p>
          <w:p w14:paraId="6C423DF3">
            <w:pPr>
              <w:pStyle w:val="24"/>
              <w:adjustRightInd w:val="0"/>
              <w:snapToGrid w:val="0"/>
              <w:spacing w:before="0" w:beforeAutospacing="0" w:after="0" w:afterAutospacing="0" w:line="360" w:lineRule="auto"/>
              <w:ind w:firstLine="480" w:firstLineChars="200"/>
              <w:jc w:val="both"/>
              <w:rPr>
                <w:rFonts w:ascii="Times New Roman" w:hAnsi="Times New Roman"/>
                <w:color w:val="auto"/>
                <w:szCs w:val="24"/>
                <w:highlight w:val="none"/>
              </w:rPr>
            </w:pPr>
            <w:r>
              <w:rPr>
                <w:rFonts w:hint="eastAsia" w:ascii="Times New Roman" w:hAnsi="Times New Roman"/>
                <w:color w:val="auto"/>
                <w:szCs w:val="24"/>
                <w:highlight w:val="none"/>
              </w:rPr>
              <w:t>建设地点：</w:t>
            </w:r>
            <w:r>
              <w:rPr>
                <w:rFonts w:ascii="Times New Roman" w:hAnsi="Times New Roman"/>
                <w:i/>
                <w:iCs/>
                <w:color w:val="auto"/>
                <w:szCs w:val="24"/>
                <w:highlight w:val="none"/>
                <w:u w:val="single"/>
              </w:rPr>
              <w:t>本项目位于</w:t>
            </w:r>
            <w:r>
              <w:rPr>
                <w:rFonts w:hint="eastAsia" w:ascii="Times New Roman" w:hAnsi="Times New Roman"/>
                <w:i/>
                <w:iCs/>
                <w:color w:val="auto"/>
                <w:szCs w:val="24"/>
                <w:highlight w:val="none"/>
                <w:u w:val="single"/>
              </w:rPr>
              <w:t>长春市高新开发区光谷大街866号1号楼</w:t>
            </w:r>
            <w:r>
              <w:rPr>
                <w:rFonts w:hint="eastAsia" w:ascii="Times New Roman" w:hAnsi="Times New Roman"/>
                <w:i/>
                <w:iCs/>
                <w:color w:val="auto"/>
                <w:szCs w:val="24"/>
                <w:highlight w:val="none"/>
                <w:u w:val="single"/>
              </w:rPr>
              <w:t>，项目东侧为飞跃东路，隔飞跃东路为富康花园小区，南侧为长春禹衡光学有限公司，</w:t>
            </w:r>
            <w:r>
              <w:rPr>
                <w:rFonts w:hint="eastAsia" w:ascii="Times New Roman" w:hAnsi="Times New Roman"/>
                <w:i/>
                <w:iCs/>
                <w:color w:val="auto"/>
                <w:szCs w:val="24"/>
                <w:highlight w:val="none"/>
                <w:u w:val="single"/>
              </w:rPr>
              <w:t>西侧为长春天宝英联汽车饰件有限公司，</w:t>
            </w:r>
            <w:r>
              <w:rPr>
                <w:rFonts w:hint="eastAsia" w:ascii="Times New Roman" w:hAnsi="Times New Roman"/>
                <w:i/>
                <w:iCs/>
                <w:color w:val="auto"/>
                <w:szCs w:val="24"/>
                <w:highlight w:val="none"/>
                <w:u w:val="single"/>
              </w:rPr>
              <w:t>北侧为光谷大街，隔光谷大街为高新区交警队及</w:t>
            </w:r>
            <w:r>
              <w:rPr>
                <w:rFonts w:hint="eastAsia" w:ascii="Times New Roman" w:hAnsi="Times New Roman"/>
                <w:i/>
                <w:iCs/>
                <w:color w:val="auto"/>
                <w:szCs w:val="24"/>
                <w:highlight w:val="none"/>
                <w:u w:val="single"/>
                <w:lang w:eastAsia="zh-CN"/>
              </w:rPr>
              <w:t>宝莱</w:t>
            </w:r>
            <w:r>
              <w:rPr>
                <w:rFonts w:hint="eastAsia" w:ascii="Times New Roman" w:hAnsi="Times New Roman"/>
                <w:i/>
                <w:iCs/>
                <w:color w:val="auto"/>
                <w:szCs w:val="24"/>
                <w:highlight w:val="none"/>
                <w:u w:val="single"/>
              </w:rPr>
              <w:t>雅居小区。距本项目最近的敏感目标为东侧60m的富康花园小区</w:t>
            </w:r>
            <w:r>
              <w:rPr>
                <w:rFonts w:ascii="Times New Roman" w:hAnsi="Times New Roman"/>
                <w:i/>
                <w:iCs/>
                <w:color w:val="auto"/>
                <w:szCs w:val="24"/>
                <w:highlight w:val="none"/>
                <w:u w:val="single"/>
              </w:rPr>
              <w:t>。</w:t>
            </w:r>
            <w:r>
              <w:rPr>
                <w:rFonts w:hint="eastAsia" w:ascii="Times New Roman" w:hAnsi="Times New Roman"/>
                <w:i/>
                <w:iCs/>
                <w:color w:val="auto"/>
                <w:szCs w:val="24"/>
                <w:highlight w:val="none"/>
                <w:u w:val="single"/>
              </w:rPr>
              <w:t>本项目地理位置详见附图1。厂区周围情况详见附图7及附图8。</w:t>
            </w:r>
          </w:p>
          <w:p w14:paraId="444F80E6">
            <w:pPr>
              <w:spacing w:line="360" w:lineRule="auto"/>
              <w:ind w:firstLine="482" w:firstLineChars="200"/>
              <w:rPr>
                <w:b/>
                <w:bCs/>
                <w:color w:val="auto"/>
                <w:sz w:val="24"/>
                <w:highlight w:val="none"/>
              </w:rPr>
            </w:pPr>
            <w:bookmarkStart w:id="3" w:name="_Toc20045"/>
            <w:r>
              <w:rPr>
                <w:b/>
                <w:bCs/>
                <w:color w:val="auto"/>
                <w:sz w:val="24"/>
                <w:highlight w:val="none"/>
              </w:rPr>
              <w:t>2、工程组成</w:t>
            </w:r>
            <w:bookmarkEnd w:id="3"/>
          </w:p>
          <w:p w14:paraId="3910C781">
            <w:pPr>
              <w:spacing w:line="360" w:lineRule="auto"/>
              <w:ind w:firstLine="480"/>
              <w:rPr>
                <w:color w:val="auto"/>
                <w:kern w:val="0"/>
                <w:sz w:val="24"/>
                <w:highlight w:val="none"/>
              </w:rPr>
            </w:pPr>
            <w:r>
              <w:rPr>
                <w:rFonts w:hint="eastAsia"/>
                <w:color w:val="auto"/>
                <w:kern w:val="0"/>
                <w:sz w:val="24"/>
                <w:szCs w:val="20"/>
                <w:highlight w:val="none"/>
              </w:rPr>
              <w:t>本项目共设置100张床位，内设外科、内科、口腔科、康复医学科、中医科及医学影像科</w:t>
            </w:r>
            <w:r>
              <w:rPr>
                <w:rFonts w:hint="eastAsia"/>
                <w:color w:val="auto"/>
                <w:kern w:val="0"/>
                <w:sz w:val="24"/>
                <w:szCs w:val="20"/>
                <w:highlight w:val="none"/>
                <w:lang w:eastAsia="zh-CN"/>
              </w:rPr>
              <w:t>，日接诊人数约为</w:t>
            </w:r>
            <w:r>
              <w:rPr>
                <w:rFonts w:hint="eastAsia"/>
                <w:color w:val="auto"/>
                <w:kern w:val="0"/>
                <w:sz w:val="24"/>
                <w:szCs w:val="20"/>
                <w:highlight w:val="none"/>
                <w:lang w:val="en-US" w:eastAsia="zh-CN"/>
              </w:rPr>
              <w:t>200人</w:t>
            </w:r>
            <w:r>
              <w:rPr>
                <w:rFonts w:hint="eastAsia"/>
                <w:color w:val="auto"/>
                <w:kern w:val="0"/>
                <w:sz w:val="24"/>
                <w:szCs w:val="20"/>
                <w:highlight w:val="none"/>
              </w:rPr>
              <w:t>。</w:t>
            </w:r>
            <w:r>
              <w:rPr>
                <w:color w:val="auto"/>
                <w:kern w:val="0"/>
                <w:sz w:val="24"/>
                <w:szCs w:val="20"/>
                <w:highlight w:val="none"/>
              </w:rPr>
              <w:t>医院安装辐射、放射类设备</w:t>
            </w:r>
            <w:r>
              <w:rPr>
                <w:color w:val="auto"/>
                <w:kern w:val="0"/>
                <w:sz w:val="24"/>
                <w:szCs w:val="20"/>
                <w:highlight w:val="none"/>
              </w:rPr>
              <w:t>，在安装前应另行办理环评手续。</w:t>
            </w:r>
            <w:r>
              <w:rPr>
                <w:rFonts w:hint="eastAsia"/>
                <w:color w:val="auto"/>
                <w:kern w:val="0"/>
                <w:sz w:val="24"/>
                <w:szCs w:val="20"/>
                <w:highlight w:val="none"/>
              </w:rPr>
              <w:t>不在本次环评中进行评价。</w:t>
            </w:r>
            <w:r>
              <w:rPr>
                <w:color w:val="auto"/>
                <w:sz w:val="24"/>
                <w:highlight w:val="none"/>
              </w:rPr>
              <w:t>工程组成表见下表。</w:t>
            </w:r>
          </w:p>
          <w:p w14:paraId="53C2726F">
            <w:pPr>
              <w:jc w:val="center"/>
              <w:rPr>
                <w:b/>
                <w:bCs/>
                <w:color w:val="auto"/>
                <w:sz w:val="24"/>
                <w:highlight w:val="none"/>
              </w:rPr>
            </w:pPr>
            <w:r>
              <w:rPr>
                <w:b/>
                <w:bCs/>
                <w:color w:val="auto"/>
                <w:sz w:val="24"/>
                <w:highlight w:val="none"/>
              </w:rPr>
              <w:t>表2-1 本项目各功能布设情况一览表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29"/>
              <w:gridCol w:w="6433"/>
            </w:tblGrid>
            <w:tr w14:paraId="677FD8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79" w:type="pct"/>
                  <w:gridSpan w:val="2"/>
                  <w:tcBorders>
                    <w:tl2br w:val="nil"/>
                    <w:tr2bl w:val="nil"/>
                  </w:tcBorders>
                  <w:vAlign w:val="center"/>
                </w:tcPr>
                <w:p w14:paraId="65ACEC9B">
                  <w:pPr>
                    <w:autoSpaceDE w:val="0"/>
                    <w:autoSpaceDN w:val="0"/>
                    <w:adjustRightInd w:val="0"/>
                    <w:jc w:val="center"/>
                    <w:rPr>
                      <w:color w:val="auto"/>
                      <w:szCs w:val="21"/>
                      <w:highlight w:val="none"/>
                    </w:rPr>
                  </w:pPr>
                  <w:r>
                    <w:rPr>
                      <w:color w:val="auto"/>
                      <w:kern w:val="0"/>
                      <w:szCs w:val="21"/>
                      <w:highlight w:val="none"/>
                    </w:rPr>
                    <w:t>工程类别</w:t>
                  </w:r>
                </w:p>
              </w:tc>
              <w:tc>
                <w:tcPr>
                  <w:tcW w:w="3820" w:type="pct"/>
                  <w:tcBorders>
                    <w:tl2br w:val="nil"/>
                    <w:tr2bl w:val="nil"/>
                  </w:tcBorders>
                  <w:vAlign w:val="center"/>
                </w:tcPr>
                <w:p w14:paraId="35FDDFCF">
                  <w:pPr>
                    <w:autoSpaceDE w:val="0"/>
                    <w:autoSpaceDN w:val="0"/>
                    <w:adjustRightInd w:val="0"/>
                    <w:jc w:val="center"/>
                    <w:rPr>
                      <w:color w:val="auto"/>
                      <w:szCs w:val="21"/>
                      <w:highlight w:val="none"/>
                    </w:rPr>
                  </w:pPr>
                  <w:r>
                    <w:rPr>
                      <w:color w:val="auto"/>
                      <w:kern w:val="0"/>
                      <w:szCs w:val="21"/>
                      <w:highlight w:val="none"/>
                    </w:rPr>
                    <w:t>工程建设内容</w:t>
                  </w:r>
                </w:p>
              </w:tc>
            </w:tr>
            <w:tr w14:paraId="79822F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49" w:type="pct"/>
                  <w:vMerge w:val="restart"/>
                  <w:tcBorders>
                    <w:tl2br w:val="nil"/>
                    <w:tr2bl w:val="nil"/>
                  </w:tcBorders>
                  <w:vAlign w:val="center"/>
                </w:tcPr>
                <w:p w14:paraId="2E9F7BDC">
                  <w:pPr>
                    <w:pStyle w:val="44"/>
                    <w:rPr>
                      <w:rFonts w:ascii="Times New Roman"/>
                      <w:color w:val="auto"/>
                      <w:szCs w:val="21"/>
                      <w:highlight w:val="none"/>
                    </w:rPr>
                  </w:pPr>
                  <w:r>
                    <w:rPr>
                      <w:rFonts w:ascii="Times New Roman"/>
                      <w:color w:val="auto"/>
                      <w:szCs w:val="21"/>
                      <w:highlight w:val="none"/>
                    </w:rPr>
                    <w:t>主体工程</w:t>
                  </w:r>
                </w:p>
              </w:tc>
              <w:tc>
                <w:tcPr>
                  <w:tcW w:w="729" w:type="pct"/>
                  <w:vMerge w:val="restart"/>
                  <w:tcBorders>
                    <w:tl2br w:val="nil"/>
                    <w:tr2bl w:val="nil"/>
                  </w:tcBorders>
                  <w:vAlign w:val="center"/>
                </w:tcPr>
                <w:p w14:paraId="375F76B9">
                  <w:pPr>
                    <w:autoSpaceDE w:val="0"/>
                    <w:autoSpaceDN w:val="0"/>
                    <w:adjustRightInd w:val="0"/>
                    <w:jc w:val="center"/>
                    <w:rPr>
                      <w:color w:val="auto"/>
                      <w:kern w:val="0"/>
                      <w:szCs w:val="21"/>
                      <w:highlight w:val="none"/>
                    </w:rPr>
                  </w:pPr>
                  <w:r>
                    <w:rPr>
                      <w:rFonts w:hint="eastAsia"/>
                      <w:color w:val="auto"/>
                      <w:kern w:val="0"/>
                      <w:szCs w:val="21"/>
                      <w:highlight w:val="none"/>
                    </w:rPr>
                    <w:t>医院主体</w:t>
                  </w:r>
                </w:p>
              </w:tc>
              <w:tc>
                <w:tcPr>
                  <w:tcW w:w="3820" w:type="pct"/>
                  <w:tcBorders>
                    <w:tl2br w:val="nil"/>
                    <w:tr2bl w:val="nil"/>
                  </w:tcBorders>
                  <w:vAlign w:val="center"/>
                </w:tcPr>
                <w:p w14:paraId="645A5BD7">
                  <w:pPr>
                    <w:autoSpaceDE w:val="0"/>
                    <w:autoSpaceDN w:val="0"/>
                    <w:adjustRightInd w:val="0"/>
                    <w:jc w:val="center"/>
                    <w:rPr>
                      <w:color w:val="auto"/>
                      <w:kern w:val="0"/>
                      <w:szCs w:val="21"/>
                      <w:highlight w:val="none"/>
                    </w:rPr>
                  </w:pPr>
                  <w:r>
                    <w:rPr>
                      <w:rFonts w:hint="eastAsia"/>
                      <w:color w:val="auto"/>
                      <w:kern w:val="0"/>
                      <w:szCs w:val="21"/>
                      <w:highlight w:val="none"/>
                    </w:rPr>
                    <w:t>医院一层建筑面积2335.9m</w:t>
                  </w:r>
                  <w:r>
                    <w:rPr>
                      <w:rFonts w:hint="eastAsia"/>
                      <w:color w:val="auto"/>
                      <w:kern w:val="0"/>
                      <w:szCs w:val="21"/>
                      <w:highlight w:val="none"/>
                      <w:vertAlign w:val="superscript"/>
                    </w:rPr>
                    <w:t>2</w:t>
                  </w:r>
                  <w:r>
                    <w:rPr>
                      <w:rFonts w:hint="eastAsia"/>
                      <w:color w:val="auto"/>
                      <w:kern w:val="0"/>
                      <w:szCs w:val="21"/>
                      <w:highlight w:val="none"/>
                    </w:rPr>
                    <w:t>，层高5.4m，主要包括接诊室、高压氧室、污水站、消防控制室，放射线疗区、核磁室CT室、DR室。</w:t>
                  </w:r>
                </w:p>
              </w:tc>
            </w:tr>
            <w:tr w14:paraId="65C44A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49" w:type="pct"/>
                  <w:vMerge w:val="continue"/>
                  <w:tcBorders>
                    <w:tl2br w:val="nil"/>
                    <w:tr2bl w:val="nil"/>
                  </w:tcBorders>
                  <w:vAlign w:val="center"/>
                </w:tcPr>
                <w:p w14:paraId="126A1C3E">
                  <w:pPr>
                    <w:pStyle w:val="44"/>
                    <w:rPr>
                      <w:rFonts w:ascii="Times New Roman"/>
                      <w:color w:val="auto"/>
                      <w:szCs w:val="21"/>
                      <w:highlight w:val="none"/>
                    </w:rPr>
                  </w:pPr>
                </w:p>
              </w:tc>
              <w:tc>
                <w:tcPr>
                  <w:tcW w:w="729" w:type="pct"/>
                  <w:vMerge w:val="continue"/>
                  <w:tcBorders>
                    <w:tl2br w:val="nil"/>
                    <w:tr2bl w:val="nil"/>
                  </w:tcBorders>
                  <w:vAlign w:val="center"/>
                </w:tcPr>
                <w:p w14:paraId="0BCA279B">
                  <w:pPr>
                    <w:autoSpaceDE w:val="0"/>
                    <w:autoSpaceDN w:val="0"/>
                    <w:adjustRightInd w:val="0"/>
                    <w:jc w:val="center"/>
                    <w:rPr>
                      <w:color w:val="auto"/>
                      <w:kern w:val="0"/>
                      <w:szCs w:val="21"/>
                      <w:highlight w:val="none"/>
                    </w:rPr>
                  </w:pPr>
                </w:p>
              </w:tc>
              <w:tc>
                <w:tcPr>
                  <w:tcW w:w="3820" w:type="pct"/>
                  <w:tcBorders>
                    <w:tl2br w:val="nil"/>
                    <w:tr2bl w:val="nil"/>
                  </w:tcBorders>
                  <w:vAlign w:val="center"/>
                </w:tcPr>
                <w:p w14:paraId="655E17CF">
                  <w:pPr>
                    <w:autoSpaceDE w:val="0"/>
                    <w:autoSpaceDN w:val="0"/>
                    <w:adjustRightInd w:val="0"/>
                    <w:jc w:val="center"/>
                    <w:rPr>
                      <w:color w:val="auto"/>
                      <w:kern w:val="0"/>
                      <w:szCs w:val="21"/>
                      <w:highlight w:val="none"/>
                    </w:rPr>
                  </w:pPr>
                  <w:r>
                    <w:rPr>
                      <w:rFonts w:hint="eastAsia"/>
                      <w:color w:val="auto"/>
                      <w:kern w:val="0"/>
                      <w:szCs w:val="21"/>
                      <w:highlight w:val="none"/>
                    </w:rPr>
                    <w:t>医院二层建筑面积2335.9m</w:t>
                  </w:r>
                  <w:r>
                    <w:rPr>
                      <w:rFonts w:hint="eastAsia"/>
                      <w:color w:val="auto"/>
                      <w:kern w:val="0"/>
                      <w:szCs w:val="21"/>
                      <w:highlight w:val="none"/>
                      <w:vertAlign w:val="superscript"/>
                    </w:rPr>
                    <w:t>2</w:t>
                  </w:r>
                  <w:r>
                    <w:rPr>
                      <w:rFonts w:hint="eastAsia"/>
                      <w:color w:val="auto"/>
                      <w:kern w:val="0"/>
                      <w:szCs w:val="21"/>
                      <w:highlight w:val="none"/>
                    </w:rPr>
                    <w:t>，层高4.2m，主要包括内科诊室、外科诊室、口腔科、康复医学科、中医科、化验室、病房及手术室。</w:t>
                  </w:r>
                </w:p>
              </w:tc>
            </w:tr>
            <w:tr w14:paraId="04191D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49" w:type="pct"/>
                  <w:vMerge w:val="continue"/>
                  <w:tcBorders>
                    <w:tl2br w:val="nil"/>
                    <w:tr2bl w:val="nil"/>
                  </w:tcBorders>
                  <w:vAlign w:val="center"/>
                </w:tcPr>
                <w:p w14:paraId="3666071D">
                  <w:pPr>
                    <w:pStyle w:val="44"/>
                    <w:rPr>
                      <w:rFonts w:ascii="Times New Roman"/>
                      <w:color w:val="auto"/>
                      <w:szCs w:val="21"/>
                      <w:highlight w:val="none"/>
                    </w:rPr>
                  </w:pPr>
                </w:p>
              </w:tc>
              <w:tc>
                <w:tcPr>
                  <w:tcW w:w="729" w:type="pct"/>
                  <w:vMerge w:val="continue"/>
                  <w:tcBorders>
                    <w:tl2br w:val="nil"/>
                    <w:tr2bl w:val="nil"/>
                  </w:tcBorders>
                  <w:vAlign w:val="center"/>
                </w:tcPr>
                <w:p w14:paraId="032BACE5">
                  <w:pPr>
                    <w:autoSpaceDE w:val="0"/>
                    <w:autoSpaceDN w:val="0"/>
                    <w:adjustRightInd w:val="0"/>
                    <w:jc w:val="center"/>
                    <w:rPr>
                      <w:color w:val="auto"/>
                      <w:kern w:val="0"/>
                      <w:szCs w:val="21"/>
                      <w:highlight w:val="none"/>
                    </w:rPr>
                  </w:pPr>
                </w:p>
              </w:tc>
              <w:tc>
                <w:tcPr>
                  <w:tcW w:w="3820" w:type="pct"/>
                  <w:tcBorders>
                    <w:tl2br w:val="nil"/>
                    <w:tr2bl w:val="nil"/>
                  </w:tcBorders>
                  <w:vAlign w:val="center"/>
                </w:tcPr>
                <w:p w14:paraId="3D947A00">
                  <w:pPr>
                    <w:autoSpaceDE w:val="0"/>
                    <w:autoSpaceDN w:val="0"/>
                    <w:adjustRightInd w:val="0"/>
                    <w:jc w:val="center"/>
                    <w:rPr>
                      <w:color w:val="auto"/>
                      <w:kern w:val="0"/>
                      <w:szCs w:val="21"/>
                      <w:highlight w:val="none"/>
                    </w:rPr>
                  </w:pPr>
                  <w:r>
                    <w:rPr>
                      <w:rFonts w:hint="eastAsia"/>
                      <w:color w:val="auto"/>
                      <w:kern w:val="0"/>
                      <w:szCs w:val="21"/>
                      <w:highlight w:val="none"/>
                    </w:rPr>
                    <w:t>医院三层建筑面积2040.1m</w:t>
                  </w:r>
                  <w:r>
                    <w:rPr>
                      <w:rFonts w:hint="eastAsia"/>
                      <w:color w:val="auto"/>
                      <w:kern w:val="0"/>
                      <w:szCs w:val="21"/>
                      <w:highlight w:val="none"/>
                      <w:vertAlign w:val="superscript"/>
                    </w:rPr>
                    <w:t>2</w:t>
                  </w:r>
                  <w:r>
                    <w:rPr>
                      <w:rFonts w:hint="eastAsia"/>
                      <w:color w:val="auto"/>
                      <w:kern w:val="0"/>
                      <w:szCs w:val="21"/>
                      <w:highlight w:val="none"/>
                    </w:rPr>
                    <w:t>，层高3.3m，主要包括病房、休息室及康复大厅</w:t>
                  </w:r>
                  <w:r>
                    <w:rPr>
                      <w:rFonts w:hint="eastAsia"/>
                      <w:color w:val="auto"/>
                      <w:szCs w:val="21"/>
                      <w:highlight w:val="none"/>
                    </w:rPr>
                    <w:t>。</w:t>
                  </w:r>
                </w:p>
              </w:tc>
            </w:tr>
            <w:tr w14:paraId="168592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49" w:type="pct"/>
                  <w:vMerge w:val="continue"/>
                  <w:tcBorders>
                    <w:tl2br w:val="nil"/>
                    <w:tr2bl w:val="nil"/>
                  </w:tcBorders>
                  <w:vAlign w:val="center"/>
                </w:tcPr>
                <w:p w14:paraId="528618DE">
                  <w:pPr>
                    <w:pStyle w:val="44"/>
                    <w:rPr>
                      <w:rFonts w:ascii="Times New Roman"/>
                      <w:color w:val="auto"/>
                      <w:szCs w:val="21"/>
                      <w:highlight w:val="none"/>
                    </w:rPr>
                  </w:pPr>
                </w:p>
              </w:tc>
              <w:tc>
                <w:tcPr>
                  <w:tcW w:w="729" w:type="pct"/>
                  <w:vMerge w:val="continue"/>
                  <w:tcBorders>
                    <w:tl2br w:val="nil"/>
                    <w:tr2bl w:val="nil"/>
                  </w:tcBorders>
                  <w:vAlign w:val="center"/>
                </w:tcPr>
                <w:p w14:paraId="7D74ED30">
                  <w:pPr>
                    <w:autoSpaceDE w:val="0"/>
                    <w:autoSpaceDN w:val="0"/>
                    <w:adjustRightInd w:val="0"/>
                    <w:jc w:val="center"/>
                    <w:rPr>
                      <w:color w:val="auto"/>
                      <w:kern w:val="0"/>
                      <w:szCs w:val="21"/>
                      <w:highlight w:val="none"/>
                    </w:rPr>
                  </w:pPr>
                </w:p>
              </w:tc>
              <w:tc>
                <w:tcPr>
                  <w:tcW w:w="3820" w:type="pct"/>
                  <w:tcBorders>
                    <w:tl2br w:val="nil"/>
                    <w:tr2bl w:val="nil"/>
                  </w:tcBorders>
                  <w:vAlign w:val="center"/>
                </w:tcPr>
                <w:p w14:paraId="09BC43E6">
                  <w:pPr>
                    <w:autoSpaceDE w:val="0"/>
                    <w:autoSpaceDN w:val="0"/>
                    <w:adjustRightInd w:val="0"/>
                    <w:jc w:val="center"/>
                    <w:rPr>
                      <w:color w:val="auto"/>
                      <w:kern w:val="0"/>
                      <w:szCs w:val="21"/>
                      <w:highlight w:val="none"/>
                    </w:rPr>
                  </w:pPr>
                  <w:r>
                    <w:rPr>
                      <w:rFonts w:hint="eastAsia"/>
                      <w:color w:val="auto"/>
                      <w:kern w:val="0"/>
                      <w:szCs w:val="21"/>
                      <w:highlight w:val="none"/>
                    </w:rPr>
                    <w:t>医院四层建筑面积2040.1m</w:t>
                  </w:r>
                  <w:r>
                    <w:rPr>
                      <w:rFonts w:hint="eastAsia"/>
                      <w:color w:val="auto"/>
                      <w:kern w:val="0"/>
                      <w:szCs w:val="21"/>
                      <w:highlight w:val="none"/>
                      <w:vertAlign w:val="superscript"/>
                    </w:rPr>
                    <w:t>2</w:t>
                  </w:r>
                  <w:r>
                    <w:rPr>
                      <w:rFonts w:hint="eastAsia"/>
                      <w:color w:val="auto"/>
                      <w:kern w:val="0"/>
                      <w:szCs w:val="21"/>
                      <w:highlight w:val="none"/>
                    </w:rPr>
                    <w:t>，层高3.3m，主要包括病房、办公室、休息室、病房及康复大厅。</w:t>
                  </w:r>
                </w:p>
              </w:tc>
            </w:tr>
            <w:tr w14:paraId="19A2D0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49" w:type="pct"/>
                  <w:vMerge w:val="continue"/>
                  <w:tcBorders>
                    <w:tl2br w:val="nil"/>
                    <w:tr2bl w:val="nil"/>
                  </w:tcBorders>
                  <w:vAlign w:val="center"/>
                </w:tcPr>
                <w:p w14:paraId="1D63E15A">
                  <w:pPr>
                    <w:pStyle w:val="44"/>
                    <w:rPr>
                      <w:rFonts w:ascii="Times New Roman"/>
                      <w:color w:val="auto"/>
                      <w:szCs w:val="21"/>
                      <w:highlight w:val="none"/>
                    </w:rPr>
                  </w:pPr>
                </w:p>
              </w:tc>
              <w:tc>
                <w:tcPr>
                  <w:tcW w:w="729" w:type="pct"/>
                  <w:vMerge w:val="continue"/>
                  <w:tcBorders>
                    <w:tl2br w:val="nil"/>
                    <w:tr2bl w:val="nil"/>
                  </w:tcBorders>
                  <w:vAlign w:val="center"/>
                </w:tcPr>
                <w:p w14:paraId="1BC90873">
                  <w:pPr>
                    <w:autoSpaceDE w:val="0"/>
                    <w:autoSpaceDN w:val="0"/>
                    <w:adjustRightInd w:val="0"/>
                    <w:jc w:val="center"/>
                    <w:rPr>
                      <w:color w:val="auto"/>
                      <w:kern w:val="0"/>
                      <w:szCs w:val="21"/>
                      <w:highlight w:val="none"/>
                    </w:rPr>
                  </w:pPr>
                </w:p>
              </w:tc>
              <w:tc>
                <w:tcPr>
                  <w:tcW w:w="3820" w:type="pct"/>
                  <w:tcBorders>
                    <w:tl2br w:val="nil"/>
                    <w:tr2bl w:val="nil"/>
                  </w:tcBorders>
                  <w:vAlign w:val="center"/>
                </w:tcPr>
                <w:p w14:paraId="0A55D396">
                  <w:pPr>
                    <w:autoSpaceDE w:val="0"/>
                    <w:autoSpaceDN w:val="0"/>
                    <w:adjustRightInd w:val="0"/>
                    <w:jc w:val="center"/>
                    <w:rPr>
                      <w:color w:val="auto"/>
                      <w:kern w:val="0"/>
                      <w:szCs w:val="21"/>
                      <w:highlight w:val="none"/>
                    </w:rPr>
                  </w:pPr>
                  <w:r>
                    <w:rPr>
                      <w:rFonts w:hint="eastAsia"/>
                      <w:color w:val="auto"/>
                      <w:kern w:val="0"/>
                      <w:szCs w:val="21"/>
                      <w:highlight w:val="none"/>
                    </w:rPr>
                    <w:t>医院五层建筑面积801.2m</w:t>
                  </w:r>
                  <w:r>
                    <w:rPr>
                      <w:rFonts w:hint="eastAsia"/>
                      <w:color w:val="auto"/>
                      <w:kern w:val="0"/>
                      <w:szCs w:val="21"/>
                      <w:highlight w:val="none"/>
                      <w:vertAlign w:val="superscript"/>
                    </w:rPr>
                    <w:t>2</w:t>
                  </w:r>
                  <w:r>
                    <w:rPr>
                      <w:rFonts w:hint="eastAsia"/>
                      <w:color w:val="auto"/>
                      <w:kern w:val="0"/>
                      <w:szCs w:val="21"/>
                      <w:highlight w:val="none"/>
                    </w:rPr>
                    <w:t>，层高4.2m，主要包括会议室、办公室及食堂。</w:t>
                  </w:r>
                </w:p>
              </w:tc>
            </w:tr>
            <w:tr w14:paraId="6C8329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449" w:type="pct"/>
                  <w:vMerge w:val="restart"/>
                  <w:tcBorders>
                    <w:tl2br w:val="nil"/>
                    <w:tr2bl w:val="nil"/>
                  </w:tcBorders>
                  <w:vAlign w:val="center"/>
                </w:tcPr>
                <w:p w14:paraId="162A4745">
                  <w:pPr>
                    <w:pStyle w:val="44"/>
                    <w:rPr>
                      <w:rFonts w:ascii="Times New Roman"/>
                      <w:color w:val="auto"/>
                      <w:szCs w:val="21"/>
                      <w:highlight w:val="none"/>
                    </w:rPr>
                  </w:pPr>
                  <w:r>
                    <w:rPr>
                      <w:rFonts w:hint="eastAsia" w:ascii="Times New Roman"/>
                      <w:color w:val="auto"/>
                      <w:szCs w:val="21"/>
                      <w:highlight w:val="none"/>
                    </w:rPr>
                    <w:t>储运工程</w:t>
                  </w:r>
                </w:p>
              </w:tc>
              <w:tc>
                <w:tcPr>
                  <w:tcW w:w="729" w:type="pct"/>
                  <w:tcBorders>
                    <w:tl2br w:val="nil"/>
                    <w:tr2bl w:val="nil"/>
                  </w:tcBorders>
                  <w:vAlign w:val="center"/>
                </w:tcPr>
                <w:p w14:paraId="6EFCDDEE">
                  <w:pPr>
                    <w:autoSpaceDE w:val="0"/>
                    <w:autoSpaceDN w:val="0"/>
                    <w:adjustRightInd w:val="0"/>
                    <w:jc w:val="center"/>
                    <w:rPr>
                      <w:color w:val="auto"/>
                      <w:kern w:val="0"/>
                      <w:szCs w:val="21"/>
                      <w:highlight w:val="none"/>
                    </w:rPr>
                  </w:pPr>
                  <w:r>
                    <w:rPr>
                      <w:color w:val="auto"/>
                      <w:kern w:val="0"/>
                      <w:szCs w:val="21"/>
                      <w:highlight w:val="none"/>
                      <w:lang w:val="zh-CN"/>
                    </w:rPr>
                    <w:t>医疗废物暂存间</w:t>
                  </w:r>
                </w:p>
              </w:tc>
              <w:tc>
                <w:tcPr>
                  <w:tcW w:w="3820" w:type="pct"/>
                  <w:tcBorders>
                    <w:tl2br w:val="nil"/>
                    <w:tr2bl w:val="nil"/>
                  </w:tcBorders>
                  <w:vAlign w:val="center"/>
                </w:tcPr>
                <w:p w14:paraId="75DAF8AE">
                  <w:pPr>
                    <w:autoSpaceDE w:val="0"/>
                    <w:autoSpaceDN w:val="0"/>
                    <w:adjustRightInd w:val="0"/>
                    <w:jc w:val="center"/>
                    <w:rPr>
                      <w:color w:val="auto"/>
                      <w:kern w:val="0"/>
                      <w:szCs w:val="21"/>
                      <w:highlight w:val="none"/>
                    </w:rPr>
                  </w:pPr>
                  <w:r>
                    <w:rPr>
                      <w:rFonts w:hint="eastAsia"/>
                      <w:color w:val="auto"/>
                      <w:kern w:val="0"/>
                      <w:szCs w:val="21"/>
                      <w:highlight w:val="none"/>
                    </w:rPr>
                    <w:t>位于医院南侧室外，</w:t>
                  </w:r>
                  <w:r>
                    <w:rPr>
                      <w:color w:val="auto"/>
                      <w:kern w:val="0"/>
                      <w:szCs w:val="21"/>
                      <w:highlight w:val="none"/>
                    </w:rPr>
                    <w:t>建筑面积</w:t>
                  </w:r>
                  <w:r>
                    <w:rPr>
                      <w:rFonts w:hint="eastAsia"/>
                      <w:color w:val="auto"/>
                      <w:kern w:val="0"/>
                      <w:szCs w:val="21"/>
                      <w:highlight w:val="none"/>
                    </w:rPr>
                    <w:t>10</w:t>
                  </w:r>
                  <w:r>
                    <w:rPr>
                      <w:color w:val="auto"/>
                      <w:kern w:val="0"/>
                      <w:szCs w:val="21"/>
                      <w:highlight w:val="none"/>
                    </w:rPr>
                    <w:t>m</w:t>
                  </w:r>
                  <w:r>
                    <w:rPr>
                      <w:color w:val="auto"/>
                      <w:kern w:val="0"/>
                      <w:szCs w:val="21"/>
                      <w:highlight w:val="none"/>
                      <w:vertAlign w:val="superscript"/>
                    </w:rPr>
                    <w:t>2</w:t>
                  </w:r>
                  <w:r>
                    <w:rPr>
                      <w:rFonts w:hint="eastAsia"/>
                      <w:color w:val="auto"/>
                      <w:kern w:val="0"/>
                      <w:szCs w:val="21"/>
                      <w:highlight w:val="none"/>
                    </w:rPr>
                    <w:t>，用于储存医院产生的医疗废物</w:t>
                  </w:r>
                  <w:r>
                    <w:rPr>
                      <w:rFonts w:hint="eastAsia"/>
                      <w:color w:val="auto"/>
                      <w:szCs w:val="21"/>
                      <w:highlight w:val="none"/>
                    </w:rPr>
                    <w:t>。</w:t>
                  </w:r>
                </w:p>
              </w:tc>
            </w:tr>
            <w:tr w14:paraId="7D272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49" w:type="pct"/>
                  <w:vMerge w:val="continue"/>
                  <w:tcBorders>
                    <w:tl2br w:val="nil"/>
                    <w:tr2bl w:val="nil"/>
                  </w:tcBorders>
                  <w:vAlign w:val="center"/>
                </w:tcPr>
                <w:p w14:paraId="7EEBD5D6">
                  <w:pPr>
                    <w:jc w:val="center"/>
                    <w:rPr>
                      <w:color w:val="auto"/>
                      <w:szCs w:val="21"/>
                      <w:highlight w:val="none"/>
                    </w:rPr>
                  </w:pPr>
                </w:p>
              </w:tc>
              <w:tc>
                <w:tcPr>
                  <w:tcW w:w="729" w:type="pct"/>
                  <w:tcBorders>
                    <w:tl2br w:val="nil"/>
                    <w:tr2bl w:val="nil"/>
                  </w:tcBorders>
                  <w:vAlign w:val="center"/>
                </w:tcPr>
                <w:p w14:paraId="38777F3C">
                  <w:pPr>
                    <w:autoSpaceDE w:val="0"/>
                    <w:autoSpaceDN w:val="0"/>
                    <w:adjustRightInd w:val="0"/>
                    <w:jc w:val="center"/>
                    <w:rPr>
                      <w:color w:val="auto"/>
                      <w:kern w:val="0"/>
                      <w:szCs w:val="21"/>
                      <w:highlight w:val="none"/>
                      <w:lang w:val="zh-CN"/>
                    </w:rPr>
                  </w:pPr>
                  <w:r>
                    <w:rPr>
                      <w:rFonts w:hint="eastAsia"/>
                      <w:color w:val="auto"/>
                      <w:kern w:val="0"/>
                      <w:szCs w:val="21"/>
                      <w:highlight w:val="none"/>
                    </w:rPr>
                    <w:t>危废贮存点</w:t>
                  </w:r>
                </w:p>
              </w:tc>
              <w:tc>
                <w:tcPr>
                  <w:tcW w:w="3820" w:type="pct"/>
                  <w:tcBorders>
                    <w:tl2br w:val="nil"/>
                    <w:tr2bl w:val="nil"/>
                  </w:tcBorders>
                  <w:vAlign w:val="center"/>
                </w:tcPr>
                <w:p w14:paraId="5B58EA73">
                  <w:pPr>
                    <w:autoSpaceDE w:val="0"/>
                    <w:autoSpaceDN w:val="0"/>
                    <w:adjustRightInd w:val="0"/>
                    <w:jc w:val="center"/>
                    <w:rPr>
                      <w:color w:val="auto"/>
                      <w:kern w:val="0"/>
                      <w:szCs w:val="21"/>
                      <w:highlight w:val="none"/>
                    </w:rPr>
                  </w:pPr>
                  <w:r>
                    <w:rPr>
                      <w:rFonts w:hint="eastAsia"/>
                      <w:color w:val="auto"/>
                      <w:kern w:val="0"/>
                      <w:szCs w:val="21"/>
                      <w:highlight w:val="none"/>
                    </w:rPr>
                    <w:t>位于医院南侧室外，</w:t>
                  </w:r>
                  <w:r>
                    <w:rPr>
                      <w:color w:val="auto"/>
                      <w:kern w:val="0"/>
                      <w:szCs w:val="21"/>
                      <w:highlight w:val="none"/>
                    </w:rPr>
                    <w:t>建筑面积</w:t>
                  </w:r>
                  <w:r>
                    <w:rPr>
                      <w:rFonts w:hint="eastAsia"/>
                      <w:color w:val="auto"/>
                      <w:kern w:val="0"/>
                      <w:szCs w:val="21"/>
                      <w:highlight w:val="none"/>
                    </w:rPr>
                    <w:t>10</w:t>
                  </w:r>
                  <w:r>
                    <w:rPr>
                      <w:color w:val="auto"/>
                      <w:kern w:val="0"/>
                      <w:szCs w:val="21"/>
                      <w:highlight w:val="none"/>
                    </w:rPr>
                    <w:t>m</w:t>
                  </w:r>
                  <w:r>
                    <w:rPr>
                      <w:color w:val="auto"/>
                      <w:kern w:val="0"/>
                      <w:szCs w:val="21"/>
                      <w:highlight w:val="none"/>
                      <w:vertAlign w:val="superscript"/>
                    </w:rPr>
                    <w:t>2</w:t>
                  </w:r>
                  <w:r>
                    <w:rPr>
                      <w:rFonts w:hint="eastAsia"/>
                      <w:color w:val="auto"/>
                      <w:kern w:val="0"/>
                      <w:szCs w:val="21"/>
                      <w:highlight w:val="none"/>
                    </w:rPr>
                    <w:t>，用于储存污水处理站污泥和废活性炭</w:t>
                  </w:r>
                  <w:r>
                    <w:rPr>
                      <w:rFonts w:hint="eastAsia"/>
                      <w:color w:val="auto"/>
                      <w:szCs w:val="21"/>
                      <w:highlight w:val="none"/>
                    </w:rPr>
                    <w:t>。</w:t>
                  </w:r>
                </w:p>
              </w:tc>
            </w:tr>
            <w:tr w14:paraId="1F3F2A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49" w:type="pct"/>
                  <w:vMerge w:val="continue"/>
                  <w:tcBorders>
                    <w:tl2br w:val="nil"/>
                    <w:tr2bl w:val="nil"/>
                  </w:tcBorders>
                  <w:vAlign w:val="center"/>
                </w:tcPr>
                <w:p w14:paraId="1C56D958">
                  <w:pPr>
                    <w:jc w:val="center"/>
                    <w:rPr>
                      <w:color w:val="auto"/>
                      <w:szCs w:val="21"/>
                      <w:highlight w:val="none"/>
                    </w:rPr>
                  </w:pPr>
                </w:p>
              </w:tc>
              <w:tc>
                <w:tcPr>
                  <w:tcW w:w="729" w:type="pct"/>
                  <w:tcBorders>
                    <w:tl2br w:val="nil"/>
                    <w:tr2bl w:val="nil"/>
                  </w:tcBorders>
                  <w:vAlign w:val="center"/>
                </w:tcPr>
                <w:p w14:paraId="1F763B32">
                  <w:pPr>
                    <w:autoSpaceDE w:val="0"/>
                    <w:autoSpaceDN w:val="0"/>
                    <w:adjustRightInd w:val="0"/>
                    <w:jc w:val="center"/>
                    <w:rPr>
                      <w:rFonts w:hint="eastAsia" w:eastAsia="宋体"/>
                      <w:color w:val="auto"/>
                      <w:kern w:val="0"/>
                      <w:szCs w:val="21"/>
                      <w:highlight w:val="none"/>
                      <w:lang w:eastAsia="zh-CN"/>
                    </w:rPr>
                  </w:pPr>
                  <w:r>
                    <w:rPr>
                      <w:rFonts w:hint="eastAsia"/>
                      <w:color w:val="auto"/>
                      <w:kern w:val="0"/>
                      <w:szCs w:val="21"/>
                      <w:highlight w:val="none"/>
                      <w:lang w:eastAsia="zh-CN"/>
                    </w:rPr>
                    <w:t>库房</w:t>
                  </w:r>
                </w:p>
              </w:tc>
              <w:tc>
                <w:tcPr>
                  <w:tcW w:w="3820" w:type="pct"/>
                  <w:tcBorders>
                    <w:tl2br w:val="nil"/>
                    <w:tr2bl w:val="nil"/>
                  </w:tcBorders>
                  <w:vAlign w:val="center"/>
                </w:tcPr>
                <w:p w14:paraId="5D138D3B">
                  <w:pPr>
                    <w:autoSpaceDE w:val="0"/>
                    <w:autoSpaceDN w:val="0"/>
                    <w:adjustRightInd w:val="0"/>
                    <w:jc w:val="center"/>
                    <w:rPr>
                      <w:rFonts w:hint="eastAsia" w:eastAsia="宋体"/>
                      <w:color w:val="auto"/>
                      <w:kern w:val="0"/>
                      <w:szCs w:val="21"/>
                      <w:highlight w:val="none"/>
                      <w:lang w:val="en-US" w:eastAsia="zh-CN"/>
                    </w:rPr>
                  </w:pPr>
                  <w:r>
                    <w:rPr>
                      <w:rFonts w:hint="eastAsia"/>
                      <w:color w:val="auto"/>
                      <w:kern w:val="0"/>
                      <w:szCs w:val="21"/>
                      <w:highlight w:val="none"/>
                      <w:lang w:eastAsia="zh-CN"/>
                    </w:rPr>
                    <w:t>医院</w:t>
                  </w:r>
                  <w:r>
                    <w:rPr>
                      <w:rFonts w:hint="eastAsia"/>
                      <w:color w:val="auto"/>
                      <w:kern w:val="0"/>
                      <w:szCs w:val="21"/>
                      <w:highlight w:val="none"/>
                      <w:lang w:val="en-US" w:eastAsia="zh-CN"/>
                    </w:rPr>
                    <w:t>3层及4层各设置1间库房，建筑面积均为30.76</w:t>
                  </w:r>
                  <w:r>
                    <w:rPr>
                      <w:color w:val="auto"/>
                      <w:kern w:val="0"/>
                      <w:szCs w:val="21"/>
                      <w:highlight w:val="none"/>
                    </w:rPr>
                    <w:t>m</w:t>
                  </w:r>
                  <w:r>
                    <w:rPr>
                      <w:color w:val="auto"/>
                      <w:kern w:val="0"/>
                      <w:szCs w:val="21"/>
                      <w:highlight w:val="none"/>
                      <w:vertAlign w:val="superscript"/>
                    </w:rPr>
                    <w:t>2</w:t>
                  </w:r>
                  <w:r>
                    <w:rPr>
                      <w:rFonts w:hint="eastAsia"/>
                      <w:color w:val="auto"/>
                      <w:kern w:val="0"/>
                      <w:szCs w:val="21"/>
                      <w:highlight w:val="none"/>
                      <w:vertAlign w:val="baseline"/>
                      <w:lang w:eastAsia="zh-CN"/>
                    </w:rPr>
                    <w:t>。用于药品及试剂的储存。</w:t>
                  </w:r>
                </w:p>
              </w:tc>
            </w:tr>
            <w:tr w14:paraId="5C93A8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9" w:type="pct"/>
                  <w:vMerge w:val="restart"/>
                  <w:tcBorders>
                    <w:tl2br w:val="nil"/>
                    <w:tr2bl w:val="nil"/>
                  </w:tcBorders>
                  <w:vAlign w:val="center"/>
                </w:tcPr>
                <w:p w14:paraId="62EF5578">
                  <w:pPr>
                    <w:jc w:val="center"/>
                    <w:rPr>
                      <w:color w:val="auto"/>
                      <w:szCs w:val="21"/>
                      <w:highlight w:val="none"/>
                    </w:rPr>
                  </w:pPr>
                  <w:r>
                    <w:rPr>
                      <w:rFonts w:hint="eastAsia"/>
                      <w:color w:val="auto"/>
                      <w:szCs w:val="21"/>
                      <w:highlight w:val="none"/>
                    </w:rPr>
                    <w:t>辅助工程</w:t>
                  </w:r>
                </w:p>
              </w:tc>
              <w:tc>
                <w:tcPr>
                  <w:tcW w:w="729" w:type="pct"/>
                  <w:tcBorders>
                    <w:tl2br w:val="nil"/>
                    <w:tr2bl w:val="nil"/>
                  </w:tcBorders>
                  <w:vAlign w:val="center"/>
                </w:tcPr>
                <w:p w14:paraId="12AECD10">
                  <w:pPr>
                    <w:autoSpaceDE w:val="0"/>
                    <w:autoSpaceDN w:val="0"/>
                    <w:adjustRightInd w:val="0"/>
                    <w:jc w:val="center"/>
                    <w:rPr>
                      <w:color w:val="auto"/>
                      <w:kern w:val="0"/>
                      <w:szCs w:val="21"/>
                      <w:highlight w:val="none"/>
                    </w:rPr>
                  </w:pPr>
                  <w:r>
                    <w:rPr>
                      <w:rFonts w:hint="eastAsia"/>
                      <w:color w:val="auto"/>
                      <w:kern w:val="0"/>
                      <w:szCs w:val="21"/>
                      <w:highlight w:val="none"/>
                    </w:rPr>
                    <w:t>污水处理站</w:t>
                  </w:r>
                </w:p>
              </w:tc>
              <w:tc>
                <w:tcPr>
                  <w:tcW w:w="3820" w:type="pct"/>
                  <w:tcBorders>
                    <w:tl2br w:val="nil"/>
                    <w:tr2bl w:val="nil"/>
                  </w:tcBorders>
                  <w:vAlign w:val="center"/>
                </w:tcPr>
                <w:p w14:paraId="56FDAAF0">
                  <w:pPr>
                    <w:autoSpaceDE w:val="0"/>
                    <w:autoSpaceDN w:val="0"/>
                    <w:adjustRightInd w:val="0"/>
                    <w:jc w:val="center"/>
                    <w:rPr>
                      <w:color w:val="auto"/>
                      <w:kern w:val="0"/>
                      <w:szCs w:val="21"/>
                      <w:highlight w:val="none"/>
                    </w:rPr>
                  </w:pPr>
                  <w:r>
                    <w:rPr>
                      <w:rFonts w:hint="eastAsia"/>
                      <w:color w:val="auto"/>
                      <w:kern w:val="0"/>
                      <w:szCs w:val="21"/>
                      <w:highlight w:val="none"/>
                    </w:rPr>
                    <w:t>位于医院一层</w:t>
                  </w:r>
                  <w:r>
                    <w:rPr>
                      <w:color w:val="auto"/>
                      <w:kern w:val="0"/>
                      <w:szCs w:val="21"/>
                      <w:highlight w:val="none"/>
                    </w:rPr>
                    <w:t>，</w:t>
                  </w:r>
                  <w:r>
                    <w:rPr>
                      <w:rFonts w:hint="eastAsia"/>
                      <w:color w:val="auto"/>
                      <w:kern w:val="0"/>
                      <w:szCs w:val="21"/>
                      <w:highlight w:val="none"/>
                    </w:rPr>
                    <w:t>占地面积56.72</w:t>
                  </w:r>
                  <w:r>
                    <w:rPr>
                      <w:color w:val="auto"/>
                      <w:kern w:val="0"/>
                      <w:szCs w:val="21"/>
                      <w:highlight w:val="none"/>
                    </w:rPr>
                    <w:t>m</w:t>
                  </w:r>
                  <w:r>
                    <w:rPr>
                      <w:color w:val="auto"/>
                      <w:kern w:val="0"/>
                      <w:szCs w:val="21"/>
                      <w:highlight w:val="none"/>
                      <w:vertAlign w:val="superscript"/>
                    </w:rPr>
                    <w:t>2</w:t>
                  </w:r>
                  <w:r>
                    <w:rPr>
                      <w:rFonts w:hint="eastAsia"/>
                      <w:color w:val="auto"/>
                      <w:kern w:val="0"/>
                      <w:szCs w:val="21"/>
                      <w:highlight w:val="none"/>
                    </w:rPr>
                    <w:t>，</w:t>
                  </w:r>
                  <w:r>
                    <w:rPr>
                      <w:color w:val="auto"/>
                      <w:kern w:val="0"/>
                      <w:szCs w:val="21"/>
                      <w:highlight w:val="none"/>
                    </w:rPr>
                    <w:t>日处理量</w:t>
                  </w:r>
                  <w:r>
                    <w:rPr>
                      <w:rFonts w:hint="eastAsia"/>
                      <w:color w:val="auto"/>
                      <w:kern w:val="0"/>
                      <w:szCs w:val="21"/>
                      <w:highlight w:val="none"/>
                    </w:rPr>
                    <w:t>约</w:t>
                  </w:r>
                  <w:r>
                    <w:rPr>
                      <w:color w:val="auto"/>
                      <w:kern w:val="0"/>
                      <w:szCs w:val="21"/>
                      <w:highlight w:val="none"/>
                    </w:rPr>
                    <w:t>为</w:t>
                  </w:r>
                  <w:r>
                    <w:rPr>
                      <w:rFonts w:hint="eastAsia"/>
                      <w:color w:val="auto"/>
                      <w:kern w:val="0"/>
                      <w:szCs w:val="21"/>
                      <w:highlight w:val="none"/>
                    </w:rPr>
                    <w:t>20</w:t>
                  </w:r>
                  <w:r>
                    <w:rPr>
                      <w:color w:val="auto"/>
                      <w:kern w:val="0"/>
                      <w:szCs w:val="21"/>
                      <w:highlight w:val="none"/>
                    </w:rPr>
                    <w:t>m</w:t>
                  </w:r>
                  <w:r>
                    <w:rPr>
                      <w:color w:val="auto"/>
                      <w:kern w:val="0"/>
                      <w:szCs w:val="21"/>
                      <w:highlight w:val="none"/>
                      <w:vertAlign w:val="superscript"/>
                    </w:rPr>
                    <w:t>3</w:t>
                  </w:r>
                  <w:r>
                    <w:rPr>
                      <w:color w:val="auto"/>
                      <w:kern w:val="0"/>
                      <w:szCs w:val="21"/>
                      <w:highlight w:val="none"/>
                    </w:rPr>
                    <w:t>/d</w:t>
                  </w:r>
                  <w:r>
                    <w:rPr>
                      <w:rFonts w:hint="eastAsia"/>
                      <w:color w:val="auto"/>
                      <w:kern w:val="0"/>
                      <w:szCs w:val="21"/>
                      <w:highlight w:val="none"/>
                    </w:rPr>
                    <w:t>，采用MBR一体化处理实施。</w:t>
                  </w:r>
                </w:p>
              </w:tc>
            </w:tr>
            <w:tr w14:paraId="20FA16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9" w:type="pct"/>
                  <w:vMerge w:val="continue"/>
                  <w:tcBorders>
                    <w:tl2br w:val="nil"/>
                    <w:tr2bl w:val="nil"/>
                  </w:tcBorders>
                  <w:vAlign w:val="center"/>
                </w:tcPr>
                <w:p w14:paraId="5291818E">
                  <w:pPr>
                    <w:jc w:val="center"/>
                    <w:rPr>
                      <w:rFonts w:hint="eastAsia"/>
                      <w:color w:val="auto"/>
                      <w:szCs w:val="21"/>
                      <w:highlight w:val="none"/>
                    </w:rPr>
                  </w:pPr>
                </w:p>
              </w:tc>
              <w:tc>
                <w:tcPr>
                  <w:tcW w:w="729" w:type="pct"/>
                  <w:tcBorders>
                    <w:tl2br w:val="nil"/>
                    <w:tr2bl w:val="nil"/>
                  </w:tcBorders>
                  <w:vAlign w:val="center"/>
                </w:tcPr>
                <w:p w14:paraId="595877EC">
                  <w:pPr>
                    <w:autoSpaceDE w:val="0"/>
                    <w:autoSpaceDN w:val="0"/>
                    <w:adjustRightInd w:val="0"/>
                    <w:jc w:val="center"/>
                    <w:rPr>
                      <w:rFonts w:hint="eastAsia" w:eastAsia="宋体"/>
                      <w:color w:val="auto"/>
                      <w:kern w:val="0"/>
                      <w:szCs w:val="21"/>
                      <w:highlight w:val="none"/>
                      <w:lang w:eastAsia="zh-CN"/>
                    </w:rPr>
                  </w:pPr>
                  <w:r>
                    <w:rPr>
                      <w:rFonts w:hint="eastAsia"/>
                      <w:color w:val="auto"/>
                      <w:kern w:val="0"/>
                      <w:szCs w:val="21"/>
                      <w:highlight w:val="none"/>
                      <w:lang w:eastAsia="zh-CN"/>
                    </w:rPr>
                    <w:t>备用柴油发电机房</w:t>
                  </w:r>
                </w:p>
              </w:tc>
              <w:tc>
                <w:tcPr>
                  <w:tcW w:w="3820" w:type="pct"/>
                  <w:tcBorders>
                    <w:tl2br w:val="nil"/>
                    <w:tr2bl w:val="nil"/>
                  </w:tcBorders>
                  <w:vAlign w:val="center"/>
                </w:tcPr>
                <w:p w14:paraId="1B871AC1">
                  <w:pPr>
                    <w:autoSpaceDE w:val="0"/>
                    <w:autoSpaceDN w:val="0"/>
                    <w:adjustRightInd w:val="0"/>
                    <w:jc w:val="center"/>
                    <w:rPr>
                      <w:rFonts w:hint="eastAsia"/>
                      <w:color w:val="auto"/>
                      <w:kern w:val="0"/>
                      <w:szCs w:val="21"/>
                      <w:highlight w:val="none"/>
                    </w:rPr>
                  </w:pPr>
                  <w:r>
                    <w:rPr>
                      <w:rFonts w:hint="eastAsia"/>
                      <w:color w:val="auto"/>
                      <w:kern w:val="0"/>
                      <w:szCs w:val="21"/>
                      <w:highlight w:val="none"/>
                    </w:rPr>
                    <w:t>位于医院南侧室外，</w:t>
                  </w:r>
                  <w:r>
                    <w:rPr>
                      <w:color w:val="auto"/>
                      <w:kern w:val="0"/>
                      <w:szCs w:val="21"/>
                      <w:highlight w:val="none"/>
                    </w:rPr>
                    <w:t>建筑面积</w:t>
                  </w:r>
                  <w:r>
                    <w:rPr>
                      <w:rFonts w:hint="eastAsia"/>
                      <w:color w:val="auto"/>
                      <w:kern w:val="0"/>
                      <w:szCs w:val="21"/>
                      <w:highlight w:val="none"/>
                    </w:rPr>
                    <w:t>10</w:t>
                  </w:r>
                  <w:r>
                    <w:rPr>
                      <w:color w:val="auto"/>
                      <w:kern w:val="0"/>
                      <w:szCs w:val="21"/>
                      <w:highlight w:val="none"/>
                    </w:rPr>
                    <w:t>m</w:t>
                  </w:r>
                  <w:r>
                    <w:rPr>
                      <w:color w:val="auto"/>
                      <w:kern w:val="0"/>
                      <w:szCs w:val="21"/>
                      <w:highlight w:val="none"/>
                      <w:vertAlign w:val="superscript"/>
                    </w:rPr>
                    <w:t>2</w:t>
                  </w:r>
                  <w:r>
                    <w:rPr>
                      <w:rFonts w:hint="eastAsia"/>
                      <w:color w:val="auto"/>
                      <w:kern w:val="0"/>
                      <w:szCs w:val="21"/>
                      <w:highlight w:val="none"/>
                    </w:rPr>
                    <w:t>，</w:t>
                  </w:r>
                  <w:r>
                    <w:rPr>
                      <w:rFonts w:hint="eastAsia"/>
                      <w:color w:val="auto"/>
                      <w:kern w:val="0"/>
                      <w:szCs w:val="21"/>
                      <w:highlight w:val="none"/>
                      <w:lang w:eastAsia="zh-CN"/>
                    </w:rPr>
                    <w:t>内置柴油发电机</w:t>
                  </w:r>
                  <w:r>
                    <w:rPr>
                      <w:rFonts w:hint="eastAsia"/>
                      <w:color w:val="auto"/>
                      <w:szCs w:val="21"/>
                      <w:highlight w:val="none"/>
                    </w:rPr>
                    <w:t>。</w:t>
                  </w:r>
                </w:p>
              </w:tc>
            </w:tr>
            <w:tr w14:paraId="6142B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9" w:type="pct"/>
                  <w:tcBorders>
                    <w:tl2br w:val="nil"/>
                    <w:tr2bl w:val="nil"/>
                  </w:tcBorders>
                  <w:vAlign w:val="center"/>
                </w:tcPr>
                <w:p w14:paraId="054DC1C7">
                  <w:pPr>
                    <w:jc w:val="center"/>
                    <w:rPr>
                      <w:rFonts w:hint="eastAsia"/>
                      <w:color w:val="auto"/>
                      <w:highlight w:val="none"/>
                      <w:lang w:eastAsia="zh-CN"/>
                    </w:rPr>
                  </w:pPr>
                  <w:r>
                    <w:rPr>
                      <w:rFonts w:hint="eastAsia"/>
                      <w:color w:val="auto"/>
                      <w:szCs w:val="21"/>
                      <w:highlight w:val="none"/>
                      <w:lang w:eastAsia="zh-CN"/>
                    </w:rPr>
                    <w:t>公用工程</w:t>
                  </w:r>
                </w:p>
              </w:tc>
              <w:tc>
                <w:tcPr>
                  <w:tcW w:w="729" w:type="pct"/>
                  <w:tcBorders>
                    <w:tl2br w:val="nil"/>
                    <w:tr2bl w:val="nil"/>
                  </w:tcBorders>
                  <w:vAlign w:val="center"/>
                </w:tcPr>
                <w:p w14:paraId="6B7BF9C1">
                  <w:pPr>
                    <w:autoSpaceDE w:val="0"/>
                    <w:autoSpaceDN w:val="0"/>
                    <w:adjustRightInd w:val="0"/>
                    <w:jc w:val="center"/>
                    <w:rPr>
                      <w:color w:val="auto"/>
                      <w:kern w:val="0"/>
                      <w:szCs w:val="21"/>
                      <w:highlight w:val="none"/>
                    </w:rPr>
                  </w:pPr>
                  <w:r>
                    <w:rPr>
                      <w:color w:val="auto"/>
                      <w:kern w:val="0"/>
                      <w:szCs w:val="21"/>
                      <w:highlight w:val="none"/>
                      <w:lang w:val="zh-CN"/>
                    </w:rPr>
                    <w:t>供水</w:t>
                  </w:r>
                </w:p>
              </w:tc>
              <w:tc>
                <w:tcPr>
                  <w:tcW w:w="3820" w:type="pct"/>
                  <w:tcBorders>
                    <w:tl2br w:val="nil"/>
                    <w:tr2bl w:val="nil"/>
                  </w:tcBorders>
                  <w:vAlign w:val="center"/>
                </w:tcPr>
                <w:p w14:paraId="0E294B84">
                  <w:pPr>
                    <w:autoSpaceDE w:val="0"/>
                    <w:autoSpaceDN w:val="0"/>
                    <w:adjustRightInd w:val="0"/>
                    <w:jc w:val="center"/>
                    <w:rPr>
                      <w:color w:val="auto"/>
                      <w:kern w:val="0"/>
                      <w:szCs w:val="21"/>
                      <w:highlight w:val="none"/>
                    </w:rPr>
                  </w:pPr>
                  <w:r>
                    <w:rPr>
                      <w:color w:val="auto"/>
                      <w:szCs w:val="21"/>
                      <w:highlight w:val="none"/>
                    </w:rPr>
                    <w:t>给水由市政自来水供水管网</w:t>
                  </w:r>
                  <w:r>
                    <w:rPr>
                      <w:rFonts w:hint="eastAsia"/>
                      <w:color w:val="auto"/>
                      <w:szCs w:val="21"/>
                      <w:highlight w:val="none"/>
                    </w:rPr>
                    <w:t>统一供给。</w:t>
                  </w:r>
                </w:p>
              </w:tc>
            </w:tr>
          </w:tbl>
          <w:p w14:paraId="2F9F0044">
            <w:pPr>
              <w:pStyle w:val="33"/>
              <w:spacing w:before="0" w:after="0" w:line="240" w:lineRule="auto"/>
              <w:ind w:firstLine="0"/>
              <w:jc w:val="center"/>
              <w:rPr>
                <w:rFonts w:hint="eastAsia" w:ascii="Times New Roman" w:hAnsi="Times New Roman" w:cs="Times New Roman"/>
                <w:color w:val="auto"/>
                <w:sz w:val="24"/>
                <w:szCs w:val="24"/>
                <w:highlight w:val="none"/>
              </w:rPr>
            </w:pPr>
          </w:p>
          <w:p w14:paraId="188DF605">
            <w:pPr>
              <w:pStyle w:val="33"/>
              <w:spacing w:before="0" w:after="0" w:line="240" w:lineRule="auto"/>
              <w:ind w:firstLine="0"/>
              <w:jc w:val="center"/>
              <w:rPr>
                <w:rFonts w:hint="eastAsia" w:ascii="Times New Roman" w:hAnsi="Times New Roman" w:cs="Times New Roman"/>
                <w:color w:val="auto"/>
                <w:sz w:val="24"/>
                <w:szCs w:val="24"/>
                <w:highlight w:val="none"/>
              </w:rPr>
            </w:pPr>
          </w:p>
          <w:p w14:paraId="3BA29FD4">
            <w:pPr>
              <w:pStyle w:val="33"/>
              <w:spacing w:before="0" w:after="0" w:line="240" w:lineRule="auto"/>
              <w:ind w:firstLine="0"/>
              <w:jc w:val="center"/>
              <w:rPr>
                <w:rFonts w:ascii="Times New Roman" w:hAnsi="Times New Roman" w:cs="Times New Roman"/>
                <w:color w:val="auto"/>
                <w:highlight w:val="none"/>
              </w:rPr>
            </w:pPr>
            <w:r>
              <w:rPr>
                <w:rFonts w:hint="eastAsia" w:ascii="Times New Roman" w:hAnsi="Times New Roman" w:cs="Times New Roman"/>
                <w:color w:val="auto"/>
                <w:sz w:val="24"/>
                <w:szCs w:val="24"/>
                <w:highlight w:val="none"/>
              </w:rPr>
              <w:t>（续）表2-1 本项目各功能布设情况一览表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264"/>
              <w:gridCol w:w="5834"/>
            </w:tblGrid>
            <w:tr w14:paraId="44BAAA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584" w:type="dxa"/>
                  <w:gridSpan w:val="2"/>
                  <w:tcBorders>
                    <w:tl2br w:val="nil"/>
                    <w:tr2bl w:val="nil"/>
                  </w:tcBorders>
                  <w:vAlign w:val="center"/>
                </w:tcPr>
                <w:p w14:paraId="68DA5B42">
                  <w:pPr>
                    <w:autoSpaceDE w:val="0"/>
                    <w:autoSpaceDN w:val="0"/>
                    <w:adjustRightInd w:val="0"/>
                    <w:jc w:val="center"/>
                    <w:rPr>
                      <w:color w:val="auto"/>
                      <w:kern w:val="0"/>
                      <w:szCs w:val="21"/>
                      <w:highlight w:val="none"/>
                      <w:lang w:val="zh-CN"/>
                    </w:rPr>
                  </w:pPr>
                  <w:r>
                    <w:rPr>
                      <w:color w:val="auto"/>
                      <w:kern w:val="0"/>
                      <w:szCs w:val="21"/>
                      <w:highlight w:val="none"/>
                    </w:rPr>
                    <w:t>工程类别</w:t>
                  </w:r>
                </w:p>
              </w:tc>
              <w:tc>
                <w:tcPr>
                  <w:tcW w:w="5834" w:type="dxa"/>
                  <w:tcBorders>
                    <w:tl2br w:val="nil"/>
                    <w:tr2bl w:val="nil"/>
                  </w:tcBorders>
                  <w:vAlign w:val="center"/>
                </w:tcPr>
                <w:p w14:paraId="1BEBEB9D">
                  <w:pPr>
                    <w:autoSpaceDE w:val="0"/>
                    <w:autoSpaceDN w:val="0"/>
                    <w:adjustRightInd w:val="0"/>
                    <w:jc w:val="center"/>
                    <w:rPr>
                      <w:color w:val="auto"/>
                      <w:szCs w:val="21"/>
                      <w:highlight w:val="none"/>
                    </w:rPr>
                  </w:pPr>
                  <w:r>
                    <w:rPr>
                      <w:color w:val="auto"/>
                      <w:kern w:val="0"/>
                      <w:szCs w:val="21"/>
                      <w:highlight w:val="none"/>
                    </w:rPr>
                    <w:t>工程建设内容</w:t>
                  </w:r>
                </w:p>
              </w:tc>
            </w:tr>
            <w:tr w14:paraId="0D8031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20" w:type="dxa"/>
                  <w:vMerge w:val="restart"/>
                  <w:tcBorders>
                    <w:tl2br w:val="nil"/>
                    <w:tr2bl w:val="nil"/>
                  </w:tcBorders>
                  <w:vAlign w:val="center"/>
                </w:tcPr>
                <w:p w14:paraId="6A834EDF">
                  <w:pPr>
                    <w:jc w:val="center"/>
                    <w:rPr>
                      <w:rFonts w:hint="eastAsia" w:eastAsia="宋体"/>
                      <w:color w:val="auto"/>
                      <w:szCs w:val="21"/>
                      <w:highlight w:val="none"/>
                      <w:lang w:eastAsia="zh-CN"/>
                    </w:rPr>
                  </w:pPr>
                  <w:r>
                    <w:rPr>
                      <w:rFonts w:hint="eastAsia"/>
                      <w:color w:val="auto"/>
                      <w:szCs w:val="21"/>
                      <w:highlight w:val="none"/>
                      <w:lang w:eastAsia="zh-CN"/>
                    </w:rPr>
                    <w:t>公用工程</w:t>
                  </w:r>
                </w:p>
              </w:tc>
              <w:tc>
                <w:tcPr>
                  <w:tcW w:w="1264" w:type="dxa"/>
                  <w:tcBorders>
                    <w:tl2br w:val="nil"/>
                    <w:tr2bl w:val="nil"/>
                  </w:tcBorders>
                  <w:shd w:val="clear" w:color="auto" w:fill="auto"/>
                  <w:vAlign w:val="center"/>
                </w:tcPr>
                <w:p w14:paraId="7DF3275A">
                  <w:pPr>
                    <w:autoSpaceDE w:val="0"/>
                    <w:autoSpaceDN w:val="0"/>
                    <w:adjustRightInd w:val="0"/>
                    <w:jc w:val="center"/>
                    <w:rPr>
                      <w:rFonts w:hint="eastAsia"/>
                      <w:color w:val="auto"/>
                      <w:kern w:val="0"/>
                      <w:szCs w:val="21"/>
                      <w:highlight w:val="none"/>
                      <w:lang w:val="zh-CN"/>
                    </w:rPr>
                  </w:pPr>
                  <w:r>
                    <w:rPr>
                      <w:color w:val="auto"/>
                      <w:kern w:val="0"/>
                      <w:szCs w:val="21"/>
                      <w:highlight w:val="none"/>
                      <w:lang w:val="zh-CN"/>
                    </w:rPr>
                    <w:t>排水</w:t>
                  </w:r>
                </w:p>
              </w:tc>
              <w:tc>
                <w:tcPr>
                  <w:tcW w:w="5834" w:type="dxa"/>
                  <w:tcBorders>
                    <w:tl2br w:val="nil"/>
                    <w:tr2bl w:val="nil"/>
                  </w:tcBorders>
                  <w:shd w:val="clear" w:color="auto" w:fill="auto"/>
                  <w:vAlign w:val="center"/>
                </w:tcPr>
                <w:p w14:paraId="59C0DE62">
                  <w:pPr>
                    <w:autoSpaceDE w:val="0"/>
                    <w:autoSpaceDN w:val="0"/>
                    <w:adjustRightInd w:val="0"/>
                    <w:jc w:val="center"/>
                    <w:rPr>
                      <w:rFonts w:hint="eastAsia" w:ascii="Times New Roman"/>
                      <w:color w:val="auto"/>
                      <w:kern w:val="0"/>
                      <w:szCs w:val="21"/>
                      <w:highlight w:val="none"/>
                    </w:rPr>
                  </w:pPr>
                  <w:r>
                    <w:rPr>
                      <w:rFonts w:hint="eastAsia"/>
                      <w:color w:val="auto"/>
                      <w:kern w:val="0"/>
                      <w:szCs w:val="21"/>
                      <w:highlight w:val="none"/>
                    </w:rPr>
                    <w:t>食堂废水经隔油池后同生活污水、住院病房废水、门诊患者废水、地面清洗废水、化验室废水、中药室废水分别排入化粪池经MBR一体化处理实施</w:t>
                  </w:r>
                  <w:r>
                    <w:rPr>
                      <w:bCs/>
                      <w:color w:val="auto"/>
                      <w:szCs w:val="21"/>
                      <w:highlight w:val="none"/>
                    </w:rPr>
                    <w:t>处理</w:t>
                  </w:r>
                  <w:r>
                    <w:rPr>
                      <w:rFonts w:hint="eastAsia"/>
                      <w:bCs/>
                      <w:color w:val="auto"/>
                      <w:szCs w:val="21"/>
                      <w:highlight w:val="none"/>
                      <w:lang w:eastAsia="zh-CN"/>
                    </w:rPr>
                    <w:t>后</w:t>
                  </w:r>
                  <w:r>
                    <w:rPr>
                      <w:rFonts w:hint="eastAsia"/>
                      <w:bCs/>
                      <w:color w:val="auto"/>
                      <w:szCs w:val="21"/>
                      <w:highlight w:val="none"/>
                    </w:rPr>
                    <w:t>排入</w:t>
                  </w:r>
                  <w:r>
                    <w:rPr>
                      <w:bCs/>
                      <w:color w:val="auto"/>
                      <w:szCs w:val="21"/>
                      <w:highlight w:val="none"/>
                    </w:rPr>
                    <w:t>市政</w:t>
                  </w:r>
                  <w:r>
                    <w:rPr>
                      <w:rFonts w:hint="eastAsia"/>
                      <w:bCs/>
                      <w:color w:val="auto"/>
                      <w:szCs w:val="21"/>
                      <w:highlight w:val="none"/>
                    </w:rPr>
                    <w:t>污水</w:t>
                  </w:r>
                  <w:r>
                    <w:rPr>
                      <w:bCs/>
                      <w:color w:val="auto"/>
                      <w:szCs w:val="21"/>
                      <w:highlight w:val="none"/>
                    </w:rPr>
                    <w:t>管网，</w:t>
                  </w:r>
                  <w:r>
                    <w:rPr>
                      <w:rFonts w:hint="eastAsia"/>
                      <w:bCs/>
                      <w:color w:val="auto"/>
                      <w:szCs w:val="21"/>
                      <w:highlight w:val="none"/>
                    </w:rPr>
                    <w:t>最后</w:t>
                  </w:r>
                  <w:r>
                    <w:rPr>
                      <w:bCs/>
                      <w:color w:val="auto"/>
                      <w:szCs w:val="21"/>
                      <w:highlight w:val="none"/>
                    </w:rPr>
                    <w:t>排入长春市</w:t>
                  </w:r>
                  <w:r>
                    <w:rPr>
                      <w:rFonts w:hint="eastAsia"/>
                      <w:bCs/>
                      <w:color w:val="auto"/>
                      <w:szCs w:val="21"/>
                      <w:highlight w:val="none"/>
                    </w:rPr>
                    <w:t>南部</w:t>
                  </w:r>
                  <w:r>
                    <w:rPr>
                      <w:bCs/>
                      <w:color w:val="auto"/>
                      <w:szCs w:val="21"/>
                      <w:highlight w:val="none"/>
                    </w:rPr>
                    <w:t>污水处理厂</w:t>
                  </w:r>
                  <w:r>
                    <w:rPr>
                      <w:rFonts w:hint="eastAsia"/>
                      <w:color w:val="auto"/>
                      <w:szCs w:val="21"/>
                      <w:highlight w:val="none"/>
                    </w:rPr>
                    <w:t>。</w:t>
                  </w:r>
                </w:p>
              </w:tc>
            </w:tr>
            <w:tr w14:paraId="46F85D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20" w:type="dxa"/>
                  <w:vMerge w:val="continue"/>
                  <w:tcBorders>
                    <w:tl2br w:val="nil"/>
                    <w:tr2bl w:val="nil"/>
                  </w:tcBorders>
                  <w:vAlign w:val="center"/>
                </w:tcPr>
                <w:p w14:paraId="412601BA">
                  <w:pPr>
                    <w:jc w:val="center"/>
                    <w:rPr>
                      <w:color w:val="auto"/>
                      <w:szCs w:val="21"/>
                      <w:highlight w:val="none"/>
                    </w:rPr>
                  </w:pPr>
                </w:p>
              </w:tc>
              <w:tc>
                <w:tcPr>
                  <w:tcW w:w="1264" w:type="dxa"/>
                  <w:tcBorders>
                    <w:tl2br w:val="nil"/>
                    <w:tr2bl w:val="nil"/>
                  </w:tcBorders>
                  <w:shd w:val="clear" w:color="auto" w:fill="auto"/>
                  <w:vAlign w:val="center"/>
                </w:tcPr>
                <w:p w14:paraId="6D8E645A">
                  <w:pPr>
                    <w:autoSpaceDE w:val="0"/>
                    <w:autoSpaceDN w:val="0"/>
                    <w:adjustRightInd w:val="0"/>
                    <w:jc w:val="center"/>
                    <w:rPr>
                      <w:rFonts w:hint="eastAsia"/>
                      <w:color w:val="auto"/>
                      <w:kern w:val="0"/>
                      <w:szCs w:val="21"/>
                      <w:highlight w:val="none"/>
                      <w:lang w:val="zh-CN"/>
                    </w:rPr>
                  </w:pPr>
                  <w:r>
                    <w:rPr>
                      <w:color w:val="auto"/>
                      <w:kern w:val="0"/>
                      <w:szCs w:val="21"/>
                      <w:highlight w:val="none"/>
                      <w:lang w:val="zh-CN"/>
                    </w:rPr>
                    <w:t>供电</w:t>
                  </w:r>
                </w:p>
              </w:tc>
              <w:tc>
                <w:tcPr>
                  <w:tcW w:w="5834" w:type="dxa"/>
                  <w:tcBorders>
                    <w:tl2br w:val="nil"/>
                    <w:tr2bl w:val="nil"/>
                  </w:tcBorders>
                  <w:shd w:val="clear" w:color="auto" w:fill="auto"/>
                  <w:vAlign w:val="center"/>
                </w:tcPr>
                <w:p w14:paraId="3040841A">
                  <w:pPr>
                    <w:pStyle w:val="44"/>
                    <w:rPr>
                      <w:rFonts w:hint="eastAsia" w:ascii="Times New Roman"/>
                      <w:color w:val="auto"/>
                      <w:kern w:val="0"/>
                      <w:szCs w:val="21"/>
                      <w:highlight w:val="none"/>
                    </w:rPr>
                  </w:pPr>
                  <w:r>
                    <w:rPr>
                      <w:rFonts w:hint="eastAsia" w:ascii="Times New Roman"/>
                      <w:color w:val="auto"/>
                      <w:szCs w:val="21"/>
                      <w:highlight w:val="none"/>
                    </w:rPr>
                    <w:t>医院冬季采暖为电采暖</w:t>
                  </w:r>
                  <w:r>
                    <w:rPr>
                      <w:rFonts w:hint="eastAsia"/>
                      <w:color w:val="auto"/>
                      <w:szCs w:val="21"/>
                      <w:highlight w:val="none"/>
                    </w:rPr>
                    <w:t>。</w:t>
                  </w:r>
                </w:p>
              </w:tc>
            </w:tr>
            <w:tr w14:paraId="644D79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20" w:type="dxa"/>
                  <w:vMerge w:val="restart"/>
                  <w:tcBorders>
                    <w:tl2br w:val="nil"/>
                    <w:tr2bl w:val="nil"/>
                  </w:tcBorders>
                  <w:vAlign w:val="center"/>
                </w:tcPr>
                <w:p w14:paraId="4829AB09">
                  <w:pPr>
                    <w:jc w:val="center"/>
                    <w:rPr>
                      <w:color w:val="auto"/>
                      <w:szCs w:val="21"/>
                      <w:highlight w:val="none"/>
                    </w:rPr>
                  </w:pPr>
                  <w:r>
                    <w:rPr>
                      <w:color w:val="auto"/>
                      <w:szCs w:val="21"/>
                      <w:highlight w:val="none"/>
                    </w:rPr>
                    <w:t>环保工程</w:t>
                  </w:r>
                </w:p>
              </w:tc>
              <w:tc>
                <w:tcPr>
                  <w:tcW w:w="1264" w:type="dxa"/>
                  <w:tcBorders>
                    <w:tl2br w:val="nil"/>
                    <w:tr2bl w:val="nil"/>
                  </w:tcBorders>
                  <w:shd w:val="clear" w:color="auto" w:fill="auto"/>
                  <w:vAlign w:val="center"/>
                </w:tcPr>
                <w:p w14:paraId="01934706">
                  <w:pPr>
                    <w:autoSpaceDE w:val="0"/>
                    <w:autoSpaceDN w:val="0"/>
                    <w:adjustRightInd w:val="0"/>
                    <w:jc w:val="center"/>
                    <w:rPr>
                      <w:color w:val="auto"/>
                      <w:kern w:val="0"/>
                      <w:szCs w:val="21"/>
                      <w:highlight w:val="none"/>
                    </w:rPr>
                  </w:pPr>
                  <w:r>
                    <w:rPr>
                      <w:rFonts w:hint="eastAsia"/>
                      <w:color w:val="auto"/>
                      <w:kern w:val="0"/>
                      <w:szCs w:val="21"/>
                      <w:highlight w:val="none"/>
                      <w:lang w:val="zh-CN"/>
                    </w:rPr>
                    <w:t>废水</w:t>
                  </w:r>
                </w:p>
              </w:tc>
              <w:tc>
                <w:tcPr>
                  <w:tcW w:w="5834" w:type="dxa"/>
                  <w:tcBorders>
                    <w:tl2br w:val="nil"/>
                    <w:tr2bl w:val="nil"/>
                  </w:tcBorders>
                  <w:shd w:val="clear" w:color="auto" w:fill="auto"/>
                  <w:vAlign w:val="center"/>
                </w:tcPr>
                <w:p w14:paraId="0A1860FD">
                  <w:pPr>
                    <w:pStyle w:val="44"/>
                    <w:rPr>
                      <w:rFonts w:ascii="Times New Roman"/>
                      <w:color w:val="auto"/>
                      <w:szCs w:val="21"/>
                      <w:highlight w:val="none"/>
                    </w:rPr>
                  </w:pPr>
                  <w:r>
                    <w:rPr>
                      <w:rFonts w:hint="eastAsia" w:ascii="Times New Roman"/>
                      <w:color w:val="auto"/>
                      <w:kern w:val="0"/>
                      <w:szCs w:val="21"/>
                      <w:highlight w:val="none"/>
                    </w:rPr>
                    <w:t>食堂废水、生活污水、住院病房废水、地面清洗废水、门诊废水分别排入</w:t>
                  </w:r>
                  <w:r>
                    <w:rPr>
                      <w:rFonts w:hint="eastAsia"/>
                      <w:color w:val="auto"/>
                      <w:kern w:val="0"/>
                      <w:szCs w:val="21"/>
                      <w:highlight w:val="none"/>
                    </w:rPr>
                    <w:t>化粪池经</w:t>
                  </w:r>
                  <w:r>
                    <w:rPr>
                      <w:rFonts w:ascii="Times New Roman"/>
                      <w:color w:val="auto"/>
                      <w:kern w:val="0"/>
                      <w:szCs w:val="21"/>
                      <w:highlight w:val="none"/>
                    </w:rPr>
                    <w:t>MBR</w:t>
                  </w:r>
                  <w:r>
                    <w:rPr>
                      <w:rFonts w:hint="eastAsia"/>
                      <w:color w:val="auto"/>
                      <w:kern w:val="0"/>
                      <w:szCs w:val="21"/>
                      <w:highlight w:val="none"/>
                    </w:rPr>
                    <w:t>一体化处理实施</w:t>
                  </w:r>
                  <w:r>
                    <w:rPr>
                      <w:rFonts w:ascii="Times New Roman"/>
                      <w:bCs/>
                      <w:color w:val="auto"/>
                      <w:szCs w:val="21"/>
                      <w:highlight w:val="none"/>
                    </w:rPr>
                    <w:t>处理</w:t>
                  </w:r>
                  <w:r>
                    <w:rPr>
                      <w:rFonts w:hint="eastAsia" w:ascii="Times New Roman"/>
                      <w:bCs/>
                      <w:color w:val="auto"/>
                      <w:szCs w:val="21"/>
                      <w:highlight w:val="none"/>
                      <w:lang w:eastAsia="zh-CN"/>
                    </w:rPr>
                    <w:t>后</w:t>
                  </w:r>
                  <w:r>
                    <w:rPr>
                      <w:rFonts w:hint="eastAsia"/>
                      <w:bCs/>
                      <w:color w:val="auto"/>
                      <w:szCs w:val="21"/>
                      <w:highlight w:val="none"/>
                    </w:rPr>
                    <w:t>排入</w:t>
                  </w:r>
                  <w:r>
                    <w:rPr>
                      <w:rFonts w:ascii="Times New Roman"/>
                      <w:bCs/>
                      <w:color w:val="auto"/>
                      <w:szCs w:val="21"/>
                      <w:highlight w:val="none"/>
                    </w:rPr>
                    <w:t>市政</w:t>
                  </w:r>
                  <w:r>
                    <w:rPr>
                      <w:rFonts w:hint="eastAsia" w:ascii="Times New Roman"/>
                      <w:bCs/>
                      <w:color w:val="auto"/>
                      <w:szCs w:val="21"/>
                      <w:highlight w:val="none"/>
                    </w:rPr>
                    <w:t>污水</w:t>
                  </w:r>
                  <w:r>
                    <w:rPr>
                      <w:rFonts w:ascii="Times New Roman"/>
                      <w:bCs/>
                      <w:color w:val="auto"/>
                      <w:szCs w:val="21"/>
                      <w:highlight w:val="none"/>
                    </w:rPr>
                    <w:t>管网，</w:t>
                  </w:r>
                  <w:r>
                    <w:rPr>
                      <w:rFonts w:hint="eastAsia" w:ascii="Times New Roman"/>
                      <w:bCs/>
                      <w:color w:val="auto"/>
                      <w:szCs w:val="21"/>
                      <w:highlight w:val="none"/>
                    </w:rPr>
                    <w:t>最后</w:t>
                  </w:r>
                  <w:r>
                    <w:rPr>
                      <w:rFonts w:ascii="Times New Roman"/>
                      <w:bCs/>
                      <w:color w:val="auto"/>
                      <w:szCs w:val="21"/>
                      <w:highlight w:val="none"/>
                    </w:rPr>
                    <w:t>排入长春市</w:t>
                  </w:r>
                  <w:r>
                    <w:rPr>
                      <w:rFonts w:hint="eastAsia"/>
                      <w:bCs/>
                      <w:color w:val="auto"/>
                      <w:szCs w:val="21"/>
                      <w:highlight w:val="none"/>
                    </w:rPr>
                    <w:t>南</w:t>
                  </w:r>
                  <w:r>
                    <w:rPr>
                      <w:rFonts w:hint="eastAsia" w:ascii="Times New Roman"/>
                      <w:bCs/>
                      <w:color w:val="auto"/>
                      <w:szCs w:val="21"/>
                      <w:highlight w:val="none"/>
                    </w:rPr>
                    <w:t>部</w:t>
                  </w:r>
                  <w:r>
                    <w:rPr>
                      <w:rFonts w:ascii="Times New Roman"/>
                      <w:bCs/>
                      <w:color w:val="auto"/>
                      <w:szCs w:val="21"/>
                      <w:highlight w:val="none"/>
                    </w:rPr>
                    <w:t>污水处理厂</w:t>
                  </w:r>
                  <w:r>
                    <w:rPr>
                      <w:rFonts w:hint="eastAsia"/>
                      <w:color w:val="auto"/>
                      <w:szCs w:val="21"/>
                      <w:highlight w:val="none"/>
                    </w:rPr>
                    <w:t>。</w:t>
                  </w:r>
                </w:p>
              </w:tc>
            </w:tr>
            <w:tr w14:paraId="4E1790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20" w:type="dxa"/>
                  <w:vMerge w:val="continue"/>
                  <w:tcBorders>
                    <w:tl2br w:val="nil"/>
                    <w:tr2bl w:val="nil"/>
                  </w:tcBorders>
                  <w:vAlign w:val="center"/>
                </w:tcPr>
                <w:p w14:paraId="0B2963A5">
                  <w:pPr>
                    <w:jc w:val="center"/>
                    <w:rPr>
                      <w:color w:val="auto"/>
                      <w:szCs w:val="21"/>
                      <w:highlight w:val="none"/>
                    </w:rPr>
                  </w:pPr>
                </w:p>
              </w:tc>
              <w:tc>
                <w:tcPr>
                  <w:tcW w:w="1264" w:type="dxa"/>
                  <w:tcBorders>
                    <w:tl2br w:val="nil"/>
                    <w:tr2bl w:val="nil"/>
                  </w:tcBorders>
                  <w:vAlign w:val="center"/>
                </w:tcPr>
                <w:p w14:paraId="4DE0550E">
                  <w:pPr>
                    <w:autoSpaceDE w:val="0"/>
                    <w:autoSpaceDN w:val="0"/>
                    <w:adjustRightInd w:val="0"/>
                    <w:jc w:val="center"/>
                    <w:rPr>
                      <w:color w:val="auto"/>
                      <w:szCs w:val="21"/>
                      <w:highlight w:val="none"/>
                    </w:rPr>
                  </w:pPr>
                  <w:r>
                    <w:rPr>
                      <w:color w:val="auto"/>
                      <w:szCs w:val="21"/>
                      <w:highlight w:val="none"/>
                    </w:rPr>
                    <w:t>废气</w:t>
                  </w:r>
                </w:p>
              </w:tc>
              <w:tc>
                <w:tcPr>
                  <w:tcW w:w="5834" w:type="dxa"/>
                  <w:tcBorders>
                    <w:tl2br w:val="nil"/>
                    <w:tr2bl w:val="nil"/>
                  </w:tcBorders>
                  <w:vAlign w:val="center"/>
                </w:tcPr>
                <w:p w14:paraId="5998984C">
                  <w:pPr>
                    <w:jc w:val="center"/>
                    <w:rPr>
                      <w:rFonts w:hint="eastAsia" w:eastAsia="宋体"/>
                      <w:color w:val="auto"/>
                      <w:szCs w:val="21"/>
                      <w:highlight w:val="none"/>
                      <w:lang w:eastAsia="zh-CN"/>
                    </w:rPr>
                  </w:pPr>
                  <w:r>
                    <w:rPr>
                      <w:rFonts w:hint="eastAsia"/>
                      <w:color w:val="auto"/>
                      <w:szCs w:val="21"/>
                      <w:highlight w:val="none"/>
                    </w:rPr>
                    <w:t>污水站恶臭气体经负压收集+活性炭吸附处理后通过</w:t>
                  </w:r>
                  <w:r>
                    <w:rPr>
                      <w:rFonts w:hint="eastAsia"/>
                      <w:color w:val="auto"/>
                      <w:szCs w:val="21"/>
                      <w:highlight w:val="none"/>
                      <w:lang w:val="en-US" w:eastAsia="zh-CN"/>
                    </w:rPr>
                    <w:t>21</w:t>
                  </w:r>
                  <w:r>
                    <w:rPr>
                      <w:rFonts w:hint="eastAsia"/>
                      <w:color w:val="auto"/>
                      <w:szCs w:val="21"/>
                      <w:highlight w:val="none"/>
                    </w:rPr>
                    <w:t>m高排气筒DA001排放。食堂油烟经集气罩+油烟净化器处理后通过高于楼顶排气筒（约2</w:t>
                  </w:r>
                  <w:r>
                    <w:rPr>
                      <w:rFonts w:hint="eastAsia"/>
                      <w:color w:val="auto"/>
                      <w:szCs w:val="21"/>
                      <w:highlight w:val="none"/>
                      <w:lang w:val="en-US" w:eastAsia="zh-CN"/>
                    </w:rPr>
                    <w:t>1</w:t>
                  </w:r>
                  <w:r>
                    <w:rPr>
                      <w:rFonts w:hint="eastAsia"/>
                      <w:color w:val="auto"/>
                      <w:szCs w:val="21"/>
                      <w:highlight w:val="none"/>
                    </w:rPr>
                    <w:t>m）DA00</w:t>
                  </w:r>
                  <w:r>
                    <w:rPr>
                      <w:rFonts w:hint="eastAsia"/>
                      <w:color w:val="auto"/>
                      <w:szCs w:val="21"/>
                      <w:highlight w:val="none"/>
                      <w:lang w:val="en-US" w:eastAsia="zh-CN"/>
                    </w:rPr>
                    <w:t>2</w:t>
                  </w:r>
                  <w:r>
                    <w:rPr>
                      <w:rFonts w:hint="eastAsia"/>
                      <w:color w:val="auto"/>
                      <w:szCs w:val="21"/>
                      <w:highlight w:val="none"/>
                    </w:rPr>
                    <w:t>排放。</w:t>
                  </w:r>
                  <w:r>
                    <w:rPr>
                      <w:rFonts w:hint="eastAsia"/>
                      <w:color w:val="auto"/>
                      <w:szCs w:val="21"/>
                      <w:highlight w:val="none"/>
                      <w:lang w:eastAsia="zh-CN"/>
                    </w:rPr>
                    <w:t>中药室废气经集气罩收集</w:t>
                  </w:r>
                  <w:r>
                    <w:rPr>
                      <w:rFonts w:hint="eastAsia"/>
                      <w:color w:val="auto"/>
                      <w:szCs w:val="21"/>
                      <w:highlight w:val="none"/>
                    </w:rPr>
                    <w:t>+活性炭吸附处理后通过</w:t>
                  </w:r>
                  <w:r>
                    <w:rPr>
                      <w:rFonts w:hint="eastAsia"/>
                      <w:color w:val="auto"/>
                      <w:szCs w:val="21"/>
                      <w:highlight w:val="none"/>
                      <w:lang w:val="en-US" w:eastAsia="zh-CN"/>
                    </w:rPr>
                    <w:t>21</w:t>
                  </w:r>
                  <w:r>
                    <w:rPr>
                      <w:rFonts w:hint="eastAsia"/>
                      <w:color w:val="auto"/>
                      <w:szCs w:val="21"/>
                      <w:highlight w:val="none"/>
                    </w:rPr>
                    <w:t>m高排气筒DA00</w:t>
                  </w:r>
                  <w:r>
                    <w:rPr>
                      <w:rFonts w:hint="eastAsia"/>
                      <w:color w:val="auto"/>
                      <w:szCs w:val="21"/>
                      <w:highlight w:val="none"/>
                      <w:lang w:val="en-US" w:eastAsia="zh-CN"/>
                    </w:rPr>
                    <w:t>3</w:t>
                  </w:r>
                  <w:r>
                    <w:rPr>
                      <w:rFonts w:hint="eastAsia"/>
                      <w:color w:val="auto"/>
                      <w:szCs w:val="21"/>
                      <w:highlight w:val="none"/>
                    </w:rPr>
                    <w:t>排放。</w:t>
                  </w:r>
                </w:p>
              </w:tc>
            </w:tr>
            <w:tr w14:paraId="394AD5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20" w:type="dxa"/>
                  <w:vMerge w:val="continue"/>
                  <w:tcBorders>
                    <w:tl2br w:val="nil"/>
                    <w:tr2bl w:val="nil"/>
                  </w:tcBorders>
                  <w:vAlign w:val="center"/>
                </w:tcPr>
                <w:p w14:paraId="7900E068">
                  <w:pPr>
                    <w:jc w:val="center"/>
                    <w:rPr>
                      <w:color w:val="auto"/>
                      <w:szCs w:val="21"/>
                      <w:highlight w:val="none"/>
                    </w:rPr>
                  </w:pPr>
                </w:p>
              </w:tc>
              <w:tc>
                <w:tcPr>
                  <w:tcW w:w="1264" w:type="dxa"/>
                  <w:tcBorders>
                    <w:tl2br w:val="nil"/>
                    <w:tr2bl w:val="nil"/>
                  </w:tcBorders>
                  <w:vAlign w:val="center"/>
                </w:tcPr>
                <w:p w14:paraId="31ADEC3E">
                  <w:pPr>
                    <w:autoSpaceDE w:val="0"/>
                    <w:autoSpaceDN w:val="0"/>
                    <w:adjustRightInd w:val="0"/>
                    <w:jc w:val="center"/>
                    <w:rPr>
                      <w:color w:val="auto"/>
                      <w:szCs w:val="21"/>
                      <w:highlight w:val="none"/>
                    </w:rPr>
                  </w:pPr>
                  <w:r>
                    <w:rPr>
                      <w:color w:val="auto"/>
                      <w:szCs w:val="21"/>
                      <w:highlight w:val="none"/>
                    </w:rPr>
                    <w:t>噪声</w:t>
                  </w:r>
                </w:p>
              </w:tc>
              <w:tc>
                <w:tcPr>
                  <w:tcW w:w="5834" w:type="dxa"/>
                  <w:tcBorders>
                    <w:tl2br w:val="nil"/>
                    <w:tr2bl w:val="nil"/>
                  </w:tcBorders>
                  <w:vAlign w:val="center"/>
                </w:tcPr>
                <w:p w14:paraId="784CE71A">
                  <w:pPr>
                    <w:pStyle w:val="44"/>
                    <w:rPr>
                      <w:rFonts w:ascii="Times New Roman"/>
                      <w:color w:val="auto"/>
                      <w:szCs w:val="21"/>
                      <w:highlight w:val="none"/>
                    </w:rPr>
                  </w:pPr>
                  <w:r>
                    <w:rPr>
                      <w:rFonts w:ascii="Times New Roman"/>
                      <w:color w:val="auto"/>
                      <w:kern w:val="0"/>
                      <w:szCs w:val="21"/>
                      <w:highlight w:val="none"/>
                    </w:rPr>
                    <w:t>采用低噪声设备，基础减振，</w:t>
                  </w:r>
                  <w:r>
                    <w:rPr>
                      <w:rFonts w:hint="eastAsia" w:ascii="Times New Roman"/>
                      <w:color w:val="auto"/>
                      <w:kern w:val="0"/>
                      <w:szCs w:val="21"/>
                      <w:highlight w:val="none"/>
                    </w:rPr>
                    <w:t>建筑隔声</w:t>
                  </w:r>
                  <w:r>
                    <w:rPr>
                      <w:rFonts w:ascii="Times New Roman"/>
                      <w:color w:val="auto"/>
                      <w:kern w:val="0"/>
                      <w:szCs w:val="21"/>
                      <w:highlight w:val="none"/>
                    </w:rPr>
                    <w:t>等措施</w:t>
                  </w:r>
                  <w:r>
                    <w:rPr>
                      <w:rFonts w:hint="eastAsia" w:ascii="Times New Roman"/>
                      <w:color w:val="auto"/>
                      <w:kern w:val="0"/>
                      <w:szCs w:val="21"/>
                      <w:highlight w:val="none"/>
                    </w:rPr>
                    <w:t>。</w:t>
                  </w:r>
                </w:p>
              </w:tc>
            </w:tr>
            <w:tr w14:paraId="41757C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20" w:type="dxa"/>
                  <w:vMerge w:val="continue"/>
                  <w:tcBorders>
                    <w:tl2br w:val="nil"/>
                    <w:tr2bl w:val="nil"/>
                  </w:tcBorders>
                  <w:vAlign w:val="center"/>
                </w:tcPr>
                <w:p w14:paraId="06F9990F">
                  <w:pPr>
                    <w:jc w:val="center"/>
                    <w:rPr>
                      <w:color w:val="auto"/>
                      <w:szCs w:val="21"/>
                      <w:highlight w:val="none"/>
                    </w:rPr>
                  </w:pPr>
                </w:p>
              </w:tc>
              <w:tc>
                <w:tcPr>
                  <w:tcW w:w="1264" w:type="dxa"/>
                  <w:tcBorders>
                    <w:tl2br w:val="nil"/>
                    <w:tr2bl w:val="nil"/>
                  </w:tcBorders>
                  <w:vAlign w:val="center"/>
                </w:tcPr>
                <w:p w14:paraId="307177AB">
                  <w:pPr>
                    <w:autoSpaceDE w:val="0"/>
                    <w:autoSpaceDN w:val="0"/>
                    <w:adjustRightInd w:val="0"/>
                    <w:jc w:val="center"/>
                    <w:rPr>
                      <w:color w:val="auto"/>
                      <w:szCs w:val="21"/>
                      <w:highlight w:val="none"/>
                    </w:rPr>
                  </w:pPr>
                  <w:r>
                    <w:rPr>
                      <w:color w:val="auto"/>
                      <w:szCs w:val="21"/>
                      <w:highlight w:val="none"/>
                    </w:rPr>
                    <w:t>固体废物</w:t>
                  </w:r>
                </w:p>
              </w:tc>
              <w:tc>
                <w:tcPr>
                  <w:tcW w:w="5834" w:type="dxa"/>
                  <w:tcBorders>
                    <w:tl2br w:val="nil"/>
                    <w:tr2bl w:val="nil"/>
                  </w:tcBorders>
                  <w:vAlign w:val="center"/>
                </w:tcPr>
                <w:p w14:paraId="0C089CD6">
                  <w:pPr>
                    <w:pStyle w:val="44"/>
                    <w:rPr>
                      <w:rFonts w:ascii="Times New Roman"/>
                      <w:color w:val="auto"/>
                      <w:szCs w:val="21"/>
                      <w:highlight w:val="none"/>
                    </w:rPr>
                  </w:pPr>
                  <w:r>
                    <w:rPr>
                      <w:rFonts w:ascii="Times New Roman"/>
                      <w:color w:val="auto"/>
                      <w:szCs w:val="21"/>
                      <w:highlight w:val="none"/>
                    </w:rPr>
                    <w:t>生活垃圾、中药渣分别统一收集后由环卫部门清运处理。未感染的一次性输液袋定期外卖废品收购站。餐厨垃圾及隔油池废油脂</w:t>
                  </w:r>
                  <w:r>
                    <w:rPr>
                      <w:rFonts w:hint="eastAsia" w:ascii="Times New Roman"/>
                      <w:color w:val="auto"/>
                      <w:szCs w:val="21"/>
                      <w:highlight w:val="none"/>
                      <w:lang w:eastAsia="zh-CN"/>
                    </w:rPr>
                    <w:t>委托有资质单位处理</w:t>
                  </w:r>
                  <w:r>
                    <w:rPr>
                      <w:rFonts w:ascii="Times New Roman"/>
                      <w:color w:val="auto"/>
                      <w:szCs w:val="21"/>
                      <w:highlight w:val="none"/>
                    </w:rPr>
                    <w:t>、化粪池污泥定期清淘，委托有资质单位处理。污水站污泥及废活性炭暂存于危废暂存点委托有资质单位处理，医疗粪污集中收集后暂存于</w:t>
                  </w:r>
                  <w:r>
                    <w:rPr>
                      <w:rFonts w:hint="eastAsia" w:ascii="Times New Roman"/>
                      <w:color w:val="auto"/>
                      <w:szCs w:val="21"/>
                      <w:highlight w:val="none"/>
                    </w:rPr>
                    <w:t>危废贮存点</w:t>
                  </w:r>
                  <w:r>
                    <w:rPr>
                      <w:rFonts w:ascii="Times New Roman"/>
                      <w:color w:val="auto"/>
                      <w:szCs w:val="21"/>
                      <w:highlight w:val="none"/>
                    </w:rPr>
                    <w:t>，委托有资质单位处理</w:t>
                  </w:r>
                  <w:r>
                    <w:rPr>
                      <w:rFonts w:hint="eastAsia" w:ascii="Times New Roman"/>
                      <w:color w:val="auto"/>
                      <w:szCs w:val="21"/>
                      <w:highlight w:val="none"/>
                    </w:rPr>
                    <w:t>。</w:t>
                  </w:r>
                </w:p>
              </w:tc>
            </w:tr>
          </w:tbl>
          <w:p w14:paraId="6E36AF5B">
            <w:pPr>
              <w:spacing w:line="360" w:lineRule="auto"/>
              <w:ind w:firstLine="482" w:firstLineChars="200"/>
              <w:rPr>
                <w:b/>
                <w:bCs/>
                <w:color w:val="auto"/>
                <w:sz w:val="24"/>
                <w:highlight w:val="none"/>
              </w:rPr>
            </w:pPr>
          </w:p>
          <w:p w14:paraId="687E131D">
            <w:pPr>
              <w:spacing w:line="360" w:lineRule="auto"/>
              <w:ind w:firstLine="482" w:firstLineChars="200"/>
              <w:rPr>
                <w:b/>
                <w:bCs/>
                <w:color w:val="auto"/>
                <w:sz w:val="24"/>
                <w:highlight w:val="none"/>
              </w:rPr>
            </w:pPr>
            <w:r>
              <w:rPr>
                <w:rFonts w:hint="eastAsia"/>
                <w:b/>
                <w:bCs/>
                <w:color w:val="auto"/>
                <w:sz w:val="24"/>
                <w:highlight w:val="none"/>
              </w:rPr>
              <w:t>3、</w:t>
            </w:r>
            <w:r>
              <w:rPr>
                <w:b/>
                <w:bCs/>
                <w:color w:val="auto"/>
                <w:sz w:val="24"/>
                <w:highlight w:val="none"/>
              </w:rPr>
              <w:t>主要设备</w:t>
            </w:r>
          </w:p>
          <w:p w14:paraId="47B020B8">
            <w:pPr>
              <w:autoSpaceDE w:val="0"/>
              <w:autoSpaceDN w:val="0"/>
              <w:spacing w:line="360" w:lineRule="auto"/>
              <w:ind w:firstLine="480" w:firstLineChars="200"/>
              <w:rPr>
                <w:color w:val="auto"/>
                <w:sz w:val="24"/>
                <w:highlight w:val="none"/>
              </w:rPr>
            </w:pPr>
            <w:r>
              <w:rPr>
                <w:color w:val="auto"/>
                <w:sz w:val="24"/>
                <w:highlight w:val="none"/>
              </w:rPr>
              <w:t>本项目辐射部分环评请按国家相关规定另行办理</w:t>
            </w:r>
            <w:r>
              <w:rPr>
                <w:rFonts w:hint="eastAsia"/>
                <w:color w:val="auto"/>
                <w:sz w:val="24"/>
                <w:highlight w:val="none"/>
              </w:rPr>
              <w:t>，</w:t>
            </w:r>
            <w:r>
              <w:rPr>
                <w:color w:val="auto"/>
                <w:sz w:val="24"/>
                <w:highlight w:val="none"/>
              </w:rPr>
              <w:t>设备清单详见下表。</w:t>
            </w:r>
          </w:p>
          <w:p w14:paraId="4AE3FCDF">
            <w:pPr>
              <w:jc w:val="center"/>
              <w:rPr>
                <w:b/>
                <w:color w:val="auto"/>
                <w:szCs w:val="21"/>
                <w:highlight w:val="none"/>
              </w:rPr>
            </w:pPr>
            <w:r>
              <w:rPr>
                <w:b/>
                <w:color w:val="auto"/>
                <w:sz w:val="24"/>
                <w:highlight w:val="none"/>
              </w:rPr>
              <w:t>表2-</w:t>
            </w:r>
            <w:r>
              <w:rPr>
                <w:rFonts w:hint="eastAsia"/>
                <w:b/>
                <w:color w:val="auto"/>
                <w:sz w:val="24"/>
                <w:highlight w:val="none"/>
              </w:rPr>
              <w:t>2</w:t>
            </w:r>
            <w:r>
              <w:rPr>
                <w:b/>
                <w:color w:val="auto"/>
                <w:sz w:val="24"/>
                <w:highlight w:val="none"/>
              </w:rPr>
              <w:t xml:space="preserve">  主要设备情况一览表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989"/>
              <w:gridCol w:w="2303"/>
              <w:gridCol w:w="1397"/>
              <w:gridCol w:w="959"/>
            </w:tblGrid>
            <w:tr w14:paraId="4D7D7E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2768E289">
                  <w:pPr>
                    <w:widowControl/>
                    <w:jc w:val="center"/>
                    <w:textAlignment w:val="center"/>
                    <w:rPr>
                      <w:bCs/>
                      <w:color w:val="auto"/>
                      <w:szCs w:val="21"/>
                      <w:highlight w:val="none"/>
                    </w:rPr>
                  </w:pPr>
                  <w:r>
                    <w:rPr>
                      <w:color w:val="auto"/>
                      <w:kern w:val="0"/>
                      <w:szCs w:val="21"/>
                      <w:highlight w:val="none"/>
                      <w:lang w:bidi="ar"/>
                    </w:rPr>
                    <w:t>序号</w:t>
                  </w:r>
                </w:p>
              </w:tc>
              <w:tc>
                <w:tcPr>
                  <w:tcW w:w="2988" w:type="dxa"/>
                  <w:tcBorders>
                    <w:tl2br w:val="nil"/>
                    <w:tr2bl w:val="nil"/>
                  </w:tcBorders>
                  <w:vAlign w:val="center"/>
                </w:tcPr>
                <w:p w14:paraId="7DC76E58">
                  <w:pPr>
                    <w:widowControl/>
                    <w:jc w:val="center"/>
                    <w:textAlignment w:val="center"/>
                    <w:rPr>
                      <w:bCs/>
                      <w:color w:val="auto"/>
                      <w:szCs w:val="21"/>
                      <w:highlight w:val="none"/>
                    </w:rPr>
                  </w:pPr>
                  <w:r>
                    <w:rPr>
                      <w:color w:val="auto"/>
                      <w:kern w:val="0"/>
                      <w:szCs w:val="21"/>
                      <w:highlight w:val="none"/>
                      <w:lang w:bidi="ar"/>
                    </w:rPr>
                    <w:t>设备</w:t>
                  </w:r>
                </w:p>
              </w:tc>
              <w:tc>
                <w:tcPr>
                  <w:tcW w:w="2302" w:type="dxa"/>
                  <w:tcBorders>
                    <w:tl2br w:val="nil"/>
                    <w:tr2bl w:val="nil"/>
                  </w:tcBorders>
                  <w:vAlign w:val="center"/>
                </w:tcPr>
                <w:p w14:paraId="66E1183B">
                  <w:pPr>
                    <w:widowControl/>
                    <w:jc w:val="center"/>
                    <w:textAlignment w:val="center"/>
                    <w:rPr>
                      <w:color w:val="auto"/>
                      <w:kern w:val="0"/>
                      <w:szCs w:val="21"/>
                      <w:highlight w:val="none"/>
                      <w:lang w:bidi="ar"/>
                    </w:rPr>
                  </w:pPr>
                  <w:r>
                    <w:rPr>
                      <w:rFonts w:hint="eastAsia"/>
                      <w:color w:val="auto"/>
                      <w:kern w:val="0"/>
                      <w:szCs w:val="21"/>
                      <w:highlight w:val="none"/>
                      <w:lang w:bidi="ar"/>
                    </w:rPr>
                    <w:t>型号</w:t>
                  </w:r>
                </w:p>
              </w:tc>
              <w:tc>
                <w:tcPr>
                  <w:tcW w:w="1397" w:type="dxa"/>
                  <w:tcBorders>
                    <w:tl2br w:val="nil"/>
                    <w:tr2bl w:val="nil"/>
                  </w:tcBorders>
                  <w:vAlign w:val="center"/>
                </w:tcPr>
                <w:p w14:paraId="646B8FC9">
                  <w:pPr>
                    <w:widowControl/>
                    <w:jc w:val="center"/>
                    <w:textAlignment w:val="center"/>
                    <w:rPr>
                      <w:bCs/>
                      <w:color w:val="auto"/>
                      <w:szCs w:val="21"/>
                      <w:highlight w:val="none"/>
                    </w:rPr>
                  </w:pPr>
                  <w:r>
                    <w:rPr>
                      <w:color w:val="auto"/>
                      <w:kern w:val="0"/>
                      <w:szCs w:val="21"/>
                      <w:highlight w:val="none"/>
                      <w:lang w:bidi="ar"/>
                    </w:rPr>
                    <w:t>单位</w:t>
                  </w:r>
                </w:p>
              </w:tc>
              <w:tc>
                <w:tcPr>
                  <w:tcW w:w="959" w:type="dxa"/>
                  <w:tcBorders>
                    <w:tl2br w:val="nil"/>
                    <w:tr2bl w:val="nil"/>
                  </w:tcBorders>
                  <w:vAlign w:val="center"/>
                </w:tcPr>
                <w:p w14:paraId="0D77F1A2">
                  <w:pPr>
                    <w:widowControl/>
                    <w:jc w:val="center"/>
                    <w:textAlignment w:val="center"/>
                    <w:rPr>
                      <w:bCs/>
                      <w:color w:val="auto"/>
                      <w:szCs w:val="21"/>
                      <w:highlight w:val="none"/>
                    </w:rPr>
                  </w:pPr>
                  <w:r>
                    <w:rPr>
                      <w:bCs/>
                      <w:color w:val="auto"/>
                      <w:szCs w:val="21"/>
                      <w:highlight w:val="none"/>
                    </w:rPr>
                    <w:t>数量</w:t>
                  </w:r>
                </w:p>
              </w:tc>
            </w:tr>
            <w:tr w14:paraId="34466D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62700230">
                  <w:pPr>
                    <w:widowControl/>
                    <w:jc w:val="center"/>
                    <w:textAlignment w:val="center"/>
                    <w:rPr>
                      <w:bCs/>
                      <w:color w:val="auto"/>
                      <w:szCs w:val="21"/>
                      <w:highlight w:val="none"/>
                    </w:rPr>
                  </w:pPr>
                  <w:r>
                    <w:rPr>
                      <w:color w:val="auto"/>
                      <w:kern w:val="0"/>
                      <w:szCs w:val="21"/>
                      <w:highlight w:val="none"/>
                      <w:lang w:bidi="ar"/>
                    </w:rPr>
                    <w:t>1</w:t>
                  </w:r>
                </w:p>
              </w:tc>
              <w:tc>
                <w:tcPr>
                  <w:tcW w:w="2988" w:type="dxa"/>
                  <w:tcBorders>
                    <w:tl2br w:val="nil"/>
                    <w:tr2bl w:val="nil"/>
                  </w:tcBorders>
                  <w:shd w:val="clear" w:color="auto" w:fill="auto"/>
                  <w:vAlign w:val="center"/>
                </w:tcPr>
                <w:p w14:paraId="7E10D682">
                  <w:pPr>
                    <w:pStyle w:val="44"/>
                    <w:rPr>
                      <w:rFonts w:ascii="Times New Roman"/>
                      <w:color w:val="auto"/>
                      <w:kern w:val="0"/>
                      <w:szCs w:val="21"/>
                      <w:highlight w:val="none"/>
                    </w:rPr>
                  </w:pPr>
                  <w:r>
                    <w:rPr>
                      <w:rFonts w:hint="eastAsia" w:ascii="Times New Roman"/>
                      <w:color w:val="auto"/>
                      <w:kern w:val="0"/>
                      <w:szCs w:val="21"/>
                      <w:highlight w:val="none"/>
                    </w:rPr>
                    <w:t>磁共振成像系统</w:t>
                  </w:r>
                </w:p>
              </w:tc>
              <w:tc>
                <w:tcPr>
                  <w:tcW w:w="2302" w:type="dxa"/>
                  <w:tcBorders>
                    <w:tl2br w:val="nil"/>
                    <w:tr2bl w:val="nil"/>
                  </w:tcBorders>
                  <w:shd w:val="clear" w:color="auto" w:fill="auto"/>
                  <w:vAlign w:val="center"/>
                </w:tcPr>
                <w:p w14:paraId="670228B8">
                  <w:pPr>
                    <w:pStyle w:val="44"/>
                    <w:rPr>
                      <w:rFonts w:ascii="Times New Roman"/>
                      <w:color w:val="auto"/>
                      <w:kern w:val="0"/>
                      <w:szCs w:val="21"/>
                      <w:highlight w:val="none"/>
                    </w:rPr>
                  </w:pPr>
                  <w:r>
                    <w:rPr>
                      <w:rFonts w:hint="eastAsia" w:ascii="Times New Roman"/>
                      <w:color w:val="auto"/>
                      <w:kern w:val="0"/>
                      <w:szCs w:val="21"/>
                      <w:highlight w:val="none"/>
                    </w:rPr>
                    <w:t>MAGNETOM Mica</w:t>
                  </w:r>
                </w:p>
              </w:tc>
              <w:tc>
                <w:tcPr>
                  <w:tcW w:w="1397" w:type="dxa"/>
                  <w:tcBorders>
                    <w:tl2br w:val="nil"/>
                    <w:tr2bl w:val="nil"/>
                  </w:tcBorders>
                  <w:vAlign w:val="center"/>
                </w:tcPr>
                <w:p w14:paraId="58E0FF79">
                  <w:pPr>
                    <w:widowControl/>
                    <w:jc w:val="center"/>
                    <w:textAlignment w:val="center"/>
                    <w:rPr>
                      <w:bCs/>
                      <w:color w:val="auto"/>
                      <w:szCs w:val="21"/>
                      <w:highlight w:val="none"/>
                    </w:rPr>
                  </w:pPr>
                  <w:r>
                    <w:rPr>
                      <w:rFonts w:hint="eastAsia"/>
                      <w:bCs/>
                      <w:color w:val="auto"/>
                      <w:szCs w:val="21"/>
                      <w:highlight w:val="none"/>
                    </w:rPr>
                    <w:t>台</w:t>
                  </w:r>
                </w:p>
              </w:tc>
              <w:tc>
                <w:tcPr>
                  <w:tcW w:w="959" w:type="dxa"/>
                  <w:tcBorders>
                    <w:tl2br w:val="nil"/>
                    <w:tr2bl w:val="nil"/>
                  </w:tcBorders>
                  <w:vAlign w:val="center"/>
                </w:tcPr>
                <w:p w14:paraId="4AB59C9F">
                  <w:pPr>
                    <w:widowControl/>
                    <w:jc w:val="center"/>
                    <w:textAlignment w:val="center"/>
                    <w:rPr>
                      <w:bCs/>
                      <w:color w:val="auto"/>
                      <w:szCs w:val="21"/>
                      <w:highlight w:val="none"/>
                    </w:rPr>
                  </w:pPr>
                  <w:r>
                    <w:rPr>
                      <w:rFonts w:hint="eastAsia"/>
                      <w:bCs/>
                      <w:color w:val="auto"/>
                      <w:szCs w:val="21"/>
                      <w:highlight w:val="none"/>
                    </w:rPr>
                    <w:t>1</w:t>
                  </w:r>
                </w:p>
              </w:tc>
            </w:tr>
            <w:tr w14:paraId="181091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0CE4D838">
                  <w:pPr>
                    <w:widowControl/>
                    <w:jc w:val="center"/>
                    <w:textAlignment w:val="center"/>
                    <w:rPr>
                      <w:bCs/>
                      <w:color w:val="auto"/>
                      <w:szCs w:val="21"/>
                      <w:highlight w:val="none"/>
                    </w:rPr>
                  </w:pPr>
                  <w:r>
                    <w:rPr>
                      <w:color w:val="auto"/>
                      <w:kern w:val="0"/>
                      <w:szCs w:val="21"/>
                      <w:highlight w:val="none"/>
                      <w:lang w:bidi="ar"/>
                    </w:rPr>
                    <w:t>2</w:t>
                  </w:r>
                </w:p>
              </w:tc>
              <w:tc>
                <w:tcPr>
                  <w:tcW w:w="2988" w:type="dxa"/>
                  <w:tcBorders>
                    <w:tl2br w:val="nil"/>
                    <w:tr2bl w:val="nil"/>
                  </w:tcBorders>
                  <w:shd w:val="clear" w:color="auto" w:fill="auto"/>
                  <w:vAlign w:val="center"/>
                </w:tcPr>
                <w:p w14:paraId="42479FB4">
                  <w:pPr>
                    <w:pStyle w:val="44"/>
                    <w:rPr>
                      <w:rFonts w:ascii="Times New Roman"/>
                      <w:color w:val="auto"/>
                      <w:kern w:val="0"/>
                      <w:szCs w:val="21"/>
                      <w:highlight w:val="none"/>
                    </w:rPr>
                  </w:pPr>
                  <w:r>
                    <w:rPr>
                      <w:rFonts w:hint="eastAsia" w:ascii="Times New Roman"/>
                      <w:color w:val="auto"/>
                      <w:kern w:val="0"/>
                      <w:szCs w:val="21"/>
                      <w:highlight w:val="none"/>
                    </w:rPr>
                    <w:t>X射线计算机体层摄影设备</w:t>
                  </w:r>
                </w:p>
              </w:tc>
              <w:tc>
                <w:tcPr>
                  <w:tcW w:w="2302" w:type="dxa"/>
                  <w:tcBorders>
                    <w:tl2br w:val="nil"/>
                    <w:tr2bl w:val="nil"/>
                  </w:tcBorders>
                  <w:shd w:val="clear" w:color="auto" w:fill="auto"/>
                  <w:vAlign w:val="center"/>
                </w:tcPr>
                <w:p w14:paraId="50C6A18B">
                  <w:pPr>
                    <w:pStyle w:val="44"/>
                    <w:rPr>
                      <w:rFonts w:ascii="Times New Roman"/>
                      <w:color w:val="auto"/>
                      <w:kern w:val="0"/>
                      <w:szCs w:val="21"/>
                      <w:highlight w:val="none"/>
                    </w:rPr>
                  </w:pPr>
                  <w:r>
                    <w:rPr>
                      <w:rFonts w:hint="eastAsia" w:ascii="Times New Roman"/>
                      <w:color w:val="auto"/>
                      <w:kern w:val="0"/>
                      <w:szCs w:val="21"/>
                      <w:highlight w:val="none"/>
                    </w:rPr>
                    <w:t>SOMATOM go.Now</w:t>
                  </w:r>
                </w:p>
              </w:tc>
              <w:tc>
                <w:tcPr>
                  <w:tcW w:w="1397" w:type="dxa"/>
                  <w:tcBorders>
                    <w:tl2br w:val="nil"/>
                    <w:tr2bl w:val="nil"/>
                  </w:tcBorders>
                  <w:vAlign w:val="center"/>
                </w:tcPr>
                <w:p w14:paraId="6F303393">
                  <w:pPr>
                    <w:widowControl/>
                    <w:jc w:val="center"/>
                    <w:textAlignment w:val="center"/>
                    <w:rPr>
                      <w:bCs/>
                      <w:color w:val="auto"/>
                      <w:szCs w:val="21"/>
                      <w:highlight w:val="none"/>
                    </w:rPr>
                  </w:pPr>
                  <w:r>
                    <w:rPr>
                      <w:rFonts w:hint="eastAsia"/>
                      <w:bCs/>
                      <w:color w:val="auto"/>
                      <w:szCs w:val="21"/>
                      <w:highlight w:val="none"/>
                    </w:rPr>
                    <w:t>台</w:t>
                  </w:r>
                </w:p>
              </w:tc>
              <w:tc>
                <w:tcPr>
                  <w:tcW w:w="959" w:type="dxa"/>
                  <w:tcBorders>
                    <w:tl2br w:val="nil"/>
                    <w:tr2bl w:val="nil"/>
                  </w:tcBorders>
                  <w:vAlign w:val="center"/>
                </w:tcPr>
                <w:p w14:paraId="273785B1">
                  <w:pPr>
                    <w:widowControl/>
                    <w:jc w:val="center"/>
                    <w:textAlignment w:val="center"/>
                    <w:rPr>
                      <w:bCs/>
                      <w:color w:val="auto"/>
                      <w:szCs w:val="21"/>
                      <w:highlight w:val="none"/>
                    </w:rPr>
                  </w:pPr>
                  <w:r>
                    <w:rPr>
                      <w:rFonts w:hint="eastAsia"/>
                      <w:bCs/>
                      <w:color w:val="auto"/>
                      <w:szCs w:val="21"/>
                      <w:highlight w:val="none"/>
                    </w:rPr>
                    <w:t>1</w:t>
                  </w:r>
                </w:p>
              </w:tc>
            </w:tr>
            <w:tr w14:paraId="72B753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4EA5BA95">
                  <w:pPr>
                    <w:widowControl/>
                    <w:jc w:val="center"/>
                    <w:textAlignment w:val="center"/>
                    <w:rPr>
                      <w:bCs/>
                      <w:color w:val="auto"/>
                      <w:szCs w:val="21"/>
                      <w:highlight w:val="none"/>
                    </w:rPr>
                  </w:pPr>
                  <w:r>
                    <w:rPr>
                      <w:color w:val="auto"/>
                      <w:kern w:val="0"/>
                      <w:szCs w:val="21"/>
                      <w:highlight w:val="none"/>
                      <w:lang w:bidi="ar"/>
                    </w:rPr>
                    <w:t>3</w:t>
                  </w:r>
                </w:p>
              </w:tc>
              <w:tc>
                <w:tcPr>
                  <w:tcW w:w="2988" w:type="dxa"/>
                  <w:tcBorders>
                    <w:tl2br w:val="nil"/>
                    <w:tr2bl w:val="nil"/>
                  </w:tcBorders>
                  <w:shd w:val="clear" w:color="auto" w:fill="auto"/>
                  <w:vAlign w:val="center"/>
                </w:tcPr>
                <w:p w14:paraId="46F3D480">
                  <w:pPr>
                    <w:pStyle w:val="44"/>
                    <w:rPr>
                      <w:rFonts w:ascii="Times New Roman"/>
                      <w:color w:val="auto"/>
                      <w:kern w:val="0"/>
                      <w:szCs w:val="21"/>
                      <w:highlight w:val="none"/>
                    </w:rPr>
                  </w:pPr>
                  <w:r>
                    <w:rPr>
                      <w:rFonts w:hint="eastAsia" w:ascii="Times New Roman"/>
                      <w:color w:val="auto"/>
                      <w:kern w:val="0"/>
                      <w:szCs w:val="21"/>
                      <w:highlight w:val="none"/>
                    </w:rPr>
                    <w:t>数字化X 射线摄影系统</w:t>
                  </w:r>
                </w:p>
              </w:tc>
              <w:tc>
                <w:tcPr>
                  <w:tcW w:w="2302" w:type="dxa"/>
                  <w:tcBorders>
                    <w:tl2br w:val="nil"/>
                    <w:tr2bl w:val="nil"/>
                  </w:tcBorders>
                  <w:shd w:val="clear" w:color="auto" w:fill="auto"/>
                  <w:vAlign w:val="center"/>
                </w:tcPr>
                <w:p w14:paraId="132BFB55">
                  <w:pPr>
                    <w:pStyle w:val="44"/>
                    <w:rPr>
                      <w:rFonts w:ascii="Times New Roman"/>
                      <w:color w:val="auto"/>
                      <w:kern w:val="0"/>
                      <w:szCs w:val="21"/>
                      <w:highlight w:val="none"/>
                    </w:rPr>
                  </w:pPr>
                  <w:r>
                    <w:rPr>
                      <w:rFonts w:hint="eastAsia" w:ascii="Times New Roman"/>
                      <w:color w:val="auto"/>
                      <w:kern w:val="0"/>
                      <w:szCs w:val="21"/>
                      <w:highlight w:val="none"/>
                    </w:rPr>
                    <w:t>YW-F-6000</w:t>
                  </w:r>
                </w:p>
              </w:tc>
              <w:tc>
                <w:tcPr>
                  <w:tcW w:w="1397" w:type="dxa"/>
                  <w:tcBorders>
                    <w:tl2br w:val="nil"/>
                    <w:tr2bl w:val="nil"/>
                  </w:tcBorders>
                  <w:vAlign w:val="center"/>
                </w:tcPr>
                <w:p w14:paraId="1955B4A3">
                  <w:pPr>
                    <w:widowControl/>
                    <w:jc w:val="center"/>
                    <w:textAlignment w:val="center"/>
                    <w:rPr>
                      <w:bCs/>
                      <w:color w:val="auto"/>
                      <w:szCs w:val="21"/>
                      <w:highlight w:val="none"/>
                    </w:rPr>
                  </w:pPr>
                  <w:r>
                    <w:rPr>
                      <w:rFonts w:hint="eastAsia"/>
                      <w:bCs/>
                      <w:color w:val="auto"/>
                      <w:szCs w:val="21"/>
                      <w:highlight w:val="none"/>
                    </w:rPr>
                    <w:t>台</w:t>
                  </w:r>
                </w:p>
              </w:tc>
              <w:tc>
                <w:tcPr>
                  <w:tcW w:w="959" w:type="dxa"/>
                  <w:tcBorders>
                    <w:tl2br w:val="nil"/>
                    <w:tr2bl w:val="nil"/>
                  </w:tcBorders>
                  <w:vAlign w:val="center"/>
                </w:tcPr>
                <w:p w14:paraId="07FF9301">
                  <w:pPr>
                    <w:widowControl/>
                    <w:jc w:val="center"/>
                    <w:textAlignment w:val="center"/>
                    <w:rPr>
                      <w:bCs/>
                      <w:color w:val="auto"/>
                      <w:szCs w:val="21"/>
                      <w:highlight w:val="none"/>
                    </w:rPr>
                  </w:pPr>
                  <w:r>
                    <w:rPr>
                      <w:rFonts w:hint="eastAsia"/>
                      <w:bCs/>
                      <w:color w:val="auto"/>
                      <w:szCs w:val="21"/>
                      <w:highlight w:val="none"/>
                    </w:rPr>
                    <w:t>1</w:t>
                  </w:r>
                </w:p>
              </w:tc>
            </w:tr>
            <w:tr w14:paraId="115CC3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7E0269F6">
                  <w:pPr>
                    <w:widowControl/>
                    <w:jc w:val="center"/>
                    <w:textAlignment w:val="center"/>
                    <w:rPr>
                      <w:bCs/>
                      <w:color w:val="auto"/>
                      <w:szCs w:val="21"/>
                      <w:highlight w:val="none"/>
                    </w:rPr>
                  </w:pPr>
                  <w:r>
                    <w:rPr>
                      <w:color w:val="auto"/>
                      <w:kern w:val="0"/>
                      <w:szCs w:val="21"/>
                      <w:highlight w:val="none"/>
                      <w:lang w:bidi="ar"/>
                    </w:rPr>
                    <w:t>4</w:t>
                  </w:r>
                </w:p>
              </w:tc>
              <w:tc>
                <w:tcPr>
                  <w:tcW w:w="2988" w:type="dxa"/>
                  <w:tcBorders>
                    <w:tl2br w:val="nil"/>
                    <w:tr2bl w:val="nil"/>
                  </w:tcBorders>
                  <w:shd w:val="clear" w:color="auto" w:fill="auto"/>
                  <w:vAlign w:val="center"/>
                </w:tcPr>
                <w:p w14:paraId="3DA7F1C9">
                  <w:pPr>
                    <w:pStyle w:val="44"/>
                    <w:rPr>
                      <w:rFonts w:ascii="Times New Roman"/>
                      <w:color w:val="auto"/>
                      <w:kern w:val="0"/>
                      <w:szCs w:val="21"/>
                      <w:highlight w:val="none"/>
                    </w:rPr>
                  </w:pPr>
                  <w:r>
                    <w:rPr>
                      <w:rFonts w:hint="eastAsia" w:ascii="Times New Roman"/>
                      <w:color w:val="auto"/>
                      <w:kern w:val="0"/>
                      <w:szCs w:val="21"/>
                      <w:highlight w:val="none"/>
                    </w:rPr>
                    <w:t>数字化彩色超声诊断仪</w:t>
                  </w:r>
                </w:p>
              </w:tc>
              <w:tc>
                <w:tcPr>
                  <w:tcW w:w="2302" w:type="dxa"/>
                  <w:tcBorders>
                    <w:tl2br w:val="nil"/>
                    <w:tr2bl w:val="nil"/>
                  </w:tcBorders>
                  <w:shd w:val="clear" w:color="auto" w:fill="auto"/>
                  <w:vAlign w:val="center"/>
                </w:tcPr>
                <w:p w14:paraId="6EF389C1">
                  <w:pPr>
                    <w:pStyle w:val="44"/>
                    <w:rPr>
                      <w:rFonts w:ascii="Times New Roman"/>
                      <w:color w:val="auto"/>
                      <w:kern w:val="0"/>
                      <w:szCs w:val="21"/>
                      <w:highlight w:val="none"/>
                    </w:rPr>
                  </w:pPr>
                  <w:r>
                    <w:rPr>
                      <w:rFonts w:hint="eastAsia" w:ascii="Times New Roman"/>
                      <w:color w:val="auto"/>
                      <w:kern w:val="0"/>
                      <w:szCs w:val="21"/>
                      <w:highlight w:val="none"/>
                    </w:rPr>
                    <w:t>VINNO X35</w:t>
                  </w:r>
                </w:p>
              </w:tc>
              <w:tc>
                <w:tcPr>
                  <w:tcW w:w="1397" w:type="dxa"/>
                  <w:tcBorders>
                    <w:tl2br w:val="nil"/>
                    <w:tr2bl w:val="nil"/>
                  </w:tcBorders>
                  <w:vAlign w:val="center"/>
                </w:tcPr>
                <w:p w14:paraId="0FF893DF">
                  <w:pPr>
                    <w:widowControl/>
                    <w:jc w:val="center"/>
                    <w:textAlignment w:val="center"/>
                    <w:rPr>
                      <w:bCs/>
                      <w:color w:val="auto"/>
                      <w:szCs w:val="21"/>
                      <w:highlight w:val="none"/>
                    </w:rPr>
                  </w:pPr>
                  <w:r>
                    <w:rPr>
                      <w:rFonts w:hint="eastAsia"/>
                      <w:bCs/>
                      <w:color w:val="auto"/>
                      <w:szCs w:val="21"/>
                      <w:highlight w:val="none"/>
                    </w:rPr>
                    <w:t>台</w:t>
                  </w:r>
                </w:p>
              </w:tc>
              <w:tc>
                <w:tcPr>
                  <w:tcW w:w="959" w:type="dxa"/>
                  <w:tcBorders>
                    <w:tl2br w:val="nil"/>
                    <w:tr2bl w:val="nil"/>
                  </w:tcBorders>
                  <w:vAlign w:val="center"/>
                </w:tcPr>
                <w:p w14:paraId="4E4D9512">
                  <w:pPr>
                    <w:widowControl/>
                    <w:jc w:val="center"/>
                    <w:textAlignment w:val="center"/>
                    <w:rPr>
                      <w:bCs/>
                      <w:color w:val="auto"/>
                      <w:szCs w:val="21"/>
                      <w:highlight w:val="none"/>
                    </w:rPr>
                  </w:pPr>
                  <w:r>
                    <w:rPr>
                      <w:rFonts w:hint="eastAsia"/>
                      <w:bCs/>
                      <w:color w:val="auto"/>
                      <w:szCs w:val="21"/>
                      <w:highlight w:val="none"/>
                    </w:rPr>
                    <w:t>2</w:t>
                  </w:r>
                </w:p>
              </w:tc>
            </w:tr>
            <w:tr w14:paraId="61009D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2EB8AE47">
                  <w:pPr>
                    <w:widowControl/>
                    <w:jc w:val="center"/>
                    <w:textAlignment w:val="center"/>
                    <w:rPr>
                      <w:bCs/>
                      <w:color w:val="auto"/>
                      <w:szCs w:val="21"/>
                      <w:highlight w:val="none"/>
                    </w:rPr>
                  </w:pPr>
                  <w:r>
                    <w:rPr>
                      <w:color w:val="auto"/>
                      <w:kern w:val="0"/>
                      <w:szCs w:val="21"/>
                      <w:highlight w:val="none"/>
                      <w:lang w:bidi="ar"/>
                    </w:rPr>
                    <w:t>5</w:t>
                  </w:r>
                </w:p>
              </w:tc>
              <w:tc>
                <w:tcPr>
                  <w:tcW w:w="2988" w:type="dxa"/>
                  <w:tcBorders>
                    <w:tl2br w:val="nil"/>
                    <w:tr2bl w:val="nil"/>
                  </w:tcBorders>
                  <w:vAlign w:val="center"/>
                </w:tcPr>
                <w:p w14:paraId="7E02A937">
                  <w:pPr>
                    <w:widowControl/>
                    <w:jc w:val="center"/>
                    <w:textAlignment w:val="center"/>
                    <w:rPr>
                      <w:bCs/>
                      <w:color w:val="auto"/>
                      <w:szCs w:val="21"/>
                      <w:highlight w:val="none"/>
                    </w:rPr>
                  </w:pPr>
                  <w:r>
                    <w:rPr>
                      <w:bCs/>
                      <w:color w:val="auto"/>
                      <w:szCs w:val="21"/>
                      <w:highlight w:val="none"/>
                    </w:rPr>
                    <w:t>口腔颌面锥形束计算机体层摄影</w:t>
                  </w:r>
                </w:p>
              </w:tc>
              <w:tc>
                <w:tcPr>
                  <w:tcW w:w="2302" w:type="dxa"/>
                  <w:tcBorders>
                    <w:tl2br w:val="nil"/>
                    <w:tr2bl w:val="nil"/>
                  </w:tcBorders>
                  <w:vAlign w:val="center"/>
                </w:tcPr>
                <w:p w14:paraId="47229180">
                  <w:pPr>
                    <w:widowControl/>
                    <w:jc w:val="center"/>
                    <w:textAlignment w:val="center"/>
                    <w:rPr>
                      <w:bCs/>
                      <w:color w:val="auto"/>
                      <w:szCs w:val="21"/>
                      <w:highlight w:val="none"/>
                    </w:rPr>
                  </w:pPr>
                  <w:r>
                    <w:rPr>
                      <w:bCs/>
                      <w:color w:val="auto"/>
                      <w:szCs w:val="21"/>
                      <w:highlight w:val="none"/>
                    </w:rPr>
                    <w:t>Bondream 3D-1020MS 三类</w:t>
                  </w:r>
                </w:p>
              </w:tc>
              <w:tc>
                <w:tcPr>
                  <w:tcW w:w="1397" w:type="dxa"/>
                  <w:tcBorders>
                    <w:tl2br w:val="nil"/>
                    <w:tr2bl w:val="nil"/>
                  </w:tcBorders>
                  <w:vAlign w:val="center"/>
                </w:tcPr>
                <w:p w14:paraId="1434B258">
                  <w:pPr>
                    <w:widowControl/>
                    <w:jc w:val="center"/>
                    <w:textAlignment w:val="center"/>
                    <w:rPr>
                      <w:bCs/>
                      <w:color w:val="auto"/>
                      <w:szCs w:val="21"/>
                      <w:highlight w:val="none"/>
                    </w:rPr>
                  </w:pPr>
                  <w:r>
                    <w:rPr>
                      <w:rFonts w:hint="eastAsia"/>
                      <w:bCs/>
                      <w:color w:val="auto"/>
                      <w:szCs w:val="21"/>
                      <w:highlight w:val="none"/>
                    </w:rPr>
                    <w:t>台</w:t>
                  </w:r>
                </w:p>
              </w:tc>
              <w:tc>
                <w:tcPr>
                  <w:tcW w:w="959" w:type="dxa"/>
                  <w:tcBorders>
                    <w:tl2br w:val="nil"/>
                    <w:tr2bl w:val="nil"/>
                  </w:tcBorders>
                  <w:vAlign w:val="center"/>
                </w:tcPr>
                <w:p w14:paraId="44AAA173">
                  <w:pPr>
                    <w:widowControl/>
                    <w:jc w:val="center"/>
                    <w:textAlignment w:val="center"/>
                    <w:rPr>
                      <w:bCs/>
                      <w:color w:val="auto"/>
                      <w:szCs w:val="21"/>
                      <w:highlight w:val="none"/>
                    </w:rPr>
                  </w:pPr>
                  <w:r>
                    <w:rPr>
                      <w:rFonts w:hint="eastAsia"/>
                      <w:bCs/>
                      <w:color w:val="auto"/>
                      <w:szCs w:val="21"/>
                      <w:highlight w:val="none"/>
                    </w:rPr>
                    <w:t>1</w:t>
                  </w:r>
                </w:p>
              </w:tc>
            </w:tr>
            <w:tr w14:paraId="6539A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6FA93630">
                  <w:pPr>
                    <w:widowControl/>
                    <w:jc w:val="center"/>
                    <w:textAlignment w:val="center"/>
                    <w:rPr>
                      <w:bCs/>
                      <w:color w:val="auto"/>
                      <w:szCs w:val="21"/>
                      <w:highlight w:val="none"/>
                    </w:rPr>
                  </w:pPr>
                  <w:r>
                    <w:rPr>
                      <w:color w:val="auto"/>
                      <w:kern w:val="0"/>
                      <w:szCs w:val="21"/>
                      <w:highlight w:val="none"/>
                      <w:lang w:bidi="ar"/>
                    </w:rPr>
                    <w:t>6</w:t>
                  </w:r>
                </w:p>
              </w:tc>
              <w:tc>
                <w:tcPr>
                  <w:tcW w:w="2988" w:type="dxa"/>
                  <w:tcBorders>
                    <w:tl2br w:val="nil"/>
                    <w:tr2bl w:val="nil"/>
                  </w:tcBorders>
                  <w:vAlign w:val="center"/>
                </w:tcPr>
                <w:p w14:paraId="4990B4F7">
                  <w:pPr>
                    <w:widowControl/>
                    <w:jc w:val="center"/>
                    <w:textAlignment w:val="center"/>
                    <w:rPr>
                      <w:bCs/>
                      <w:color w:val="auto"/>
                      <w:szCs w:val="21"/>
                      <w:highlight w:val="none"/>
                    </w:rPr>
                  </w:pPr>
                  <w:r>
                    <w:rPr>
                      <w:bCs/>
                      <w:color w:val="auto"/>
                      <w:szCs w:val="21"/>
                      <w:highlight w:val="none"/>
                    </w:rPr>
                    <w:t>全自动生化分析仪</w:t>
                  </w:r>
                </w:p>
              </w:tc>
              <w:tc>
                <w:tcPr>
                  <w:tcW w:w="2302" w:type="dxa"/>
                  <w:tcBorders>
                    <w:tl2br w:val="nil"/>
                    <w:tr2bl w:val="nil"/>
                  </w:tcBorders>
                  <w:vAlign w:val="center"/>
                </w:tcPr>
                <w:p w14:paraId="4F7B465D">
                  <w:pPr>
                    <w:widowControl/>
                    <w:jc w:val="center"/>
                    <w:textAlignment w:val="center"/>
                    <w:rPr>
                      <w:bCs/>
                      <w:color w:val="auto"/>
                      <w:szCs w:val="21"/>
                      <w:highlight w:val="none"/>
                    </w:rPr>
                  </w:pPr>
                  <w:r>
                    <w:rPr>
                      <w:bCs/>
                      <w:color w:val="auto"/>
                      <w:szCs w:val="21"/>
                      <w:highlight w:val="none"/>
                    </w:rPr>
                    <w:t>BS-430开放式</w:t>
                  </w:r>
                </w:p>
              </w:tc>
              <w:tc>
                <w:tcPr>
                  <w:tcW w:w="1397" w:type="dxa"/>
                  <w:tcBorders>
                    <w:tl2br w:val="nil"/>
                    <w:tr2bl w:val="nil"/>
                  </w:tcBorders>
                  <w:vAlign w:val="center"/>
                </w:tcPr>
                <w:p w14:paraId="4747476F">
                  <w:pPr>
                    <w:widowControl/>
                    <w:jc w:val="center"/>
                    <w:textAlignment w:val="center"/>
                    <w:rPr>
                      <w:bCs/>
                      <w:color w:val="auto"/>
                      <w:szCs w:val="21"/>
                      <w:highlight w:val="none"/>
                    </w:rPr>
                  </w:pPr>
                  <w:r>
                    <w:rPr>
                      <w:rFonts w:hint="eastAsia"/>
                      <w:bCs/>
                      <w:color w:val="auto"/>
                      <w:szCs w:val="21"/>
                      <w:highlight w:val="none"/>
                    </w:rPr>
                    <w:t>台</w:t>
                  </w:r>
                </w:p>
              </w:tc>
              <w:tc>
                <w:tcPr>
                  <w:tcW w:w="959" w:type="dxa"/>
                  <w:tcBorders>
                    <w:tl2br w:val="nil"/>
                    <w:tr2bl w:val="nil"/>
                  </w:tcBorders>
                  <w:vAlign w:val="center"/>
                </w:tcPr>
                <w:p w14:paraId="148C4B83">
                  <w:pPr>
                    <w:widowControl/>
                    <w:jc w:val="center"/>
                    <w:textAlignment w:val="center"/>
                    <w:rPr>
                      <w:bCs/>
                      <w:color w:val="auto"/>
                      <w:szCs w:val="21"/>
                      <w:highlight w:val="none"/>
                    </w:rPr>
                  </w:pPr>
                  <w:r>
                    <w:rPr>
                      <w:rFonts w:hint="eastAsia"/>
                      <w:bCs/>
                      <w:color w:val="auto"/>
                      <w:szCs w:val="21"/>
                      <w:highlight w:val="none"/>
                    </w:rPr>
                    <w:t>1</w:t>
                  </w:r>
                </w:p>
              </w:tc>
            </w:tr>
            <w:tr w14:paraId="2A8DC7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6ECC6C82">
                  <w:pPr>
                    <w:widowControl/>
                    <w:jc w:val="center"/>
                    <w:textAlignment w:val="center"/>
                    <w:rPr>
                      <w:bCs/>
                      <w:color w:val="auto"/>
                      <w:szCs w:val="21"/>
                      <w:highlight w:val="none"/>
                    </w:rPr>
                  </w:pPr>
                  <w:r>
                    <w:rPr>
                      <w:color w:val="auto"/>
                      <w:kern w:val="0"/>
                      <w:szCs w:val="21"/>
                      <w:highlight w:val="none"/>
                      <w:lang w:bidi="ar"/>
                    </w:rPr>
                    <w:t>7</w:t>
                  </w:r>
                </w:p>
              </w:tc>
              <w:tc>
                <w:tcPr>
                  <w:tcW w:w="2988" w:type="dxa"/>
                  <w:tcBorders>
                    <w:tl2br w:val="nil"/>
                    <w:tr2bl w:val="nil"/>
                  </w:tcBorders>
                  <w:vAlign w:val="center"/>
                </w:tcPr>
                <w:p w14:paraId="336B9B2F">
                  <w:pPr>
                    <w:widowControl/>
                    <w:jc w:val="center"/>
                    <w:textAlignment w:val="center"/>
                    <w:rPr>
                      <w:bCs/>
                      <w:color w:val="auto"/>
                      <w:szCs w:val="21"/>
                      <w:highlight w:val="none"/>
                    </w:rPr>
                  </w:pPr>
                  <w:r>
                    <w:rPr>
                      <w:bCs/>
                      <w:color w:val="auto"/>
                      <w:szCs w:val="21"/>
                      <w:highlight w:val="none"/>
                    </w:rPr>
                    <w:t>生物显微镜</w:t>
                  </w:r>
                </w:p>
              </w:tc>
              <w:tc>
                <w:tcPr>
                  <w:tcW w:w="2302" w:type="dxa"/>
                  <w:tcBorders>
                    <w:tl2br w:val="nil"/>
                    <w:tr2bl w:val="nil"/>
                  </w:tcBorders>
                  <w:vAlign w:val="center"/>
                </w:tcPr>
                <w:p w14:paraId="422D198A">
                  <w:pPr>
                    <w:widowControl/>
                    <w:jc w:val="center"/>
                    <w:textAlignment w:val="center"/>
                    <w:rPr>
                      <w:bCs/>
                      <w:color w:val="auto"/>
                      <w:szCs w:val="21"/>
                      <w:highlight w:val="none"/>
                    </w:rPr>
                  </w:pPr>
                  <w:r>
                    <w:rPr>
                      <w:bCs/>
                      <w:color w:val="auto"/>
                      <w:szCs w:val="21"/>
                      <w:highlight w:val="none"/>
                    </w:rPr>
                    <w:t>CX23双目</w:t>
                  </w:r>
                </w:p>
              </w:tc>
              <w:tc>
                <w:tcPr>
                  <w:tcW w:w="1397" w:type="dxa"/>
                  <w:tcBorders>
                    <w:tl2br w:val="nil"/>
                    <w:tr2bl w:val="nil"/>
                  </w:tcBorders>
                  <w:vAlign w:val="center"/>
                </w:tcPr>
                <w:p w14:paraId="57399734">
                  <w:pPr>
                    <w:widowControl/>
                    <w:jc w:val="center"/>
                    <w:textAlignment w:val="center"/>
                    <w:rPr>
                      <w:bCs/>
                      <w:color w:val="auto"/>
                      <w:szCs w:val="21"/>
                      <w:highlight w:val="none"/>
                    </w:rPr>
                  </w:pPr>
                  <w:r>
                    <w:rPr>
                      <w:rFonts w:hint="eastAsia"/>
                      <w:bCs/>
                      <w:color w:val="auto"/>
                      <w:szCs w:val="21"/>
                      <w:highlight w:val="none"/>
                    </w:rPr>
                    <w:t>套</w:t>
                  </w:r>
                </w:p>
              </w:tc>
              <w:tc>
                <w:tcPr>
                  <w:tcW w:w="959" w:type="dxa"/>
                  <w:tcBorders>
                    <w:tl2br w:val="nil"/>
                    <w:tr2bl w:val="nil"/>
                  </w:tcBorders>
                  <w:vAlign w:val="center"/>
                </w:tcPr>
                <w:p w14:paraId="576A7816">
                  <w:pPr>
                    <w:widowControl/>
                    <w:jc w:val="center"/>
                    <w:textAlignment w:val="center"/>
                    <w:rPr>
                      <w:bCs/>
                      <w:color w:val="auto"/>
                      <w:szCs w:val="21"/>
                      <w:highlight w:val="none"/>
                    </w:rPr>
                  </w:pPr>
                  <w:r>
                    <w:rPr>
                      <w:rFonts w:hint="eastAsia"/>
                      <w:bCs/>
                      <w:color w:val="auto"/>
                      <w:szCs w:val="21"/>
                      <w:highlight w:val="none"/>
                    </w:rPr>
                    <w:t>1</w:t>
                  </w:r>
                </w:p>
              </w:tc>
            </w:tr>
            <w:tr w14:paraId="399EE0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1C36B4DA">
                  <w:pPr>
                    <w:widowControl/>
                    <w:jc w:val="center"/>
                    <w:textAlignment w:val="center"/>
                    <w:rPr>
                      <w:bCs/>
                      <w:color w:val="auto"/>
                      <w:szCs w:val="21"/>
                      <w:highlight w:val="none"/>
                    </w:rPr>
                  </w:pPr>
                  <w:r>
                    <w:rPr>
                      <w:color w:val="auto"/>
                      <w:kern w:val="0"/>
                      <w:szCs w:val="21"/>
                      <w:highlight w:val="none"/>
                      <w:lang w:bidi="ar"/>
                    </w:rPr>
                    <w:t>8</w:t>
                  </w:r>
                </w:p>
              </w:tc>
              <w:tc>
                <w:tcPr>
                  <w:tcW w:w="2988" w:type="dxa"/>
                  <w:tcBorders>
                    <w:tl2br w:val="nil"/>
                    <w:tr2bl w:val="nil"/>
                  </w:tcBorders>
                  <w:vAlign w:val="center"/>
                </w:tcPr>
                <w:p w14:paraId="79C4DD91">
                  <w:pPr>
                    <w:widowControl/>
                    <w:jc w:val="center"/>
                    <w:textAlignment w:val="center"/>
                    <w:rPr>
                      <w:bCs/>
                      <w:color w:val="auto"/>
                      <w:szCs w:val="21"/>
                      <w:highlight w:val="none"/>
                    </w:rPr>
                  </w:pPr>
                  <w:r>
                    <w:rPr>
                      <w:bCs/>
                      <w:color w:val="auto"/>
                      <w:szCs w:val="21"/>
                      <w:highlight w:val="none"/>
                    </w:rPr>
                    <w:t>优利特尿液分析仪</w:t>
                  </w:r>
                </w:p>
              </w:tc>
              <w:tc>
                <w:tcPr>
                  <w:tcW w:w="2302" w:type="dxa"/>
                  <w:tcBorders>
                    <w:tl2br w:val="nil"/>
                    <w:tr2bl w:val="nil"/>
                  </w:tcBorders>
                  <w:vAlign w:val="center"/>
                </w:tcPr>
                <w:p w14:paraId="107503BB">
                  <w:pPr>
                    <w:widowControl/>
                    <w:jc w:val="center"/>
                    <w:textAlignment w:val="center"/>
                    <w:rPr>
                      <w:bCs/>
                      <w:color w:val="auto"/>
                      <w:szCs w:val="21"/>
                      <w:highlight w:val="none"/>
                    </w:rPr>
                  </w:pPr>
                  <w:r>
                    <w:rPr>
                      <w:bCs/>
                      <w:color w:val="auto"/>
                      <w:szCs w:val="21"/>
                      <w:highlight w:val="none"/>
                    </w:rPr>
                    <w:t>URLT-500B</w:t>
                  </w:r>
                </w:p>
              </w:tc>
              <w:tc>
                <w:tcPr>
                  <w:tcW w:w="1397" w:type="dxa"/>
                  <w:tcBorders>
                    <w:tl2br w:val="nil"/>
                    <w:tr2bl w:val="nil"/>
                  </w:tcBorders>
                  <w:vAlign w:val="center"/>
                </w:tcPr>
                <w:p w14:paraId="741CE0BE">
                  <w:pPr>
                    <w:widowControl/>
                    <w:jc w:val="center"/>
                    <w:textAlignment w:val="center"/>
                    <w:rPr>
                      <w:bCs/>
                      <w:color w:val="auto"/>
                      <w:szCs w:val="21"/>
                      <w:highlight w:val="none"/>
                    </w:rPr>
                  </w:pPr>
                  <w:r>
                    <w:rPr>
                      <w:rFonts w:hint="eastAsia"/>
                      <w:bCs/>
                      <w:color w:val="auto"/>
                      <w:szCs w:val="21"/>
                      <w:highlight w:val="none"/>
                    </w:rPr>
                    <w:t>台</w:t>
                  </w:r>
                </w:p>
              </w:tc>
              <w:tc>
                <w:tcPr>
                  <w:tcW w:w="959" w:type="dxa"/>
                  <w:tcBorders>
                    <w:tl2br w:val="nil"/>
                    <w:tr2bl w:val="nil"/>
                  </w:tcBorders>
                  <w:vAlign w:val="center"/>
                </w:tcPr>
                <w:p w14:paraId="12E6C1A0">
                  <w:pPr>
                    <w:widowControl/>
                    <w:jc w:val="center"/>
                    <w:textAlignment w:val="center"/>
                    <w:rPr>
                      <w:bCs/>
                      <w:color w:val="auto"/>
                      <w:szCs w:val="21"/>
                      <w:highlight w:val="none"/>
                    </w:rPr>
                  </w:pPr>
                  <w:r>
                    <w:rPr>
                      <w:rFonts w:hint="eastAsia"/>
                      <w:bCs/>
                      <w:color w:val="auto"/>
                      <w:szCs w:val="21"/>
                      <w:highlight w:val="none"/>
                    </w:rPr>
                    <w:t>1</w:t>
                  </w:r>
                </w:p>
              </w:tc>
            </w:tr>
            <w:tr w14:paraId="2EA1F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1F16A1DB">
                  <w:pPr>
                    <w:widowControl/>
                    <w:jc w:val="center"/>
                    <w:textAlignment w:val="center"/>
                    <w:rPr>
                      <w:bCs/>
                      <w:color w:val="auto"/>
                      <w:szCs w:val="21"/>
                      <w:highlight w:val="none"/>
                    </w:rPr>
                  </w:pPr>
                  <w:r>
                    <w:rPr>
                      <w:color w:val="auto"/>
                      <w:kern w:val="0"/>
                      <w:szCs w:val="21"/>
                      <w:highlight w:val="none"/>
                      <w:lang w:bidi="ar"/>
                    </w:rPr>
                    <w:t>9</w:t>
                  </w:r>
                </w:p>
              </w:tc>
              <w:tc>
                <w:tcPr>
                  <w:tcW w:w="2988" w:type="dxa"/>
                  <w:tcBorders>
                    <w:tl2br w:val="nil"/>
                    <w:tr2bl w:val="nil"/>
                  </w:tcBorders>
                  <w:vAlign w:val="bottom"/>
                </w:tcPr>
                <w:p w14:paraId="424C19DD">
                  <w:pPr>
                    <w:widowControl/>
                    <w:jc w:val="center"/>
                    <w:textAlignment w:val="center"/>
                    <w:rPr>
                      <w:bCs/>
                      <w:color w:val="auto"/>
                      <w:szCs w:val="21"/>
                      <w:highlight w:val="none"/>
                    </w:rPr>
                  </w:pPr>
                  <w:r>
                    <w:rPr>
                      <w:bCs/>
                      <w:color w:val="auto"/>
                      <w:szCs w:val="21"/>
                      <w:highlight w:val="none"/>
                    </w:rPr>
                    <w:t>离心机</w:t>
                  </w:r>
                </w:p>
              </w:tc>
              <w:tc>
                <w:tcPr>
                  <w:tcW w:w="2302" w:type="dxa"/>
                  <w:tcBorders>
                    <w:tl2br w:val="nil"/>
                    <w:tr2bl w:val="nil"/>
                  </w:tcBorders>
                  <w:vAlign w:val="bottom"/>
                </w:tcPr>
                <w:p w14:paraId="7C88FBD0">
                  <w:pPr>
                    <w:widowControl/>
                    <w:jc w:val="center"/>
                    <w:textAlignment w:val="center"/>
                    <w:rPr>
                      <w:bCs/>
                      <w:color w:val="auto"/>
                      <w:szCs w:val="21"/>
                      <w:highlight w:val="none"/>
                    </w:rPr>
                  </w:pPr>
                  <w:r>
                    <w:rPr>
                      <w:bCs/>
                      <w:color w:val="auto"/>
                      <w:szCs w:val="21"/>
                      <w:highlight w:val="none"/>
                    </w:rPr>
                    <w:t xml:space="preserve">400C </w:t>
                  </w:r>
                </w:p>
              </w:tc>
              <w:tc>
                <w:tcPr>
                  <w:tcW w:w="1397" w:type="dxa"/>
                  <w:tcBorders>
                    <w:tl2br w:val="nil"/>
                    <w:tr2bl w:val="nil"/>
                  </w:tcBorders>
                  <w:vAlign w:val="bottom"/>
                </w:tcPr>
                <w:p w14:paraId="2E31542C">
                  <w:pPr>
                    <w:widowControl/>
                    <w:jc w:val="center"/>
                    <w:textAlignment w:val="center"/>
                    <w:rPr>
                      <w:bCs/>
                      <w:color w:val="auto"/>
                      <w:szCs w:val="21"/>
                      <w:highlight w:val="none"/>
                    </w:rPr>
                  </w:pPr>
                  <w:r>
                    <w:rPr>
                      <w:rFonts w:hint="eastAsia"/>
                      <w:bCs/>
                      <w:color w:val="auto"/>
                      <w:szCs w:val="21"/>
                      <w:highlight w:val="none"/>
                    </w:rPr>
                    <w:t>套</w:t>
                  </w:r>
                </w:p>
              </w:tc>
              <w:tc>
                <w:tcPr>
                  <w:tcW w:w="959" w:type="dxa"/>
                  <w:tcBorders>
                    <w:tl2br w:val="nil"/>
                    <w:tr2bl w:val="nil"/>
                  </w:tcBorders>
                  <w:vAlign w:val="bottom"/>
                </w:tcPr>
                <w:p w14:paraId="3576EE55">
                  <w:pPr>
                    <w:widowControl/>
                    <w:jc w:val="center"/>
                    <w:textAlignment w:val="center"/>
                    <w:rPr>
                      <w:bCs/>
                      <w:color w:val="auto"/>
                      <w:szCs w:val="21"/>
                      <w:highlight w:val="none"/>
                    </w:rPr>
                  </w:pPr>
                  <w:r>
                    <w:rPr>
                      <w:rFonts w:hint="eastAsia"/>
                      <w:bCs/>
                      <w:color w:val="auto"/>
                      <w:szCs w:val="21"/>
                      <w:highlight w:val="none"/>
                    </w:rPr>
                    <w:t>1</w:t>
                  </w:r>
                </w:p>
              </w:tc>
            </w:tr>
            <w:tr w14:paraId="54F4A8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tcBorders>
                    <w:tl2br w:val="nil"/>
                    <w:tr2bl w:val="nil"/>
                  </w:tcBorders>
                  <w:vAlign w:val="center"/>
                </w:tcPr>
                <w:p w14:paraId="17A3F97A">
                  <w:pPr>
                    <w:widowControl/>
                    <w:jc w:val="center"/>
                    <w:textAlignment w:val="center"/>
                    <w:rPr>
                      <w:bCs/>
                      <w:color w:val="auto"/>
                      <w:szCs w:val="21"/>
                      <w:highlight w:val="none"/>
                    </w:rPr>
                  </w:pPr>
                  <w:r>
                    <w:rPr>
                      <w:color w:val="auto"/>
                      <w:kern w:val="0"/>
                      <w:szCs w:val="21"/>
                      <w:highlight w:val="none"/>
                      <w:lang w:bidi="ar"/>
                    </w:rPr>
                    <w:t>10</w:t>
                  </w:r>
                </w:p>
              </w:tc>
              <w:tc>
                <w:tcPr>
                  <w:tcW w:w="2988" w:type="dxa"/>
                  <w:tcBorders>
                    <w:tl2br w:val="nil"/>
                    <w:tr2bl w:val="nil"/>
                  </w:tcBorders>
                  <w:vAlign w:val="center"/>
                </w:tcPr>
                <w:p w14:paraId="08A68C73">
                  <w:pPr>
                    <w:widowControl/>
                    <w:jc w:val="center"/>
                    <w:textAlignment w:val="center"/>
                    <w:rPr>
                      <w:bCs/>
                      <w:color w:val="auto"/>
                      <w:szCs w:val="21"/>
                      <w:highlight w:val="none"/>
                    </w:rPr>
                  </w:pPr>
                  <w:r>
                    <w:rPr>
                      <w:bCs/>
                      <w:color w:val="auto"/>
                      <w:szCs w:val="21"/>
                      <w:highlight w:val="none"/>
                    </w:rPr>
                    <w:t>全自动血液细胞分析仪</w:t>
                  </w:r>
                </w:p>
              </w:tc>
              <w:tc>
                <w:tcPr>
                  <w:tcW w:w="2302" w:type="dxa"/>
                  <w:tcBorders>
                    <w:tl2br w:val="nil"/>
                    <w:tr2bl w:val="nil"/>
                  </w:tcBorders>
                  <w:vAlign w:val="center"/>
                </w:tcPr>
                <w:p w14:paraId="7866C40F">
                  <w:pPr>
                    <w:widowControl/>
                    <w:jc w:val="center"/>
                    <w:textAlignment w:val="center"/>
                    <w:rPr>
                      <w:bCs/>
                      <w:color w:val="auto"/>
                      <w:szCs w:val="21"/>
                      <w:highlight w:val="none"/>
                    </w:rPr>
                  </w:pPr>
                  <w:r>
                    <w:rPr>
                      <w:bCs/>
                      <w:color w:val="auto"/>
                      <w:szCs w:val="21"/>
                      <w:highlight w:val="none"/>
                    </w:rPr>
                    <w:t>BC-10</w:t>
                  </w:r>
                </w:p>
              </w:tc>
              <w:tc>
                <w:tcPr>
                  <w:tcW w:w="1397" w:type="dxa"/>
                  <w:tcBorders>
                    <w:tl2br w:val="nil"/>
                    <w:tr2bl w:val="nil"/>
                  </w:tcBorders>
                  <w:vAlign w:val="center"/>
                </w:tcPr>
                <w:p w14:paraId="197C5AB4">
                  <w:pPr>
                    <w:widowControl/>
                    <w:jc w:val="center"/>
                    <w:textAlignment w:val="center"/>
                    <w:rPr>
                      <w:bCs/>
                      <w:color w:val="auto"/>
                      <w:szCs w:val="21"/>
                      <w:highlight w:val="none"/>
                    </w:rPr>
                  </w:pPr>
                  <w:r>
                    <w:rPr>
                      <w:rFonts w:hint="eastAsia"/>
                      <w:bCs/>
                      <w:color w:val="auto"/>
                      <w:szCs w:val="21"/>
                      <w:highlight w:val="none"/>
                    </w:rPr>
                    <w:t>套</w:t>
                  </w:r>
                </w:p>
              </w:tc>
              <w:tc>
                <w:tcPr>
                  <w:tcW w:w="959" w:type="dxa"/>
                  <w:tcBorders>
                    <w:tl2br w:val="nil"/>
                    <w:tr2bl w:val="nil"/>
                  </w:tcBorders>
                  <w:vAlign w:val="bottom"/>
                </w:tcPr>
                <w:p w14:paraId="52B06A8E">
                  <w:pPr>
                    <w:widowControl/>
                    <w:jc w:val="center"/>
                    <w:textAlignment w:val="center"/>
                    <w:rPr>
                      <w:bCs/>
                      <w:color w:val="auto"/>
                      <w:szCs w:val="21"/>
                      <w:highlight w:val="none"/>
                    </w:rPr>
                  </w:pPr>
                  <w:r>
                    <w:rPr>
                      <w:rFonts w:hint="eastAsia"/>
                      <w:bCs/>
                      <w:color w:val="auto"/>
                      <w:szCs w:val="21"/>
                      <w:highlight w:val="none"/>
                    </w:rPr>
                    <w:t>1</w:t>
                  </w:r>
                </w:p>
              </w:tc>
            </w:tr>
            <w:tr w14:paraId="4A3BD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48E3761F">
                  <w:pPr>
                    <w:widowControl/>
                    <w:jc w:val="center"/>
                    <w:textAlignment w:val="center"/>
                    <w:rPr>
                      <w:bCs/>
                      <w:color w:val="auto"/>
                      <w:szCs w:val="21"/>
                      <w:highlight w:val="none"/>
                    </w:rPr>
                  </w:pPr>
                  <w:r>
                    <w:rPr>
                      <w:color w:val="auto"/>
                      <w:kern w:val="0"/>
                      <w:szCs w:val="21"/>
                      <w:highlight w:val="none"/>
                      <w:lang w:bidi="ar"/>
                    </w:rPr>
                    <w:t>11</w:t>
                  </w:r>
                </w:p>
              </w:tc>
              <w:tc>
                <w:tcPr>
                  <w:tcW w:w="2988" w:type="dxa"/>
                  <w:tcBorders>
                    <w:tl2br w:val="nil"/>
                    <w:tr2bl w:val="nil"/>
                  </w:tcBorders>
                  <w:vAlign w:val="bottom"/>
                </w:tcPr>
                <w:p w14:paraId="59376591">
                  <w:pPr>
                    <w:widowControl/>
                    <w:jc w:val="center"/>
                    <w:textAlignment w:val="center"/>
                    <w:rPr>
                      <w:bCs/>
                      <w:color w:val="auto"/>
                      <w:szCs w:val="21"/>
                      <w:highlight w:val="none"/>
                    </w:rPr>
                  </w:pPr>
                  <w:r>
                    <w:rPr>
                      <w:bCs/>
                      <w:color w:val="auto"/>
                      <w:szCs w:val="21"/>
                      <w:highlight w:val="none"/>
                    </w:rPr>
                    <w:t>纯水机</w:t>
                  </w:r>
                </w:p>
              </w:tc>
              <w:tc>
                <w:tcPr>
                  <w:tcW w:w="2302" w:type="dxa"/>
                  <w:tcBorders>
                    <w:tl2br w:val="nil"/>
                    <w:tr2bl w:val="nil"/>
                  </w:tcBorders>
                  <w:vAlign w:val="bottom"/>
                </w:tcPr>
                <w:p w14:paraId="3D405181">
                  <w:pPr>
                    <w:widowControl/>
                    <w:jc w:val="center"/>
                    <w:textAlignment w:val="center"/>
                    <w:rPr>
                      <w:bCs/>
                      <w:color w:val="auto"/>
                      <w:szCs w:val="21"/>
                      <w:highlight w:val="none"/>
                    </w:rPr>
                  </w:pPr>
                  <w:r>
                    <w:rPr>
                      <w:bCs/>
                      <w:color w:val="auto"/>
                      <w:szCs w:val="21"/>
                      <w:highlight w:val="none"/>
                    </w:rPr>
                    <w:t>40L</w:t>
                  </w:r>
                </w:p>
              </w:tc>
              <w:tc>
                <w:tcPr>
                  <w:tcW w:w="1397" w:type="dxa"/>
                  <w:tcBorders>
                    <w:tl2br w:val="nil"/>
                    <w:tr2bl w:val="nil"/>
                  </w:tcBorders>
                  <w:vAlign w:val="bottom"/>
                </w:tcPr>
                <w:p w14:paraId="678395EE">
                  <w:pPr>
                    <w:widowControl/>
                    <w:jc w:val="center"/>
                    <w:textAlignment w:val="center"/>
                    <w:rPr>
                      <w:bCs/>
                      <w:color w:val="auto"/>
                      <w:szCs w:val="21"/>
                      <w:highlight w:val="none"/>
                    </w:rPr>
                  </w:pPr>
                  <w:r>
                    <w:rPr>
                      <w:rFonts w:hint="eastAsia"/>
                      <w:bCs/>
                      <w:color w:val="auto"/>
                      <w:szCs w:val="21"/>
                      <w:highlight w:val="none"/>
                    </w:rPr>
                    <w:t>台</w:t>
                  </w:r>
                </w:p>
              </w:tc>
              <w:tc>
                <w:tcPr>
                  <w:tcW w:w="959" w:type="dxa"/>
                  <w:tcBorders>
                    <w:tl2br w:val="nil"/>
                    <w:tr2bl w:val="nil"/>
                  </w:tcBorders>
                  <w:vAlign w:val="bottom"/>
                </w:tcPr>
                <w:p w14:paraId="3E1BC405">
                  <w:pPr>
                    <w:widowControl/>
                    <w:jc w:val="center"/>
                    <w:textAlignment w:val="center"/>
                    <w:rPr>
                      <w:bCs/>
                      <w:color w:val="auto"/>
                      <w:szCs w:val="21"/>
                      <w:highlight w:val="none"/>
                    </w:rPr>
                  </w:pPr>
                  <w:r>
                    <w:rPr>
                      <w:rFonts w:hint="eastAsia"/>
                      <w:bCs/>
                      <w:color w:val="auto"/>
                      <w:szCs w:val="21"/>
                      <w:highlight w:val="none"/>
                    </w:rPr>
                    <w:t>1</w:t>
                  </w:r>
                </w:p>
              </w:tc>
            </w:tr>
            <w:tr w14:paraId="336B12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74CBC680">
                  <w:pPr>
                    <w:widowControl/>
                    <w:jc w:val="center"/>
                    <w:textAlignment w:val="center"/>
                    <w:rPr>
                      <w:bCs/>
                      <w:color w:val="auto"/>
                      <w:szCs w:val="21"/>
                      <w:highlight w:val="none"/>
                    </w:rPr>
                  </w:pPr>
                  <w:r>
                    <w:rPr>
                      <w:color w:val="auto"/>
                      <w:kern w:val="0"/>
                      <w:szCs w:val="21"/>
                      <w:highlight w:val="none"/>
                      <w:lang w:bidi="ar"/>
                    </w:rPr>
                    <w:t>12</w:t>
                  </w:r>
                </w:p>
              </w:tc>
              <w:tc>
                <w:tcPr>
                  <w:tcW w:w="2988" w:type="dxa"/>
                  <w:tcBorders>
                    <w:tl2br w:val="nil"/>
                    <w:tr2bl w:val="nil"/>
                  </w:tcBorders>
                  <w:vAlign w:val="center"/>
                </w:tcPr>
                <w:p w14:paraId="488B113D">
                  <w:pPr>
                    <w:widowControl/>
                    <w:jc w:val="center"/>
                    <w:textAlignment w:val="center"/>
                    <w:rPr>
                      <w:bCs/>
                      <w:color w:val="auto"/>
                      <w:szCs w:val="21"/>
                      <w:highlight w:val="none"/>
                    </w:rPr>
                  </w:pPr>
                  <w:r>
                    <w:rPr>
                      <w:bCs/>
                      <w:color w:val="auto"/>
                      <w:szCs w:val="21"/>
                      <w:highlight w:val="none"/>
                    </w:rPr>
                    <w:t>UPS稳压电源</w:t>
                  </w:r>
                </w:p>
              </w:tc>
              <w:tc>
                <w:tcPr>
                  <w:tcW w:w="2302" w:type="dxa"/>
                  <w:tcBorders>
                    <w:tl2br w:val="nil"/>
                    <w:tr2bl w:val="nil"/>
                  </w:tcBorders>
                  <w:vAlign w:val="center"/>
                </w:tcPr>
                <w:p w14:paraId="1A212B00">
                  <w:pPr>
                    <w:widowControl/>
                    <w:jc w:val="center"/>
                    <w:textAlignment w:val="center"/>
                    <w:rPr>
                      <w:bCs/>
                      <w:color w:val="auto"/>
                      <w:szCs w:val="21"/>
                      <w:highlight w:val="none"/>
                    </w:rPr>
                  </w:pPr>
                  <w:r>
                    <w:rPr>
                      <w:bCs/>
                      <w:color w:val="auto"/>
                      <w:szCs w:val="21"/>
                      <w:highlight w:val="none"/>
                    </w:rPr>
                    <w:t>HP1103B</w:t>
                  </w:r>
                </w:p>
              </w:tc>
              <w:tc>
                <w:tcPr>
                  <w:tcW w:w="1397" w:type="dxa"/>
                  <w:tcBorders>
                    <w:tl2br w:val="nil"/>
                    <w:tr2bl w:val="nil"/>
                  </w:tcBorders>
                  <w:vAlign w:val="center"/>
                </w:tcPr>
                <w:p w14:paraId="057B70AD">
                  <w:pPr>
                    <w:widowControl/>
                    <w:jc w:val="center"/>
                    <w:textAlignment w:val="center"/>
                    <w:rPr>
                      <w:bCs/>
                      <w:color w:val="auto"/>
                      <w:szCs w:val="21"/>
                      <w:highlight w:val="none"/>
                    </w:rPr>
                  </w:pPr>
                  <w:r>
                    <w:rPr>
                      <w:rFonts w:hint="eastAsia"/>
                      <w:bCs/>
                      <w:color w:val="auto"/>
                      <w:szCs w:val="21"/>
                      <w:highlight w:val="none"/>
                    </w:rPr>
                    <w:t>套</w:t>
                  </w:r>
                </w:p>
              </w:tc>
              <w:tc>
                <w:tcPr>
                  <w:tcW w:w="959" w:type="dxa"/>
                  <w:tcBorders>
                    <w:tl2br w:val="nil"/>
                    <w:tr2bl w:val="nil"/>
                  </w:tcBorders>
                  <w:vAlign w:val="bottom"/>
                </w:tcPr>
                <w:p w14:paraId="6B9E4FDF">
                  <w:pPr>
                    <w:widowControl/>
                    <w:jc w:val="center"/>
                    <w:textAlignment w:val="center"/>
                    <w:rPr>
                      <w:bCs/>
                      <w:color w:val="auto"/>
                      <w:szCs w:val="21"/>
                      <w:highlight w:val="none"/>
                    </w:rPr>
                  </w:pPr>
                  <w:r>
                    <w:rPr>
                      <w:rFonts w:hint="eastAsia"/>
                      <w:bCs/>
                      <w:color w:val="auto"/>
                      <w:szCs w:val="21"/>
                      <w:highlight w:val="none"/>
                    </w:rPr>
                    <w:t>1</w:t>
                  </w:r>
                </w:p>
              </w:tc>
            </w:tr>
            <w:tr w14:paraId="3AD86A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l2br w:val="nil"/>
                    <w:tr2bl w:val="nil"/>
                  </w:tcBorders>
                  <w:vAlign w:val="center"/>
                </w:tcPr>
                <w:p w14:paraId="2DB569B3">
                  <w:pPr>
                    <w:widowControl/>
                    <w:jc w:val="center"/>
                    <w:textAlignment w:val="center"/>
                    <w:rPr>
                      <w:bCs/>
                      <w:color w:val="auto"/>
                      <w:szCs w:val="21"/>
                      <w:highlight w:val="none"/>
                    </w:rPr>
                  </w:pPr>
                  <w:r>
                    <w:rPr>
                      <w:color w:val="auto"/>
                      <w:kern w:val="0"/>
                      <w:szCs w:val="21"/>
                      <w:highlight w:val="none"/>
                      <w:lang w:bidi="ar"/>
                    </w:rPr>
                    <w:t>13</w:t>
                  </w:r>
                </w:p>
              </w:tc>
              <w:tc>
                <w:tcPr>
                  <w:tcW w:w="2988" w:type="dxa"/>
                  <w:tcBorders>
                    <w:tl2br w:val="nil"/>
                    <w:tr2bl w:val="nil"/>
                  </w:tcBorders>
                  <w:vAlign w:val="bottom"/>
                </w:tcPr>
                <w:p w14:paraId="23A4C402">
                  <w:pPr>
                    <w:widowControl/>
                    <w:jc w:val="center"/>
                    <w:textAlignment w:val="center"/>
                    <w:rPr>
                      <w:bCs/>
                      <w:color w:val="auto"/>
                      <w:szCs w:val="21"/>
                      <w:highlight w:val="none"/>
                    </w:rPr>
                  </w:pPr>
                  <w:r>
                    <w:rPr>
                      <w:bCs/>
                      <w:color w:val="auto"/>
                      <w:szCs w:val="21"/>
                      <w:highlight w:val="none"/>
                    </w:rPr>
                    <w:t>生物安全柜</w:t>
                  </w:r>
                </w:p>
              </w:tc>
              <w:tc>
                <w:tcPr>
                  <w:tcW w:w="2302" w:type="dxa"/>
                  <w:tcBorders>
                    <w:tl2br w:val="nil"/>
                    <w:tr2bl w:val="nil"/>
                  </w:tcBorders>
                  <w:vAlign w:val="bottom"/>
                </w:tcPr>
                <w:p w14:paraId="03003B40">
                  <w:pPr>
                    <w:widowControl/>
                    <w:jc w:val="center"/>
                    <w:textAlignment w:val="center"/>
                    <w:rPr>
                      <w:bCs/>
                      <w:color w:val="auto"/>
                      <w:szCs w:val="21"/>
                      <w:highlight w:val="none"/>
                    </w:rPr>
                  </w:pPr>
                  <w:r>
                    <w:rPr>
                      <w:bCs/>
                      <w:color w:val="auto"/>
                      <w:szCs w:val="21"/>
                      <w:highlight w:val="none"/>
                    </w:rPr>
                    <w:t>BSC-1100IIA2-X</w:t>
                  </w:r>
                </w:p>
              </w:tc>
              <w:tc>
                <w:tcPr>
                  <w:tcW w:w="1397" w:type="dxa"/>
                  <w:tcBorders>
                    <w:tl2br w:val="nil"/>
                    <w:tr2bl w:val="nil"/>
                  </w:tcBorders>
                  <w:vAlign w:val="bottom"/>
                </w:tcPr>
                <w:p w14:paraId="3AEDB468">
                  <w:pPr>
                    <w:widowControl/>
                    <w:jc w:val="center"/>
                    <w:textAlignment w:val="center"/>
                    <w:rPr>
                      <w:bCs/>
                      <w:color w:val="auto"/>
                      <w:szCs w:val="21"/>
                      <w:highlight w:val="none"/>
                    </w:rPr>
                  </w:pPr>
                  <w:r>
                    <w:rPr>
                      <w:rFonts w:hint="eastAsia"/>
                      <w:bCs/>
                      <w:color w:val="auto"/>
                      <w:szCs w:val="21"/>
                      <w:highlight w:val="none"/>
                    </w:rPr>
                    <w:t>套</w:t>
                  </w:r>
                </w:p>
              </w:tc>
              <w:tc>
                <w:tcPr>
                  <w:tcW w:w="959" w:type="dxa"/>
                  <w:tcBorders>
                    <w:tl2br w:val="nil"/>
                    <w:tr2bl w:val="nil"/>
                  </w:tcBorders>
                  <w:vAlign w:val="bottom"/>
                </w:tcPr>
                <w:p w14:paraId="4C2ECF6D">
                  <w:pPr>
                    <w:widowControl/>
                    <w:jc w:val="center"/>
                    <w:textAlignment w:val="center"/>
                    <w:rPr>
                      <w:bCs/>
                      <w:color w:val="auto"/>
                      <w:szCs w:val="21"/>
                      <w:highlight w:val="none"/>
                    </w:rPr>
                  </w:pPr>
                  <w:r>
                    <w:rPr>
                      <w:rFonts w:hint="eastAsia"/>
                      <w:bCs/>
                      <w:color w:val="auto"/>
                      <w:szCs w:val="21"/>
                      <w:highlight w:val="none"/>
                    </w:rPr>
                    <w:t>1</w:t>
                  </w:r>
                </w:p>
              </w:tc>
            </w:tr>
          </w:tbl>
          <w:p w14:paraId="1B816623">
            <w:pPr>
              <w:spacing w:line="360" w:lineRule="auto"/>
              <w:ind w:firstLine="482" w:firstLineChars="200"/>
              <w:rPr>
                <w:b/>
                <w:bCs/>
                <w:color w:val="auto"/>
                <w:sz w:val="24"/>
                <w:highlight w:val="none"/>
              </w:rPr>
            </w:pPr>
          </w:p>
          <w:p w14:paraId="4E3806C9">
            <w:pPr>
              <w:spacing w:line="360" w:lineRule="auto"/>
              <w:ind w:firstLine="482" w:firstLineChars="200"/>
              <w:rPr>
                <w:b/>
                <w:bCs/>
                <w:color w:val="auto"/>
                <w:sz w:val="24"/>
                <w:highlight w:val="none"/>
              </w:rPr>
            </w:pPr>
            <w:r>
              <w:rPr>
                <w:rFonts w:hint="eastAsia"/>
                <w:b/>
                <w:bCs/>
                <w:color w:val="auto"/>
                <w:sz w:val="24"/>
                <w:highlight w:val="none"/>
              </w:rPr>
              <w:t>4、</w:t>
            </w:r>
            <w:r>
              <w:rPr>
                <w:b/>
                <w:bCs/>
                <w:color w:val="auto"/>
                <w:sz w:val="24"/>
                <w:highlight w:val="none"/>
              </w:rPr>
              <w:t>主要原辅材料、能源及用量</w:t>
            </w:r>
          </w:p>
          <w:p w14:paraId="4FAE9A2D">
            <w:pPr>
              <w:jc w:val="center"/>
              <w:rPr>
                <w:b/>
                <w:i/>
                <w:iCs/>
                <w:color w:val="auto"/>
                <w:sz w:val="24"/>
                <w:highlight w:val="none"/>
                <w:u w:val="single"/>
              </w:rPr>
            </w:pPr>
          </w:p>
          <w:p w14:paraId="4543B873">
            <w:pPr>
              <w:jc w:val="center"/>
              <w:rPr>
                <w:b/>
                <w:i/>
                <w:iCs/>
                <w:color w:val="auto"/>
                <w:sz w:val="24"/>
                <w:highlight w:val="none"/>
                <w:u w:val="single"/>
              </w:rPr>
            </w:pPr>
          </w:p>
          <w:p w14:paraId="56691E17">
            <w:pPr>
              <w:jc w:val="center"/>
              <w:rPr>
                <w:b/>
                <w:i/>
                <w:iCs/>
                <w:color w:val="auto"/>
                <w:sz w:val="24"/>
                <w:highlight w:val="none"/>
                <w:u w:val="single"/>
              </w:rPr>
            </w:pPr>
            <w:r>
              <w:rPr>
                <w:b/>
                <w:i/>
                <w:iCs/>
                <w:color w:val="auto"/>
                <w:sz w:val="24"/>
                <w:highlight w:val="none"/>
                <w:u w:val="single"/>
              </w:rPr>
              <w:t>表2-</w:t>
            </w:r>
            <w:r>
              <w:rPr>
                <w:rFonts w:hint="eastAsia"/>
                <w:b/>
                <w:i/>
                <w:iCs/>
                <w:color w:val="auto"/>
                <w:sz w:val="24"/>
                <w:highlight w:val="none"/>
                <w:u w:val="single"/>
              </w:rPr>
              <w:t>3</w:t>
            </w:r>
            <w:r>
              <w:rPr>
                <w:b/>
                <w:i/>
                <w:iCs/>
                <w:color w:val="auto"/>
                <w:sz w:val="24"/>
                <w:highlight w:val="none"/>
                <w:u w:val="single"/>
              </w:rPr>
              <w:t xml:space="preserve"> 本项目原材料用量</w:t>
            </w:r>
          </w:p>
          <w:tbl>
            <w:tblPr>
              <w:tblStyle w:val="29"/>
              <w:tblW w:w="0" w:type="auto"/>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03"/>
              <w:gridCol w:w="3481"/>
              <w:gridCol w:w="1463"/>
              <w:gridCol w:w="1217"/>
              <w:gridCol w:w="1244"/>
              <w:gridCol w:w="6"/>
            </w:tblGrid>
            <w:tr w14:paraId="4B7AD8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9" w:hRule="atLeast"/>
                <w:tblHeader/>
              </w:trPr>
              <w:tc>
                <w:tcPr>
                  <w:tcW w:w="1003" w:type="dxa"/>
                  <w:tcBorders>
                    <w:tl2br w:val="nil"/>
                    <w:tr2bl w:val="nil"/>
                  </w:tcBorders>
                  <w:vAlign w:val="center"/>
                </w:tcPr>
                <w:p w14:paraId="19B446BA">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序号</w:t>
                  </w:r>
                </w:p>
              </w:tc>
              <w:tc>
                <w:tcPr>
                  <w:tcW w:w="3481" w:type="dxa"/>
                  <w:tcBorders>
                    <w:tl2br w:val="nil"/>
                    <w:tr2bl w:val="nil"/>
                  </w:tcBorders>
                  <w:vAlign w:val="center"/>
                </w:tcPr>
                <w:p w14:paraId="340A1667">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名称</w:t>
                  </w:r>
                </w:p>
              </w:tc>
              <w:tc>
                <w:tcPr>
                  <w:tcW w:w="1463" w:type="dxa"/>
                  <w:tcBorders>
                    <w:tl2br w:val="nil"/>
                    <w:tr2bl w:val="nil"/>
                  </w:tcBorders>
                  <w:vAlign w:val="center"/>
                </w:tcPr>
                <w:p w14:paraId="020A362D">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规格</w:t>
                  </w:r>
                </w:p>
              </w:tc>
              <w:tc>
                <w:tcPr>
                  <w:tcW w:w="1217" w:type="dxa"/>
                  <w:tcBorders>
                    <w:tl2br w:val="nil"/>
                    <w:tr2bl w:val="nil"/>
                  </w:tcBorders>
                  <w:vAlign w:val="center"/>
                </w:tcPr>
                <w:p w14:paraId="5CCD1E22">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单位</w:t>
                  </w:r>
                </w:p>
              </w:tc>
              <w:tc>
                <w:tcPr>
                  <w:tcW w:w="1250" w:type="dxa"/>
                  <w:gridSpan w:val="2"/>
                  <w:tcBorders>
                    <w:tl2br w:val="nil"/>
                    <w:tr2bl w:val="nil"/>
                  </w:tcBorders>
                  <w:vAlign w:val="center"/>
                </w:tcPr>
                <w:p w14:paraId="4409EAA0">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数量</w:t>
                  </w:r>
                </w:p>
              </w:tc>
            </w:tr>
            <w:tr w14:paraId="24E8A3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003" w:type="dxa"/>
                  <w:tcBorders>
                    <w:tl2br w:val="nil"/>
                    <w:tr2bl w:val="nil"/>
                  </w:tcBorders>
                  <w:vAlign w:val="center"/>
                </w:tcPr>
                <w:p w14:paraId="42D6B1BF">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1</w:t>
                  </w:r>
                </w:p>
              </w:tc>
              <w:tc>
                <w:tcPr>
                  <w:tcW w:w="3481" w:type="dxa"/>
                  <w:tcBorders>
                    <w:tl2br w:val="nil"/>
                    <w:tr2bl w:val="nil"/>
                  </w:tcBorders>
                  <w:vAlign w:val="center"/>
                </w:tcPr>
                <w:p w14:paraId="416DCADF">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乙醇（75%）</w:t>
                  </w:r>
                </w:p>
              </w:tc>
              <w:tc>
                <w:tcPr>
                  <w:tcW w:w="1463" w:type="dxa"/>
                  <w:tcBorders>
                    <w:tl2br w:val="nil"/>
                    <w:tr2bl w:val="nil"/>
                  </w:tcBorders>
                  <w:vAlign w:val="center"/>
                </w:tcPr>
                <w:p w14:paraId="2C0CA8BA">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500mL/瓶</w:t>
                  </w:r>
                </w:p>
              </w:tc>
              <w:tc>
                <w:tcPr>
                  <w:tcW w:w="1217" w:type="dxa"/>
                  <w:tcBorders>
                    <w:tl2br w:val="nil"/>
                    <w:tr2bl w:val="nil"/>
                  </w:tcBorders>
                  <w:vAlign w:val="center"/>
                </w:tcPr>
                <w:p w14:paraId="7CB1A7A1">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瓶</w:t>
                  </w:r>
                  <w:r>
                    <w:rPr>
                      <w:rFonts w:hint="eastAsia"/>
                      <w:i/>
                      <w:iCs/>
                      <w:color w:val="auto"/>
                      <w:kern w:val="0"/>
                      <w:szCs w:val="21"/>
                      <w:highlight w:val="none"/>
                      <w:u w:val="single"/>
                    </w:rPr>
                    <w:t>/年</w:t>
                  </w:r>
                </w:p>
              </w:tc>
              <w:tc>
                <w:tcPr>
                  <w:tcW w:w="1250" w:type="dxa"/>
                  <w:gridSpan w:val="2"/>
                  <w:tcBorders>
                    <w:tl2br w:val="nil"/>
                    <w:tr2bl w:val="nil"/>
                  </w:tcBorders>
                  <w:vAlign w:val="center"/>
                </w:tcPr>
                <w:p w14:paraId="4678D74E">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1500</w:t>
                  </w:r>
                </w:p>
              </w:tc>
            </w:tr>
            <w:tr w14:paraId="02DBB5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blHeader/>
              </w:trPr>
              <w:tc>
                <w:tcPr>
                  <w:tcW w:w="1003" w:type="dxa"/>
                  <w:tcBorders>
                    <w:tl2br w:val="nil"/>
                    <w:tr2bl w:val="nil"/>
                  </w:tcBorders>
                  <w:vAlign w:val="center"/>
                </w:tcPr>
                <w:p w14:paraId="0BC504A5">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2</w:t>
                  </w:r>
                </w:p>
              </w:tc>
              <w:tc>
                <w:tcPr>
                  <w:tcW w:w="3481" w:type="dxa"/>
                  <w:tcBorders>
                    <w:tl2br w:val="nil"/>
                    <w:tr2bl w:val="nil"/>
                  </w:tcBorders>
                  <w:vAlign w:val="center"/>
                </w:tcPr>
                <w:p w14:paraId="204FE145">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生理盐水</w:t>
                  </w:r>
                </w:p>
              </w:tc>
              <w:tc>
                <w:tcPr>
                  <w:tcW w:w="1463" w:type="dxa"/>
                  <w:tcBorders>
                    <w:tl2br w:val="nil"/>
                    <w:tr2bl w:val="nil"/>
                  </w:tcBorders>
                  <w:vAlign w:val="center"/>
                </w:tcPr>
                <w:p w14:paraId="3381D7CD">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500mL/瓶</w:t>
                  </w:r>
                </w:p>
              </w:tc>
              <w:tc>
                <w:tcPr>
                  <w:tcW w:w="1217" w:type="dxa"/>
                  <w:tcBorders>
                    <w:tl2br w:val="nil"/>
                    <w:tr2bl w:val="nil"/>
                  </w:tcBorders>
                  <w:vAlign w:val="center"/>
                </w:tcPr>
                <w:p w14:paraId="1740B51B">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瓶</w:t>
                  </w:r>
                  <w:r>
                    <w:rPr>
                      <w:rFonts w:hint="eastAsia"/>
                      <w:i/>
                      <w:iCs/>
                      <w:color w:val="auto"/>
                      <w:kern w:val="0"/>
                      <w:szCs w:val="21"/>
                      <w:highlight w:val="none"/>
                      <w:u w:val="single"/>
                    </w:rPr>
                    <w:t>/年</w:t>
                  </w:r>
                </w:p>
              </w:tc>
              <w:tc>
                <w:tcPr>
                  <w:tcW w:w="1250" w:type="dxa"/>
                  <w:gridSpan w:val="2"/>
                  <w:tcBorders>
                    <w:tl2br w:val="nil"/>
                    <w:tr2bl w:val="nil"/>
                  </w:tcBorders>
                  <w:vAlign w:val="center"/>
                </w:tcPr>
                <w:p w14:paraId="28709A4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1000</w:t>
                  </w:r>
                </w:p>
              </w:tc>
            </w:tr>
            <w:tr w14:paraId="4011AF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shd w:val="clear" w:color="auto" w:fill="auto"/>
                  <w:vAlign w:val="center"/>
                </w:tcPr>
                <w:p w14:paraId="395101E8">
                  <w:pPr>
                    <w:autoSpaceDE w:val="0"/>
                    <w:autoSpaceDN w:val="0"/>
                    <w:adjustRightInd w:val="0"/>
                    <w:spacing w:line="260" w:lineRule="exact"/>
                    <w:jc w:val="center"/>
                    <w:rPr>
                      <w:rFonts w:ascii="Times New Roman" w:hAnsi="Times New Roman" w:eastAsia="宋体" w:cs="Times New Roman"/>
                      <w:i/>
                      <w:iCs/>
                      <w:color w:val="auto"/>
                      <w:kern w:val="0"/>
                      <w:sz w:val="21"/>
                      <w:szCs w:val="21"/>
                      <w:highlight w:val="none"/>
                      <w:u w:val="single"/>
                      <w:lang w:val="en-US" w:eastAsia="zh-CN" w:bidi="ar-SA"/>
                    </w:rPr>
                  </w:pPr>
                  <w:r>
                    <w:rPr>
                      <w:i/>
                      <w:iCs/>
                      <w:color w:val="auto"/>
                      <w:kern w:val="0"/>
                      <w:szCs w:val="21"/>
                      <w:highlight w:val="none"/>
                      <w:u w:val="single"/>
                    </w:rPr>
                    <w:t>3</w:t>
                  </w:r>
                </w:p>
              </w:tc>
              <w:tc>
                <w:tcPr>
                  <w:tcW w:w="3481" w:type="dxa"/>
                  <w:shd w:val="clear" w:color="auto" w:fill="auto"/>
                  <w:vAlign w:val="center"/>
                </w:tcPr>
                <w:p w14:paraId="4B8824E3">
                  <w:pPr>
                    <w:autoSpaceDE w:val="0"/>
                    <w:autoSpaceDN w:val="0"/>
                    <w:adjustRightInd w:val="0"/>
                    <w:spacing w:line="260" w:lineRule="exact"/>
                    <w:jc w:val="center"/>
                    <w:rPr>
                      <w:rFonts w:ascii="Times New Roman" w:hAnsi="Times New Roman" w:eastAsia="宋体" w:cs="Times New Roman"/>
                      <w:i/>
                      <w:iCs/>
                      <w:color w:val="auto"/>
                      <w:kern w:val="0"/>
                      <w:sz w:val="21"/>
                      <w:szCs w:val="21"/>
                      <w:highlight w:val="none"/>
                      <w:u w:val="single"/>
                      <w:lang w:val="en-US" w:eastAsia="zh-CN" w:bidi="ar-SA"/>
                    </w:rPr>
                  </w:pPr>
                  <w:r>
                    <w:rPr>
                      <w:i/>
                      <w:iCs/>
                      <w:color w:val="auto"/>
                      <w:kern w:val="0"/>
                      <w:szCs w:val="21"/>
                      <w:highlight w:val="none"/>
                      <w:u w:val="single"/>
                    </w:rPr>
                    <w:t>葡萄糖测定试剂盒</w:t>
                  </w:r>
                </w:p>
              </w:tc>
              <w:tc>
                <w:tcPr>
                  <w:tcW w:w="1463" w:type="dxa"/>
                  <w:shd w:val="clear" w:color="auto" w:fill="auto"/>
                  <w:vAlign w:val="center"/>
                </w:tcPr>
                <w:p w14:paraId="24496ABC">
                  <w:pPr>
                    <w:autoSpaceDE w:val="0"/>
                    <w:autoSpaceDN w:val="0"/>
                    <w:adjustRightInd w:val="0"/>
                    <w:spacing w:line="260" w:lineRule="exact"/>
                    <w:jc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w:t>
                  </w:r>
                </w:p>
              </w:tc>
              <w:tc>
                <w:tcPr>
                  <w:tcW w:w="1217" w:type="dxa"/>
                  <w:shd w:val="clear" w:color="auto" w:fill="auto"/>
                  <w:vAlign w:val="center"/>
                </w:tcPr>
                <w:p w14:paraId="0641ACF7">
                  <w:pPr>
                    <w:autoSpaceDE w:val="0"/>
                    <w:autoSpaceDN w:val="0"/>
                    <w:adjustRightInd w:val="0"/>
                    <w:spacing w:line="260" w:lineRule="exact"/>
                    <w:jc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盒</w:t>
                  </w:r>
                </w:p>
              </w:tc>
              <w:tc>
                <w:tcPr>
                  <w:tcW w:w="1250" w:type="dxa"/>
                  <w:gridSpan w:val="2"/>
                  <w:shd w:val="clear" w:color="auto" w:fill="auto"/>
                  <w:vAlign w:val="center"/>
                </w:tcPr>
                <w:p w14:paraId="7058D4D3">
                  <w:pPr>
                    <w:autoSpaceDE w:val="0"/>
                    <w:autoSpaceDN w:val="0"/>
                    <w:adjustRightInd w:val="0"/>
                    <w:spacing w:line="260" w:lineRule="exact"/>
                    <w:jc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6</w:t>
                  </w:r>
                </w:p>
              </w:tc>
            </w:tr>
            <w:tr w14:paraId="2228FE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shd w:val="clear" w:color="auto" w:fill="auto"/>
                  <w:vAlign w:val="center"/>
                </w:tcPr>
                <w:p w14:paraId="4756F22E">
                  <w:pPr>
                    <w:autoSpaceDE w:val="0"/>
                    <w:autoSpaceDN w:val="0"/>
                    <w:adjustRightInd w:val="0"/>
                    <w:spacing w:line="260" w:lineRule="exact"/>
                    <w:jc w:val="center"/>
                    <w:rPr>
                      <w:rFonts w:ascii="Times New Roman" w:hAnsi="Times New Roman" w:eastAsia="宋体" w:cs="Times New Roman"/>
                      <w:i/>
                      <w:iCs/>
                      <w:color w:val="auto"/>
                      <w:kern w:val="0"/>
                      <w:sz w:val="21"/>
                      <w:szCs w:val="21"/>
                      <w:highlight w:val="none"/>
                      <w:u w:val="single"/>
                      <w:lang w:val="en-US" w:eastAsia="zh-CN" w:bidi="ar-SA"/>
                    </w:rPr>
                  </w:pPr>
                  <w:r>
                    <w:rPr>
                      <w:i/>
                      <w:iCs/>
                      <w:color w:val="auto"/>
                      <w:kern w:val="0"/>
                      <w:szCs w:val="21"/>
                      <w:highlight w:val="none"/>
                      <w:u w:val="single"/>
                    </w:rPr>
                    <w:t>4</w:t>
                  </w:r>
                </w:p>
              </w:tc>
              <w:tc>
                <w:tcPr>
                  <w:tcW w:w="3481" w:type="dxa"/>
                  <w:shd w:val="clear" w:color="auto" w:fill="auto"/>
                  <w:vAlign w:val="center"/>
                </w:tcPr>
                <w:p w14:paraId="3ACF3CD2">
                  <w:pPr>
                    <w:autoSpaceDE w:val="0"/>
                    <w:autoSpaceDN w:val="0"/>
                    <w:adjustRightInd w:val="0"/>
                    <w:spacing w:line="260" w:lineRule="exact"/>
                    <w:jc w:val="center"/>
                    <w:rPr>
                      <w:rFonts w:ascii="Times New Roman" w:hAnsi="Times New Roman" w:eastAsia="宋体" w:cs="Times New Roman"/>
                      <w:i/>
                      <w:iCs/>
                      <w:color w:val="auto"/>
                      <w:kern w:val="0"/>
                      <w:sz w:val="21"/>
                      <w:szCs w:val="21"/>
                      <w:highlight w:val="none"/>
                      <w:u w:val="single"/>
                      <w:lang w:val="en-US" w:eastAsia="zh-CN" w:bidi="ar-SA"/>
                    </w:rPr>
                  </w:pPr>
                  <w:r>
                    <w:rPr>
                      <w:i/>
                      <w:iCs/>
                      <w:color w:val="auto"/>
                      <w:kern w:val="0"/>
                      <w:szCs w:val="21"/>
                      <w:highlight w:val="none"/>
                      <w:u w:val="single"/>
                    </w:rPr>
                    <w:t>肌酐测定试剂</w:t>
                  </w:r>
                </w:p>
              </w:tc>
              <w:tc>
                <w:tcPr>
                  <w:tcW w:w="1463" w:type="dxa"/>
                  <w:shd w:val="clear" w:color="auto" w:fill="auto"/>
                  <w:vAlign w:val="center"/>
                </w:tcPr>
                <w:p w14:paraId="3820E68A">
                  <w:pPr>
                    <w:autoSpaceDE w:val="0"/>
                    <w:autoSpaceDN w:val="0"/>
                    <w:adjustRightInd w:val="0"/>
                    <w:spacing w:line="260" w:lineRule="exact"/>
                    <w:jc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w:t>
                  </w:r>
                </w:p>
              </w:tc>
              <w:tc>
                <w:tcPr>
                  <w:tcW w:w="1217" w:type="dxa"/>
                  <w:shd w:val="clear" w:color="auto" w:fill="auto"/>
                  <w:vAlign w:val="center"/>
                </w:tcPr>
                <w:p w14:paraId="29FE3E77">
                  <w:pPr>
                    <w:autoSpaceDE w:val="0"/>
                    <w:autoSpaceDN w:val="0"/>
                    <w:adjustRightInd w:val="0"/>
                    <w:spacing w:line="260" w:lineRule="exact"/>
                    <w:jc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盒</w:t>
                  </w:r>
                </w:p>
              </w:tc>
              <w:tc>
                <w:tcPr>
                  <w:tcW w:w="1250" w:type="dxa"/>
                  <w:gridSpan w:val="2"/>
                  <w:shd w:val="clear" w:color="auto" w:fill="auto"/>
                  <w:vAlign w:val="center"/>
                </w:tcPr>
                <w:p w14:paraId="0AF4D895">
                  <w:pPr>
                    <w:autoSpaceDE w:val="0"/>
                    <w:autoSpaceDN w:val="0"/>
                    <w:adjustRightInd w:val="0"/>
                    <w:spacing w:line="260" w:lineRule="exact"/>
                    <w:jc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6</w:t>
                  </w:r>
                </w:p>
              </w:tc>
            </w:tr>
            <w:tr w14:paraId="7A97D9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shd w:val="clear" w:color="auto" w:fill="auto"/>
                  <w:vAlign w:val="center"/>
                </w:tcPr>
                <w:p w14:paraId="05519409">
                  <w:pPr>
                    <w:autoSpaceDE w:val="0"/>
                    <w:autoSpaceDN w:val="0"/>
                    <w:adjustRightInd w:val="0"/>
                    <w:spacing w:line="260" w:lineRule="exact"/>
                    <w:jc w:val="center"/>
                    <w:rPr>
                      <w:rFonts w:ascii="Times New Roman" w:hAnsi="Times New Roman" w:eastAsia="宋体" w:cs="Times New Roman"/>
                      <w:i/>
                      <w:iCs/>
                      <w:color w:val="auto"/>
                      <w:kern w:val="0"/>
                      <w:sz w:val="21"/>
                      <w:szCs w:val="21"/>
                      <w:highlight w:val="none"/>
                      <w:u w:val="single"/>
                      <w:lang w:val="en-US" w:eastAsia="zh-CN" w:bidi="ar-SA"/>
                    </w:rPr>
                  </w:pPr>
                  <w:r>
                    <w:rPr>
                      <w:i/>
                      <w:iCs/>
                      <w:color w:val="auto"/>
                      <w:kern w:val="0"/>
                      <w:szCs w:val="21"/>
                      <w:highlight w:val="none"/>
                      <w:u w:val="single"/>
                    </w:rPr>
                    <w:t>5</w:t>
                  </w:r>
                </w:p>
              </w:tc>
              <w:tc>
                <w:tcPr>
                  <w:tcW w:w="3481" w:type="dxa"/>
                  <w:shd w:val="clear" w:color="auto" w:fill="auto"/>
                  <w:vAlign w:val="center"/>
                </w:tcPr>
                <w:p w14:paraId="09FB8C21">
                  <w:pPr>
                    <w:autoSpaceDE w:val="0"/>
                    <w:autoSpaceDN w:val="0"/>
                    <w:adjustRightInd w:val="0"/>
                    <w:spacing w:line="260" w:lineRule="exact"/>
                    <w:jc w:val="center"/>
                    <w:rPr>
                      <w:rFonts w:ascii="Times New Roman" w:hAnsi="Times New Roman" w:eastAsia="宋体" w:cs="Times New Roman"/>
                      <w:i/>
                      <w:iCs/>
                      <w:color w:val="auto"/>
                      <w:kern w:val="0"/>
                      <w:sz w:val="21"/>
                      <w:szCs w:val="21"/>
                      <w:highlight w:val="none"/>
                      <w:u w:val="single"/>
                      <w:lang w:val="en-US" w:eastAsia="zh-CN" w:bidi="ar-SA"/>
                    </w:rPr>
                  </w:pPr>
                  <w:r>
                    <w:rPr>
                      <w:i/>
                      <w:iCs/>
                      <w:color w:val="auto"/>
                      <w:kern w:val="0"/>
                      <w:szCs w:val="21"/>
                      <w:highlight w:val="none"/>
                      <w:u w:val="single"/>
                    </w:rPr>
                    <w:t>丙氨酸氨基转移酶测定试剂盒</w:t>
                  </w:r>
                </w:p>
              </w:tc>
              <w:tc>
                <w:tcPr>
                  <w:tcW w:w="1463" w:type="dxa"/>
                  <w:shd w:val="clear" w:color="auto" w:fill="auto"/>
                  <w:vAlign w:val="center"/>
                </w:tcPr>
                <w:p w14:paraId="66CAA1AC">
                  <w:pPr>
                    <w:autoSpaceDE w:val="0"/>
                    <w:autoSpaceDN w:val="0"/>
                    <w:adjustRightInd w:val="0"/>
                    <w:spacing w:line="260" w:lineRule="exact"/>
                    <w:jc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w:t>
                  </w:r>
                </w:p>
              </w:tc>
              <w:tc>
                <w:tcPr>
                  <w:tcW w:w="1217" w:type="dxa"/>
                  <w:shd w:val="clear" w:color="auto" w:fill="auto"/>
                  <w:vAlign w:val="center"/>
                </w:tcPr>
                <w:p w14:paraId="0C9BD8AF">
                  <w:pPr>
                    <w:autoSpaceDE w:val="0"/>
                    <w:autoSpaceDN w:val="0"/>
                    <w:adjustRightInd w:val="0"/>
                    <w:spacing w:line="260" w:lineRule="exact"/>
                    <w:jc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盒</w:t>
                  </w:r>
                </w:p>
              </w:tc>
              <w:tc>
                <w:tcPr>
                  <w:tcW w:w="1250" w:type="dxa"/>
                  <w:gridSpan w:val="2"/>
                  <w:shd w:val="clear" w:color="auto" w:fill="auto"/>
                  <w:vAlign w:val="center"/>
                </w:tcPr>
                <w:p w14:paraId="4FA683C2">
                  <w:pPr>
                    <w:autoSpaceDE w:val="0"/>
                    <w:autoSpaceDN w:val="0"/>
                    <w:adjustRightInd w:val="0"/>
                    <w:spacing w:line="260" w:lineRule="exact"/>
                    <w:jc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6</w:t>
                  </w:r>
                </w:p>
              </w:tc>
            </w:tr>
            <w:tr w14:paraId="39C8EB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shd w:val="clear" w:color="auto" w:fill="auto"/>
                  <w:vAlign w:val="center"/>
                </w:tcPr>
                <w:p w14:paraId="731F9541">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6</w:t>
                  </w:r>
                </w:p>
              </w:tc>
              <w:tc>
                <w:tcPr>
                  <w:tcW w:w="3481" w:type="dxa"/>
                  <w:shd w:val="clear" w:color="auto" w:fill="auto"/>
                  <w:vAlign w:val="center"/>
                </w:tcPr>
                <w:p w14:paraId="1DADD1EE">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天门冬氨酸氨基转移酶测定试剂盒</w:t>
                  </w:r>
                </w:p>
              </w:tc>
              <w:tc>
                <w:tcPr>
                  <w:tcW w:w="1463" w:type="dxa"/>
                  <w:shd w:val="clear" w:color="auto" w:fill="auto"/>
                  <w:vAlign w:val="center"/>
                </w:tcPr>
                <w:p w14:paraId="305B5FEB">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shd w:val="clear" w:color="auto" w:fill="auto"/>
                  <w:vAlign w:val="center"/>
                </w:tcPr>
                <w:p w14:paraId="3C7B86A6">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shd w:val="clear" w:color="auto" w:fill="auto"/>
                  <w:vAlign w:val="center"/>
                </w:tcPr>
                <w:p w14:paraId="69E964B2">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6</w:t>
                  </w:r>
                </w:p>
              </w:tc>
            </w:tr>
            <w:tr w14:paraId="1A80B1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shd w:val="clear" w:color="auto" w:fill="auto"/>
                </w:tcPr>
                <w:p w14:paraId="6BEE9BF4">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c>
                <w:tcPr>
                  <w:tcW w:w="3481" w:type="dxa"/>
                  <w:shd w:val="clear" w:color="auto" w:fill="auto"/>
                  <w:vAlign w:val="center"/>
                </w:tcPr>
                <w:p w14:paraId="3BE1C2FF">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Y-谷氨酰转移酶试剂盒</w:t>
                  </w:r>
                </w:p>
              </w:tc>
              <w:tc>
                <w:tcPr>
                  <w:tcW w:w="1463" w:type="dxa"/>
                  <w:shd w:val="clear" w:color="auto" w:fill="auto"/>
                </w:tcPr>
                <w:p w14:paraId="5F028514">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shd w:val="clear" w:color="auto" w:fill="auto"/>
                </w:tcPr>
                <w:p w14:paraId="7EB8454D">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shd w:val="clear" w:color="auto" w:fill="auto"/>
                  <w:vAlign w:val="center"/>
                </w:tcPr>
                <w:p w14:paraId="7E479088">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3</w:t>
                  </w:r>
                </w:p>
              </w:tc>
            </w:tr>
            <w:tr w14:paraId="3AFBEE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shd w:val="clear" w:color="auto" w:fill="auto"/>
                </w:tcPr>
                <w:p w14:paraId="5624BFAD">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8</w:t>
                  </w:r>
                </w:p>
              </w:tc>
              <w:tc>
                <w:tcPr>
                  <w:tcW w:w="3481" w:type="dxa"/>
                  <w:shd w:val="clear" w:color="auto" w:fill="auto"/>
                  <w:vAlign w:val="center"/>
                </w:tcPr>
                <w:p w14:paraId="5ADA3872">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碱性磷酸酶测定试剂盒</w:t>
                  </w:r>
                </w:p>
              </w:tc>
              <w:tc>
                <w:tcPr>
                  <w:tcW w:w="1463" w:type="dxa"/>
                  <w:shd w:val="clear" w:color="auto" w:fill="auto"/>
                </w:tcPr>
                <w:p w14:paraId="00B45D23">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shd w:val="clear" w:color="auto" w:fill="auto"/>
                </w:tcPr>
                <w:p w14:paraId="2265B486">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shd w:val="clear" w:color="auto" w:fill="auto"/>
                  <w:vAlign w:val="center"/>
                </w:tcPr>
                <w:p w14:paraId="32CB43FC">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3</w:t>
                  </w:r>
                </w:p>
              </w:tc>
            </w:tr>
            <w:tr w14:paraId="40F595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6DFC85A8">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9</w:t>
                  </w:r>
                </w:p>
              </w:tc>
              <w:tc>
                <w:tcPr>
                  <w:tcW w:w="3481" w:type="dxa"/>
                  <w:shd w:val="clear" w:color="auto" w:fill="auto"/>
                  <w:vAlign w:val="center"/>
                </w:tcPr>
                <w:p w14:paraId="0BA0771E">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总胆红素测定试剂盒</w:t>
                  </w:r>
                </w:p>
              </w:tc>
              <w:tc>
                <w:tcPr>
                  <w:tcW w:w="1463" w:type="dxa"/>
                </w:tcPr>
                <w:p w14:paraId="260681C2">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62ACAA5E">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1510CF83">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332267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287A0E71">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10</w:t>
                  </w:r>
                </w:p>
              </w:tc>
              <w:tc>
                <w:tcPr>
                  <w:tcW w:w="3481" w:type="dxa"/>
                  <w:shd w:val="clear" w:color="auto" w:fill="auto"/>
                  <w:vAlign w:val="center"/>
                </w:tcPr>
                <w:p w14:paraId="6D88CD6E">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直接胆红素测定试剂盒</w:t>
                  </w:r>
                </w:p>
              </w:tc>
              <w:tc>
                <w:tcPr>
                  <w:tcW w:w="1463" w:type="dxa"/>
                </w:tcPr>
                <w:p w14:paraId="343DE0A2">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44DF8171">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4D7596AE">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735A13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49F32916">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11</w:t>
                  </w:r>
                </w:p>
              </w:tc>
              <w:tc>
                <w:tcPr>
                  <w:tcW w:w="3481" w:type="dxa"/>
                  <w:shd w:val="clear" w:color="auto" w:fill="auto"/>
                  <w:vAlign w:val="center"/>
                </w:tcPr>
                <w:p w14:paraId="107BFFE5">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总胆固醇测定试剂盒</w:t>
                  </w:r>
                </w:p>
              </w:tc>
              <w:tc>
                <w:tcPr>
                  <w:tcW w:w="1463" w:type="dxa"/>
                </w:tcPr>
                <w:p w14:paraId="0014B1F0">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34FAEB14">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19191C2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41FD73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61A56851">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12</w:t>
                  </w:r>
                </w:p>
              </w:tc>
              <w:tc>
                <w:tcPr>
                  <w:tcW w:w="3481" w:type="dxa"/>
                  <w:shd w:val="clear" w:color="auto" w:fill="auto"/>
                  <w:vAlign w:val="center"/>
                </w:tcPr>
                <w:p w14:paraId="219FD8C0">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甘油三酯测定试剂盒</w:t>
                  </w:r>
                </w:p>
              </w:tc>
              <w:tc>
                <w:tcPr>
                  <w:tcW w:w="1463" w:type="dxa"/>
                </w:tcPr>
                <w:p w14:paraId="0C4AF1C1">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32292ED7">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70F6AAA5">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129DD2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333778B5">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13</w:t>
                  </w:r>
                </w:p>
              </w:tc>
              <w:tc>
                <w:tcPr>
                  <w:tcW w:w="3481" w:type="dxa"/>
                  <w:shd w:val="clear" w:color="auto" w:fill="auto"/>
                  <w:vAlign w:val="center"/>
                </w:tcPr>
                <w:p w14:paraId="721E93EA">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低密度脂蛋白胆固醇检测试剂盒</w:t>
                  </w:r>
                </w:p>
              </w:tc>
              <w:tc>
                <w:tcPr>
                  <w:tcW w:w="1463" w:type="dxa"/>
                </w:tcPr>
                <w:p w14:paraId="1A1D61E2">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7440E7E6">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790D69B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699B3A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4B92C91A">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14</w:t>
                  </w:r>
                </w:p>
              </w:tc>
              <w:tc>
                <w:tcPr>
                  <w:tcW w:w="3481" w:type="dxa"/>
                  <w:shd w:val="clear" w:color="auto" w:fill="auto"/>
                  <w:vAlign w:val="center"/>
                </w:tcPr>
                <w:p w14:paraId="5939BC1E">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高密度脂蛋白胆固醇测定试剂盒</w:t>
                  </w:r>
                </w:p>
              </w:tc>
              <w:tc>
                <w:tcPr>
                  <w:tcW w:w="1463" w:type="dxa"/>
                </w:tcPr>
                <w:p w14:paraId="16F2A44A">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7595791B">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0253F2EE">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008934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0312ABA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15</w:t>
                  </w:r>
                </w:p>
              </w:tc>
              <w:tc>
                <w:tcPr>
                  <w:tcW w:w="3481" w:type="dxa"/>
                  <w:shd w:val="clear" w:color="auto" w:fill="auto"/>
                  <w:vAlign w:val="center"/>
                </w:tcPr>
                <w:p w14:paraId="7E50336E">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总胆汁酸测定试剂盒</w:t>
                  </w:r>
                </w:p>
              </w:tc>
              <w:tc>
                <w:tcPr>
                  <w:tcW w:w="1463" w:type="dxa"/>
                </w:tcPr>
                <w:p w14:paraId="65D1F647">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42E1E12D">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6E885DF3">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3BA7DB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2AC244D8">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16</w:t>
                  </w:r>
                </w:p>
              </w:tc>
              <w:tc>
                <w:tcPr>
                  <w:tcW w:w="3481" w:type="dxa"/>
                  <w:shd w:val="clear" w:color="auto" w:fill="auto"/>
                  <w:vAlign w:val="center"/>
                </w:tcPr>
                <w:p w14:paraId="79D7ED21">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尿素测定试剂盒</w:t>
                  </w:r>
                </w:p>
              </w:tc>
              <w:tc>
                <w:tcPr>
                  <w:tcW w:w="1463" w:type="dxa"/>
                </w:tcPr>
                <w:p w14:paraId="6BB10E73">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028432F7">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24A3D17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45276F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318CBA74">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17</w:t>
                  </w:r>
                </w:p>
              </w:tc>
              <w:tc>
                <w:tcPr>
                  <w:tcW w:w="3481" w:type="dxa"/>
                  <w:shd w:val="clear" w:color="auto" w:fill="auto"/>
                  <w:vAlign w:val="center"/>
                </w:tcPr>
                <w:p w14:paraId="7ED9B75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尿酸试剂盒</w:t>
                  </w:r>
                </w:p>
              </w:tc>
              <w:tc>
                <w:tcPr>
                  <w:tcW w:w="1463" w:type="dxa"/>
                </w:tcPr>
                <w:p w14:paraId="015BCEEA">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3A1DAAF8">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1F34BC45">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3</w:t>
                  </w:r>
                </w:p>
              </w:tc>
            </w:tr>
            <w:tr w14:paraId="2D59DF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14F2D8D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18</w:t>
                  </w:r>
                </w:p>
              </w:tc>
              <w:tc>
                <w:tcPr>
                  <w:tcW w:w="3481" w:type="dxa"/>
                  <w:shd w:val="clear" w:color="auto" w:fill="auto"/>
                  <w:vAlign w:val="center"/>
                </w:tcPr>
                <w:p w14:paraId="4375B062">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乳酸脱氢酶</w:t>
                  </w:r>
                </w:p>
              </w:tc>
              <w:tc>
                <w:tcPr>
                  <w:tcW w:w="1463" w:type="dxa"/>
                </w:tcPr>
                <w:p w14:paraId="14FC783F">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349DB7CB">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21A0B55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3</w:t>
                  </w:r>
                </w:p>
              </w:tc>
            </w:tr>
            <w:tr w14:paraId="13F791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6BE2750C">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19</w:t>
                  </w:r>
                </w:p>
              </w:tc>
              <w:tc>
                <w:tcPr>
                  <w:tcW w:w="3481" w:type="dxa"/>
                  <w:shd w:val="clear" w:color="auto" w:fill="auto"/>
                  <w:vAlign w:val="center"/>
                </w:tcPr>
                <w:p w14:paraId="69B1301D">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胆碱酯酶</w:t>
                  </w:r>
                </w:p>
              </w:tc>
              <w:tc>
                <w:tcPr>
                  <w:tcW w:w="1463" w:type="dxa"/>
                </w:tcPr>
                <w:p w14:paraId="4D8FB1F5">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1CAAF3A6">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6551F381">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3</w:t>
                  </w:r>
                </w:p>
              </w:tc>
            </w:tr>
            <w:tr w14:paraId="1A5FC0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1B9B7BD4">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20</w:t>
                  </w:r>
                </w:p>
              </w:tc>
              <w:tc>
                <w:tcPr>
                  <w:tcW w:w="3481" w:type="dxa"/>
                  <w:shd w:val="clear" w:color="auto" w:fill="auto"/>
                  <w:vAlign w:val="center"/>
                </w:tcPr>
                <w:p w14:paraId="36EA246C">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总蛋白</w:t>
                  </w:r>
                </w:p>
              </w:tc>
              <w:tc>
                <w:tcPr>
                  <w:tcW w:w="1463" w:type="dxa"/>
                </w:tcPr>
                <w:p w14:paraId="4F8403BF">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16909F4A">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453B98BF">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520740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03" w:type="dxa"/>
                </w:tcPr>
                <w:p w14:paraId="6666557D">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21</w:t>
                  </w:r>
                </w:p>
              </w:tc>
              <w:tc>
                <w:tcPr>
                  <w:tcW w:w="3481" w:type="dxa"/>
                  <w:shd w:val="clear" w:color="auto" w:fill="auto"/>
                  <w:vAlign w:val="center"/>
                </w:tcPr>
                <w:p w14:paraId="7EEA7D37">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白蛋白</w:t>
                  </w:r>
                </w:p>
              </w:tc>
              <w:tc>
                <w:tcPr>
                  <w:tcW w:w="1463" w:type="dxa"/>
                </w:tcPr>
                <w:p w14:paraId="04D29AE6">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Pr>
                <w:p w14:paraId="1E8D1D08">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盒</w:t>
                  </w:r>
                </w:p>
              </w:tc>
              <w:tc>
                <w:tcPr>
                  <w:tcW w:w="1250" w:type="dxa"/>
                  <w:gridSpan w:val="2"/>
                  <w:vAlign w:val="center"/>
                </w:tcPr>
                <w:p w14:paraId="269F8D94">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w:t>
                  </w:r>
                </w:p>
              </w:tc>
            </w:tr>
            <w:tr w14:paraId="485D16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trPr>
              <w:tc>
                <w:tcPr>
                  <w:tcW w:w="1003" w:type="dxa"/>
                  <w:tcBorders>
                    <w:tl2br w:val="nil"/>
                    <w:tr2bl w:val="nil"/>
                  </w:tcBorders>
                  <w:vAlign w:val="center"/>
                </w:tcPr>
                <w:p w14:paraId="7B350CC1">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7</w:t>
                  </w:r>
                </w:p>
              </w:tc>
              <w:tc>
                <w:tcPr>
                  <w:tcW w:w="3481" w:type="dxa"/>
                  <w:tcBorders>
                    <w:tl2br w:val="nil"/>
                    <w:tr2bl w:val="nil"/>
                  </w:tcBorders>
                  <w:vAlign w:val="center"/>
                </w:tcPr>
                <w:p w14:paraId="3D373A3B">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护理包</w:t>
                  </w:r>
                </w:p>
              </w:tc>
              <w:tc>
                <w:tcPr>
                  <w:tcW w:w="1463" w:type="dxa"/>
                  <w:tcBorders>
                    <w:tl2br w:val="nil"/>
                    <w:tr2bl w:val="nil"/>
                  </w:tcBorders>
                  <w:vAlign w:val="center"/>
                </w:tcPr>
                <w:p w14:paraId="0AC1B57D">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w:t>
                  </w:r>
                </w:p>
              </w:tc>
              <w:tc>
                <w:tcPr>
                  <w:tcW w:w="1217" w:type="dxa"/>
                  <w:tcBorders>
                    <w:tl2br w:val="nil"/>
                    <w:tr2bl w:val="nil"/>
                  </w:tcBorders>
                  <w:vAlign w:val="center"/>
                </w:tcPr>
                <w:p w14:paraId="445C3DE6">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套/年</w:t>
                  </w:r>
                </w:p>
              </w:tc>
              <w:tc>
                <w:tcPr>
                  <w:tcW w:w="1244" w:type="dxa"/>
                  <w:tcBorders>
                    <w:tl2br w:val="nil"/>
                    <w:tr2bl w:val="nil"/>
                  </w:tcBorders>
                  <w:vAlign w:val="center"/>
                </w:tcPr>
                <w:p w14:paraId="21BF70F4">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73000</w:t>
                  </w:r>
                </w:p>
              </w:tc>
            </w:tr>
            <w:tr w14:paraId="233346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Pr>
              <w:tc>
                <w:tcPr>
                  <w:tcW w:w="1003" w:type="dxa"/>
                  <w:tcBorders>
                    <w:tl2br w:val="nil"/>
                    <w:tr2bl w:val="nil"/>
                  </w:tcBorders>
                  <w:vAlign w:val="center"/>
                </w:tcPr>
                <w:p w14:paraId="363B18F4">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8</w:t>
                  </w:r>
                </w:p>
              </w:tc>
              <w:tc>
                <w:tcPr>
                  <w:tcW w:w="3481" w:type="dxa"/>
                  <w:tcBorders>
                    <w:tl2br w:val="nil"/>
                    <w:tr2bl w:val="nil"/>
                  </w:tcBorders>
                  <w:vAlign w:val="center"/>
                </w:tcPr>
                <w:p w14:paraId="14390E07">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输液器</w:t>
                  </w:r>
                </w:p>
              </w:tc>
              <w:tc>
                <w:tcPr>
                  <w:tcW w:w="1463" w:type="dxa"/>
                  <w:tcBorders>
                    <w:tl2br w:val="nil"/>
                    <w:tr2bl w:val="nil"/>
                  </w:tcBorders>
                  <w:vAlign w:val="center"/>
                </w:tcPr>
                <w:p w14:paraId="6BDBDDA9">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w:t>
                  </w:r>
                </w:p>
              </w:tc>
              <w:tc>
                <w:tcPr>
                  <w:tcW w:w="1217" w:type="dxa"/>
                  <w:tcBorders>
                    <w:tl2br w:val="nil"/>
                    <w:tr2bl w:val="nil"/>
                  </w:tcBorders>
                  <w:vAlign w:val="center"/>
                </w:tcPr>
                <w:p w14:paraId="6CD3824B">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套/年</w:t>
                  </w:r>
                </w:p>
              </w:tc>
              <w:tc>
                <w:tcPr>
                  <w:tcW w:w="1244" w:type="dxa"/>
                  <w:tcBorders>
                    <w:tl2br w:val="nil"/>
                    <w:tr2bl w:val="nil"/>
                  </w:tcBorders>
                  <w:vAlign w:val="center"/>
                </w:tcPr>
                <w:p w14:paraId="093A78A7">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73000</w:t>
                  </w:r>
                </w:p>
              </w:tc>
            </w:tr>
            <w:tr w14:paraId="166083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Pr>
              <w:tc>
                <w:tcPr>
                  <w:tcW w:w="1003" w:type="dxa"/>
                  <w:tcBorders>
                    <w:tl2br w:val="nil"/>
                    <w:tr2bl w:val="nil"/>
                  </w:tcBorders>
                  <w:vAlign w:val="center"/>
                </w:tcPr>
                <w:p w14:paraId="0122BB4B">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9</w:t>
                  </w:r>
                </w:p>
              </w:tc>
              <w:tc>
                <w:tcPr>
                  <w:tcW w:w="3481" w:type="dxa"/>
                  <w:tcBorders>
                    <w:tl2br w:val="nil"/>
                    <w:tr2bl w:val="nil"/>
                  </w:tcBorders>
                  <w:vAlign w:val="center"/>
                </w:tcPr>
                <w:p w14:paraId="2C77D5FC">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抗凝剂</w:t>
                  </w:r>
                </w:p>
              </w:tc>
              <w:tc>
                <w:tcPr>
                  <w:tcW w:w="1463" w:type="dxa"/>
                  <w:tcBorders>
                    <w:tl2br w:val="nil"/>
                    <w:tr2bl w:val="nil"/>
                  </w:tcBorders>
                  <w:vAlign w:val="center"/>
                </w:tcPr>
                <w:p w14:paraId="0C58DEB2">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w:t>
                  </w:r>
                </w:p>
              </w:tc>
              <w:tc>
                <w:tcPr>
                  <w:tcW w:w="1217" w:type="dxa"/>
                  <w:tcBorders>
                    <w:tl2br w:val="nil"/>
                    <w:tr2bl w:val="nil"/>
                  </w:tcBorders>
                  <w:vAlign w:val="center"/>
                </w:tcPr>
                <w:p w14:paraId="48640FD8">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支</w:t>
                  </w:r>
                  <w:r>
                    <w:rPr>
                      <w:rFonts w:hint="eastAsia"/>
                      <w:i/>
                      <w:iCs/>
                      <w:color w:val="auto"/>
                      <w:kern w:val="0"/>
                      <w:szCs w:val="21"/>
                      <w:highlight w:val="none"/>
                      <w:u w:val="single"/>
                    </w:rPr>
                    <w:t>/年</w:t>
                  </w:r>
                </w:p>
              </w:tc>
              <w:tc>
                <w:tcPr>
                  <w:tcW w:w="1244" w:type="dxa"/>
                  <w:tcBorders>
                    <w:tl2br w:val="nil"/>
                    <w:tr2bl w:val="nil"/>
                  </w:tcBorders>
                  <w:vAlign w:val="center"/>
                </w:tcPr>
                <w:p w14:paraId="41C0A401">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73000</w:t>
                  </w:r>
                </w:p>
              </w:tc>
            </w:tr>
            <w:tr w14:paraId="6E18DF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Pr>
              <w:tc>
                <w:tcPr>
                  <w:tcW w:w="1003" w:type="dxa"/>
                  <w:tcBorders>
                    <w:tl2br w:val="nil"/>
                    <w:tr2bl w:val="nil"/>
                  </w:tcBorders>
                  <w:vAlign w:val="center"/>
                </w:tcPr>
                <w:p w14:paraId="0FB29CA1">
                  <w:pPr>
                    <w:autoSpaceDE w:val="0"/>
                    <w:autoSpaceDN w:val="0"/>
                    <w:adjustRightInd w:val="0"/>
                    <w:spacing w:line="260" w:lineRule="exact"/>
                    <w:jc w:val="center"/>
                    <w:rPr>
                      <w:i/>
                      <w:iCs/>
                      <w:color w:val="auto"/>
                      <w:kern w:val="0"/>
                      <w:szCs w:val="21"/>
                      <w:highlight w:val="none"/>
                      <w:u w:val="single"/>
                    </w:rPr>
                  </w:pPr>
                  <w:r>
                    <w:rPr>
                      <w:i/>
                      <w:iCs/>
                      <w:color w:val="auto"/>
                      <w:kern w:val="0"/>
                      <w:szCs w:val="21"/>
                      <w:highlight w:val="none"/>
                      <w:u w:val="single"/>
                    </w:rPr>
                    <w:t>1</w:t>
                  </w:r>
                  <w:r>
                    <w:rPr>
                      <w:rFonts w:hint="eastAsia"/>
                      <w:i/>
                      <w:iCs/>
                      <w:color w:val="auto"/>
                      <w:kern w:val="0"/>
                      <w:szCs w:val="21"/>
                      <w:highlight w:val="none"/>
                      <w:u w:val="single"/>
                    </w:rPr>
                    <w:t>0</w:t>
                  </w:r>
                </w:p>
              </w:tc>
              <w:tc>
                <w:tcPr>
                  <w:tcW w:w="3481" w:type="dxa"/>
                  <w:tcBorders>
                    <w:tl2br w:val="nil"/>
                    <w:tr2bl w:val="nil"/>
                  </w:tcBorders>
                  <w:vAlign w:val="center"/>
                </w:tcPr>
                <w:p w14:paraId="522F8B6D">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次氯酸钠</w:t>
                  </w:r>
                </w:p>
              </w:tc>
              <w:tc>
                <w:tcPr>
                  <w:tcW w:w="1463" w:type="dxa"/>
                  <w:tcBorders>
                    <w:tl2br w:val="nil"/>
                    <w:tr2bl w:val="nil"/>
                  </w:tcBorders>
                  <w:vAlign w:val="center"/>
                </w:tcPr>
                <w:p w14:paraId="0504C49F">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Borders>
                    <w:tl2br w:val="nil"/>
                    <w:tr2bl w:val="nil"/>
                  </w:tcBorders>
                  <w:vAlign w:val="center"/>
                </w:tcPr>
                <w:p w14:paraId="22F7AA15">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吨/年</w:t>
                  </w:r>
                </w:p>
              </w:tc>
              <w:tc>
                <w:tcPr>
                  <w:tcW w:w="1244" w:type="dxa"/>
                  <w:tcBorders>
                    <w:tl2br w:val="nil"/>
                    <w:tr2bl w:val="nil"/>
                  </w:tcBorders>
                  <w:vAlign w:val="center"/>
                </w:tcPr>
                <w:p w14:paraId="1244A273">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7.6</w:t>
                  </w:r>
                </w:p>
              </w:tc>
            </w:tr>
            <w:tr w14:paraId="288F45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Pr>
              <w:tc>
                <w:tcPr>
                  <w:tcW w:w="1003" w:type="dxa"/>
                  <w:tcBorders>
                    <w:tl2br w:val="nil"/>
                    <w:tr2bl w:val="nil"/>
                  </w:tcBorders>
                  <w:vAlign w:val="center"/>
                </w:tcPr>
                <w:p w14:paraId="4B4ECD5C">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11</w:t>
                  </w:r>
                </w:p>
              </w:tc>
              <w:tc>
                <w:tcPr>
                  <w:tcW w:w="3481" w:type="dxa"/>
                  <w:tcBorders>
                    <w:tl2br w:val="nil"/>
                    <w:tr2bl w:val="nil"/>
                  </w:tcBorders>
                  <w:vAlign w:val="center"/>
                </w:tcPr>
                <w:p w14:paraId="29290F13">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PAC</w:t>
                  </w:r>
                </w:p>
              </w:tc>
              <w:tc>
                <w:tcPr>
                  <w:tcW w:w="1463" w:type="dxa"/>
                  <w:tcBorders>
                    <w:tl2br w:val="nil"/>
                    <w:tr2bl w:val="nil"/>
                  </w:tcBorders>
                  <w:vAlign w:val="center"/>
                </w:tcPr>
                <w:p w14:paraId="27341EC6">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Borders>
                    <w:tl2br w:val="nil"/>
                    <w:tr2bl w:val="nil"/>
                  </w:tcBorders>
                  <w:vAlign w:val="center"/>
                </w:tcPr>
                <w:p w14:paraId="158D67BA">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吨/年</w:t>
                  </w:r>
                </w:p>
              </w:tc>
              <w:tc>
                <w:tcPr>
                  <w:tcW w:w="1244" w:type="dxa"/>
                  <w:tcBorders>
                    <w:tl2br w:val="nil"/>
                    <w:tr2bl w:val="nil"/>
                  </w:tcBorders>
                  <w:vAlign w:val="center"/>
                </w:tcPr>
                <w:p w14:paraId="6CD0FD38">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0.6</w:t>
                  </w:r>
                </w:p>
              </w:tc>
            </w:tr>
            <w:tr w14:paraId="46348D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Pr>
              <w:tc>
                <w:tcPr>
                  <w:tcW w:w="1003" w:type="dxa"/>
                  <w:tcBorders>
                    <w:tl2br w:val="nil"/>
                    <w:tr2bl w:val="nil"/>
                  </w:tcBorders>
                  <w:vAlign w:val="center"/>
                </w:tcPr>
                <w:p w14:paraId="1B685393">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12</w:t>
                  </w:r>
                </w:p>
              </w:tc>
              <w:tc>
                <w:tcPr>
                  <w:tcW w:w="3481" w:type="dxa"/>
                  <w:tcBorders>
                    <w:tl2br w:val="nil"/>
                    <w:tr2bl w:val="nil"/>
                  </w:tcBorders>
                  <w:vAlign w:val="center"/>
                </w:tcPr>
                <w:p w14:paraId="0C5AFF7A">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PAM</w:t>
                  </w:r>
                </w:p>
              </w:tc>
              <w:tc>
                <w:tcPr>
                  <w:tcW w:w="1463" w:type="dxa"/>
                  <w:tcBorders>
                    <w:tl2br w:val="nil"/>
                    <w:tr2bl w:val="nil"/>
                  </w:tcBorders>
                  <w:vAlign w:val="center"/>
                </w:tcPr>
                <w:p w14:paraId="1A07B354">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Borders>
                    <w:tl2br w:val="nil"/>
                    <w:tr2bl w:val="nil"/>
                  </w:tcBorders>
                  <w:vAlign w:val="center"/>
                </w:tcPr>
                <w:p w14:paraId="3477665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吨/年</w:t>
                  </w:r>
                </w:p>
              </w:tc>
              <w:tc>
                <w:tcPr>
                  <w:tcW w:w="1244" w:type="dxa"/>
                  <w:tcBorders>
                    <w:tl2br w:val="nil"/>
                    <w:tr2bl w:val="nil"/>
                  </w:tcBorders>
                  <w:vAlign w:val="center"/>
                </w:tcPr>
                <w:p w14:paraId="639E2D16">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0.06</w:t>
                  </w:r>
                </w:p>
              </w:tc>
            </w:tr>
            <w:tr w14:paraId="2324D8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Pr>
              <w:tc>
                <w:tcPr>
                  <w:tcW w:w="1003" w:type="dxa"/>
                  <w:tcBorders>
                    <w:tl2br w:val="nil"/>
                    <w:tr2bl w:val="nil"/>
                  </w:tcBorders>
                  <w:vAlign w:val="center"/>
                </w:tcPr>
                <w:p w14:paraId="69178A59">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13</w:t>
                  </w:r>
                </w:p>
              </w:tc>
              <w:tc>
                <w:tcPr>
                  <w:tcW w:w="3481" w:type="dxa"/>
                  <w:tcBorders>
                    <w:tl2br w:val="nil"/>
                    <w:tr2bl w:val="nil"/>
                  </w:tcBorders>
                  <w:vAlign w:val="center"/>
                </w:tcPr>
                <w:p w14:paraId="4723643B">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中药材</w:t>
                  </w:r>
                </w:p>
              </w:tc>
              <w:tc>
                <w:tcPr>
                  <w:tcW w:w="1463" w:type="dxa"/>
                  <w:tcBorders>
                    <w:tl2br w:val="nil"/>
                    <w:tr2bl w:val="nil"/>
                  </w:tcBorders>
                  <w:vAlign w:val="center"/>
                </w:tcPr>
                <w:p w14:paraId="33C8F47D">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w:t>
                  </w:r>
                </w:p>
              </w:tc>
              <w:tc>
                <w:tcPr>
                  <w:tcW w:w="1217" w:type="dxa"/>
                  <w:tcBorders>
                    <w:tl2br w:val="nil"/>
                    <w:tr2bl w:val="nil"/>
                  </w:tcBorders>
                  <w:vAlign w:val="center"/>
                </w:tcPr>
                <w:p w14:paraId="3F583D12">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吨/年</w:t>
                  </w:r>
                </w:p>
              </w:tc>
              <w:tc>
                <w:tcPr>
                  <w:tcW w:w="1244" w:type="dxa"/>
                  <w:tcBorders>
                    <w:tl2br w:val="nil"/>
                    <w:tr2bl w:val="nil"/>
                  </w:tcBorders>
                  <w:vAlign w:val="center"/>
                </w:tcPr>
                <w:p w14:paraId="372BB754">
                  <w:pPr>
                    <w:autoSpaceDE w:val="0"/>
                    <w:autoSpaceDN w:val="0"/>
                    <w:adjustRightInd w:val="0"/>
                    <w:spacing w:line="260" w:lineRule="exact"/>
                    <w:jc w:val="center"/>
                    <w:rPr>
                      <w:i/>
                      <w:iCs/>
                      <w:color w:val="auto"/>
                      <w:kern w:val="0"/>
                      <w:szCs w:val="21"/>
                      <w:highlight w:val="none"/>
                      <w:u w:val="single"/>
                    </w:rPr>
                  </w:pPr>
                  <w:r>
                    <w:rPr>
                      <w:rFonts w:hint="eastAsia"/>
                      <w:i/>
                      <w:iCs/>
                      <w:color w:val="auto"/>
                      <w:kern w:val="0"/>
                      <w:szCs w:val="21"/>
                      <w:highlight w:val="none"/>
                      <w:u w:val="single"/>
                    </w:rPr>
                    <w:t>2</w:t>
                  </w:r>
                </w:p>
              </w:tc>
            </w:tr>
            <w:tr w14:paraId="1F8658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Pr>
              <w:tc>
                <w:tcPr>
                  <w:tcW w:w="1003" w:type="dxa"/>
                  <w:tcBorders>
                    <w:tl2br w:val="nil"/>
                    <w:tr2bl w:val="nil"/>
                  </w:tcBorders>
                  <w:vAlign w:val="center"/>
                </w:tcPr>
                <w:p w14:paraId="30609B45">
                  <w:pPr>
                    <w:autoSpaceDE w:val="0"/>
                    <w:autoSpaceDN w:val="0"/>
                    <w:adjustRightInd w:val="0"/>
                    <w:spacing w:line="260" w:lineRule="exact"/>
                    <w:jc w:val="center"/>
                    <w:rPr>
                      <w:rFonts w:hint="default" w:eastAsia="宋体"/>
                      <w:i/>
                      <w:iCs/>
                      <w:color w:val="auto"/>
                      <w:kern w:val="0"/>
                      <w:szCs w:val="21"/>
                      <w:highlight w:val="none"/>
                      <w:u w:val="single"/>
                      <w:lang w:val="en-US" w:eastAsia="zh-CN"/>
                    </w:rPr>
                  </w:pPr>
                  <w:r>
                    <w:rPr>
                      <w:rFonts w:hint="eastAsia"/>
                      <w:i/>
                      <w:iCs/>
                      <w:color w:val="auto"/>
                      <w:kern w:val="0"/>
                      <w:szCs w:val="21"/>
                      <w:highlight w:val="none"/>
                      <w:u w:val="single"/>
                      <w:lang w:val="en-US" w:eastAsia="zh-CN"/>
                    </w:rPr>
                    <w:t>14</w:t>
                  </w:r>
                </w:p>
              </w:tc>
              <w:tc>
                <w:tcPr>
                  <w:tcW w:w="3481" w:type="dxa"/>
                  <w:tcBorders>
                    <w:tl2br w:val="nil"/>
                    <w:tr2bl w:val="nil"/>
                  </w:tcBorders>
                  <w:vAlign w:val="center"/>
                </w:tcPr>
                <w:p w14:paraId="67EC65F3">
                  <w:pPr>
                    <w:autoSpaceDE w:val="0"/>
                    <w:autoSpaceDN w:val="0"/>
                    <w:adjustRightInd w:val="0"/>
                    <w:spacing w:line="260" w:lineRule="exact"/>
                    <w:jc w:val="center"/>
                    <w:rPr>
                      <w:rFonts w:hint="eastAsia" w:eastAsia="宋体"/>
                      <w:i/>
                      <w:iCs/>
                      <w:color w:val="auto"/>
                      <w:kern w:val="0"/>
                      <w:szCs w:val="21"/>
                      <w:highlight w:val="none"/>
                      <w:u w:val="single"/>
                      <w:lang w:eastAsia="zh-CN"/>
                    </w:rPr>
                  </w:pPr>
                  <w:r>
                    <w:rPr>
                      <w:rFonts w:hint="eastAsia"/>
                      <w:i/>
                      <w:iCs/>
                      <w:color w:val="auto"/>
                      <w:kern w:val="0"/>
                      <w:szCs w:val="21"/>
                      <w:highlight w:val="none"/>
                      <w:u w:val="single"/>
                      <w:lang w:eastAsia="zh-CN"/>
                    </w:rPr>
                    <w:t>备用柴油（贮存于柴油发电机房）</w:t>
                  </w:r>
                </w:p>
              </w:tc>
              <w:tc>
                <w:tcPr>
                  <w:tcW w:w="1463" w:type="dxa"/>
                  <w:tcBorders>
                    <w:tl2br w:val="nil"/>
                    <w:tr2bl w:val="nil"/>
                  </w:tcBorders>
                  <w:vAlign w:val="center"/>
                </w:tcPr>
                <w:p w14:paraId="1E86E18F">
                  <w:pPr>
                    <w:autoSpaceDE w:val="0"/>
                    <w:autoSpaceDN w:val="0"/>
                    <w:adjustRightInd w:val="0"/>
                    <w:spacing w:line="260" w:lineRule="exact"/>
                    <w:jc w:val="center"/>
                    <w:rPr>
                      <w:rFonts w:hint="eastAsia"/>
                      <w:i/>
                      <w:iCs/>
                      <w:color w:val="auto"/>
                      <w:kern w:val="0"/>
                      <w:szCs w:val="21"/>
                      <w:highlight w:val="none"/>
                      <w:u w:val="single"/>
                    </w:rPr>
                  </w:pPr>
                  <w:r>
                    <w:rPr>
                      <w:rFonts w:hint="eastAsia"/>
                      <w:i/>
                      <w:iCs/>
                      <w:color w:val="auto"/>
                      <w:kern w:val="0"/>
                      <w:szCs w:val="21"/>
                      <w:highlight w:val="none"/>
                      <w:u w:val="single"/>
                    </w:rPr>
                    <w:t>--</w:t>
                  </w:r>
                </w:p>
              </w:tc>
              <w:tc>
                <w:tcPr>
                  <w:tcW w:w="1217" w:type="dxa"/>
                  <w:tcBorders>
                    <w:tl2br w:val="nil"/>
                    <w:tr2bl w:val="nil"/>
                  </w:tcBorders>
                  <w:vAlign w:val="center"/>
                </w:tcPr>
                <w:p w14:paraId="105237DF">
                  <w:pPr>
                    <w:autoSpaceDE w:val="0"/>
                    <w:autoSpaceDN w:val="0"/>
                    <w:adjustRightInd w:val="0"/>
                    <w:spacing w:line="260" w:lineRule="exact"/>
                    <w:jc w:val="center"/>
                    <w:rPr>
                      <w:rFonts w:hint="eastAsia"/>
                      <w:i/>
                      <w:iCs/>
                      <w:color w:val="auto"/>
                      <w:kern w:val="0"/>
                      <w:szCs w:val="21"/>
                      <w:highlight w:val="none"/>
                      <w:u w:val="single"/>
                    </w:rPr>
                  </w:pPr>
                  <w:r>
                    <w:rPr>
                      <w:rFonts w:hint="eastAsia"/>
                      <w:i/>
                      <w:iCs/>
                      <w:color w:val="auto"/>
                      <w:kern w:val="0"/>
                      <w:szCs w:val="21"/>
                      <w:highlight w:val="none"/>
                      <w:u w:val="single"/>
                      <w:lang w:val="en-US" w:eastAsia="zh-CN"/>
                    </w:rPr>
                    <w:t>L</w:t>
                  </w:r>
                  <w:r>
                    <w:rPr>
                      <w:rFonts w:hint="eastAsia"/>
                      <w:i/>
                      <w:iCs/>
                      <w:color w:val="auto"/>
                      <w:kern w:val="0"/>
                      <w:szCs w:val="21"/>
                      <w:highlight w:val="none"/>
                      <w:u w:val="single"/>
                    </w:rPr>
                    <w:t>/年</w:t>
                  </w:r>
                </w:p>
              </w:tc>
              <w:tc>
                <w:tcPr>
                  <w:tcW w:w="1244" w:type="dxa"/>
                  <w:tcBorders>
                    <w:tl2br w:val="nil"/>
                    <w:tr2bl w:val="nil"/>
                  </w:tcBorders>
                  <w:vAlign w:val="center"/>
                </w:tcPr>
                <w:p w14:paraId="3B728374">
                  <w:pPr>
                    <w:autoSpaceDE w:val="0"/>
                    <w:autoSpaceDN w:val="0"/>
                    <w:adjustRightInd w:val="0"/>
                    <w:spacing w:line="260" w:lineRule="exact"/>
                    <w:jc w:val="center"/>
                    <w:rPr>
                      <w:rFonts w:hint="default" w:eastAsia="宋体"/>
                      <w:i/>
                      <w:iCs/>
                      <w:color w:val="auto"/>
                      <w:kern w:val="0"/>
                      <w:szCs w:val="21"/>
                      <w:highlight w:val="none"/>
                      <w:u w:val="single"/>
                      <w:lang w:val="en-US" w:eastAsia="zh-CN"/>
                    </w:rPr>
                  </w:pPr>
                  <w:r>
                    <w:rPr>
                      <w:rFonts w:hint="eastAsia"/>
                      <w:i/>
                      <w:iCs/>
                      <w:color w:val="auto"/>
                      <w:kern w:val="0"/>
                      <w:szCs w:val="21"/>
                      <w:highlight w:val="none"/>
                      <w:u w:val="single"/>
                      <w:lang w:val="en-US" w:eastAsia="zh-CN"/>
                    </w:rPr>
                    <w:t>200</w:t>
                  </w:r>
                </w:p>
              </w:tc>
            </w:tr>
          </w:tbl>
          <w:p w14:paraId="3DED7797">
            <w:pPr>
              <w:spacing w:line="360" w:lineRule="auto"/>
              <w:ind w:firstLine="482" w:firstLineChars="200"/>
              <w:rPr>
                <w:b/>
                <w:bCs/>
                <w:color w:val="auto"/>
                <w:sz w:val="24"/>
                <w:highlight w:val="none"/>
              </w:rPr>
            </w:pPr>
          </w:p>
          <w:p w14:paraId="706EB3C4">
            <w:pPr>
              <w:spacing w:line="360" w:lineRule="auto"/>
              <w:ind w:firstLine="482" w:firstLineChars="200"/>
              <w:rPr>
                <w:b/>
                <w:bCs/>
                <w:color w:val="auto"/>
                <w:sz w:val="24"/>
                <w:highlight w:val="none"/>
              </w:rPr>
            </w:pPr>
            <w:r>
              <w:rPr>
                <w:rFonts w:hint="eastAsia"/>
                <w:b/>
                <w:bCs/>
                <w:color w:val="auto"/>
                <w:sz w:val="24"/>
                <w:highlight w:val="none"/>
              </w:rPr>
              <w:t>5、厂区平面布置</w:t>
            </w:r>
          </w:p>
          <w:p w14:paraId="61F3497B">
            <w:pPr>
              <w:pStyle w:val="23"/>
              <w:spacing w:line="360" w:lineRule="auto"/>
              <w:ind w:left="0" w:leftChars="0" w:firstLine="480" w:firstLineChars="200"/>
              <w:rPr>
                <w:bCs/>
                <w:color w:val="auto"/>
                <w:sz w:val="24"/>
                <w:highlight w:val="none"/>
              </w:rPr>
            </w:pPr>
            <w:r>
              <w:rPr>
                <w:rFonts w:hint="eastAsia"/>
                <w:b w:val="0"/>
                <w:color w:val="auto"/>
                <w:sz w:val="24"/>
                <w:highlight w:val="none"/>
              </w:rPr>
              <w:t>本项目</w:t>
            </w:r>
            <w:r>
              <w:rPr>
                <w:rFonts w:hint="eastAsia"/>
                <w:b w:val="0"/>
                <w:color w:val="auto"/>
                <w:sz w:val="24"/>
                <w:highlight w:val="none"/>
              </w:rPr>
              <w:t>医院楼四层，局部为五层，一层</w:t>
            </w:r>
            <w:r>
              <w:rPr>
                <w:rFonts w:hint="eastAsia"/>
                <w:b w:val="0"/>
                <w:color w:val="auto"/>
                <w:sz w:val="24"/>
                <w:highlight w:val="none"/>
              </w:rPr>
              <w:t>西侧为长春新区双德第二卫生服务中心</w:t>
            </w:r>
            <w:r>
              <w:rPr>
                <w:rFonts w:hint="eastAsia"/>
                <w:b w:val="0"/>
                <w:color w:val="auto"/>
                <w:sz w:val="24"/>
                <w:highlight w:val="none"/>
                <w:lang w:eastAsia="zh-CN"/>
              </w:rPr>
              <w:t>（不包含本项目中，现已进行环评登记）</w:t>
            </w:r>
            <w:r>
              <w:rPr>
                <w:rFonts w:hint="eastAsia"/>
                <w:b w:val="0"/>
                <w:color w:val="auto"/>
                <w:sz w:val="24"/>
                <w:highlight w:val="none"/>
              </w:rPr>
              <w:t>，南侧依次为接诊室，高压氧</w:t>
            </w:r>
            <w:r>
              <w:rPr>
                <w:rFonts w:hint="eastAsia"/>
                <w:b w:val="0"/>
                <w:color w:val="auto"/>
                <w:sz w:val="24"/>
                <w:highlight w:val="none"/>
                <w:lang w:eastAsia="zh-CN"/>
              </w:rPr>
              <w:t>舱</w:t>
            </w:r>
            <w:r>
              <w:rPr>
                <w:rFonts w:hint="eastAsia"/>
                <w:b w:val="0"/>
                <w:color w:val="auto"/>
                <w:sz w:val="24"/>
                <w:highlight w:val="none"/>
              </w:rPr>
              <w:t>及污水站，放射线疗区CT室等，二层西侧为妇科诊室</w:t>
            </w:r>
            <w:r>
              <w:rPr>
                <w:rFonts w:hint="eastAsia"/>
                <w:b w:val="0"/>
                <w:color w:val="auto"/>
                <w:sz w:val="24"/>
                <w:highlight w:val="none"/>
              </w:rPr>
              <w:t>，中药房，</w:t>
            </w:r>
            <w:r>
              <w:rPr>
                <w:rFonts w:hint="eastAsia"/>
                <w:b w:val="0"/>
                <w:color w:val="auto"/>
                <w:sz w:val="24"/>
                <w:highlight w:val="none"/>
              </w:rPr>
              <w:t>南侧依次为病房及手术室，三层西侧为VIP病房，三层中部为康复大厅，南侧为值班室及普通病房，四层西侧为VIP病房，三层中部为康复大厅，南侧为值班室及普通病房，五层中部为会议大厅，会议大厅右侧为职工餐厅，左侧为办公室，一层至五层具体布置详见附图3。</w:t>
            </w:r>
          </w:p>
          <w:p w14:paraId="4D56E773">
            <w:pPr>
              <w:pStyle w:val="23"/>
              <w:spacing w:line="360" w:lineRule="auto"/>
              <w:ind w:left="0" w:leftChars="0" w:firstLine="482" w:firstLineChars="200"/>
              <w:rPr>
                <w:bCs/>
                <w:color w:val="auto"/>
                <w:sz w:val="24"/>
                <w:highlight w:val="none"/>
              </w:rPr>
            </w:pPr>
            <w:r>
              <w:rPr>
                <w:rFonts w:hint="eastAsia"/>
                <w:bCs/>
                <w:color w:val="auto"/>
                <w:sz w:val="24"/>
                <w:highlight w:val="none"/>
              </w:rPr>
              <w:t>6、</w:t>
            </w:r>
            <w:r>
              <w:rPr>
                <w:bCs/>
                <w:color w:val="auto"/>
                <w:sz w:val="24"/>
                <w:highlight w:val="none"/>
              </w:rPr>
              <w:t>公用工程</w:t>
            </w:r>
          </w:p>
          <w:p w14:paraId="19F9F29C">
            <w:pPr>
              <w:pStyle w:val="23"/>
              <w:spacing w:line="360" w:lineRule="auto"/>
              <w:ind w:left="0" w:leftChars="0" w:firstLine="480" w:firstLineChars="200"/>
              <w:rPr>
                <w:b w:val="0"/>
                <w:color w:val="auto"/>
                <w:sz w:val="24"/>
                <w:highlight w:val="none"/>
              </w:rPr>
            </w:pPr>
            <w:r>
              <w:rPr>
                <w:rFonts w:hint="eastAsia"/>
                <w:b w:val="0"/>
                <w:color w:val="auto"/>
                <w:sz w:val="24"/>
                <w:highlight w:val="none"/>
              </w:rPr>
              <w:t>6</w:t>
            </w:r>
            <w:r>
              <w:rPr>
                <w:b w:val="0"/>
                <w:color w:val="auto"/>
                <w:sz w:val="24"/>
                <w:highlight w:val="none"/>
              </w:rPr>
              <w:t>.1给水</w:t>
            </w:r>
          </w:p>
          <w:p w14:paraId="24DCF742">
            <w:pPr>
              <w:widowControl/>
              <w:wordWrap w:val="0"/>
              <w:spacing w:line="360" w:lineRule="auto"/>
              <w:ind w:firstLine="480" w:firstLineChars="200"/>
              <w:jc w:val="left"/>
              <w:rPr>
                <w:color w:val="auto"/>
                <w:sz w:val="24"/>
                <w:highlight w:val="none"/>
                <w:u w:val="single"/>
              </w:rPr>
            </w:pPr>
            <w:r>
              <w:rPr>
                <w:rFonts w:hint="eastAsia"/>
                <w:color w:val="auto"/>
                <w:sz w:val="24"/>
                <w:highlight w:val="none"/>
              </w:rPr>
              <w:t>本项目用水主要是职工生活用水、住院病房用水、门诊患者用水、地面清洁用水、化验室用水、食堂用水、中药室用水。</w:t>
            </w:r>
          </w:p>
          <w:p w14:paraId="4C065560">
            <w:pPr>
              <w:widowControl/>
              <w:wordWrap w:val="0"/>
              <w:spacing w:line="360" w:lineRule="auto"/>
              <w:ind w:firstLine="480" w:firstLineChars="200"/>
              <w:jc w:val="left"/>
              <w:rPr>
                <w:color w:val="auto"/>
                <w:sz w:val="24"/>
                <w:highlight w:val="none"/>
              </w:rPr>
            </w:pPr>
            <w:r>
              <w:rPr>
                <w:rFonts w:hint="eastAsia"/>
                <w:color w:val="auto"/>
                <w:sz w:val="24"/>
                <w:highlight w:val="none"/>
              </w:rPr>
              <w:t>（1）职工生活用水：</w:t>
            </w:r>
          </w:p>
          <w:p w14:paraId="2A0618C5">
            <w:pPr>
              <w:widowControl/>
              <w:wordWrap w:val="0"/>
              <w:spacing w:line="360" w:lineRule="auto"/>
              <w:ind w:firstLine="480" w:firstLineChars="200"/>
              <w:jc w:val="left"/>
              <w:rPr>
                <w:color w:val="auto"/>
                <w:sz w:val="24"/>
                <w:highlight w:val="none"/>
              </w:rPr>
            </w:pPr>
            <w:r>
              <w:rPr>
                <w:rFonts w:hint="eastAsia"/>
                <w:color w:val="auto"/>
                <w:sz w:val="24"/>
                <w:highlight w:val="none"/>
              </w:rPr>
              <w:t>本项目职工35人，根据《吉林省用水定额》（DB22/T389-2019），生活用水按40L/d·人计，则生活用水量为1.4m</w:t>
            </w:r>
            <w:r>
              <w:rPr>
                <w:rFonts w:hint="eastAsia"/>
                <w:color w:val="auto"/>
                <w:sz w:val="24"/>
                <w:highlight w:val="none"/>
                <w:vertAlign w:val="superscript"/>
              </w:rPr>
              <w:t>3</w:t>
            </w:r>
            <w:r>
              <w:rPr>
                <w:rFonts w:hint="eastAsia"/>
                <w:color w:val="auto"/>
                <w:sz w:val="24"/>
                <w:highlight w:val="none"/>
              </w:rPr>
              <w:t>/d（511m</w:t>
            </w:r>
            <w:r>
              <w:rPr>
                <w:rFonts w:hint="eastAsia"/>
                <w:color w:val="auto"/>
                <w:sz w:val="24"/>
                <w:highlight w:val="none"/>
                <w:vertAlign w:val="superscript"/>
              </w:rPr>
              <w:t>3</w:t>
            </w:r>
            <w:r>
              <w:rPr>
                <w:rFonts w:hint="eastAsia"/>
                <w:color w:val="auto"/>
                <w:sz w:val="24"/>
                <w:highlight w:val="none"/>
              </w:rPr>
              <w:t>/a）。</w:t>
            </w:r>
          </w:p>
          <w:p w14:paraId="46F10FB0">
            <w:pPr>
              <w:widowControl/>
              <w:wordWrap w:val="0"/>
              <w:spacing w:line="360" w:lineRule="auto"/>
              <w:ind w:firstLine="480" w:firstLineChars="200"/>
              <w:jc w:val="left"/>
              <w:rPr>
                <w:color w:val="auto"/>
                <w:sz w:val="24"/>
                <w:highlight w:val="none"/>
              </w:rPr>
            </w:pPr>
            <w:r>
              <w:rPr>
                <w:rFonts w:hint="eastAsia"/>
                <w:color w:val="auto"/>
                <w:sz w:val="24"/>
                <w:highlight w:val="none"/>
              </w:rPr>
              <w:t>（2）住院病房用水</w:t>
            </w:r>
          </w:p>
          <w:p w14:paraId="28F3AFC6">
            <w:pPr>
              <w:widowControl/>
              <w:wordWrap w:val="0"/>
              <w:spacing w:line="360" w:lineRule="auto"/>
              <w:ind w:firstLine="480" w:firstLineChars="200"/>
              <w:jc w:val="left"/>
              <w:rPr>
                <w:i/>
                <w:iCs/>
                <w:color w:val="auto"/>
                <w:sz w:val="24"/>
                <w:highlight w:val="none"/>
                <w:u w:val="single"/>
              </w:rPr>
            </w:pPr>
            <w:r>
              <w:rPr>
                <w:rFonts w:hint="eastAsia"/>
                <w:i/>
                <w:iCs/>
                <w:color w:val="auto"/>
                <w:sz w:val="24"/>
                <w:highlight w:val="none"/>
                <w:u w:val="single"/>
              </w:rPr>
              <w:t>本项目运营期提供住院服务，预计共设置床位100张，根据《综合医院建筑设计规范》（GB51039-2014）中表6.2.2医院生活用水量定额，</w:t>
            </w:r>
            <w:r>
              <w:rPr>
                <w:rFonts w:hint="eastAsia"/>
                <w:i/>
                <w:iCs/>
                <w:color w:val="auto"/>
                <w:sz w:val="24"/>
                <w:highlight w:val="none"/>
                <w:u w:val="single"/>
              </w:rPr>
              <w:t>本次评价按照日用水100L/床·d 计算</w:t>
            </w:r>
            <w:r>
              <w:rPr>
                <w:rFonts w:hint="eastAsia"/>
                <w:i/>
                <w:iCs/>
                <w:color w:val="auto"/>
                <w:sz w:val="24"/>
                <w:highlight w:val="none"/>
                <w:u w:val="single"/>
              </w:rPr>
              <w:t>，则住院病房用水量为10m</w:t>
            </w:r>
            <w:r>
              <w:rPr>
                <w:rFonts w:hint="eastAsia"/>
                <w:i/>
                <w:iCs/>
                <w:color w:val="auto"/>
                <w:sz w:val="24"/>
                <w:highlight w:val="none"/>
                <w:u w:val="single"/>
                <w:vertAlign w:val="superscript"/>
              </w:rPr>
              <w:t>3</w:t>
            </w:r>
            <w:r>
              <w:rPr>
                <w:rFonts w:hint="eastAsia"/>
                <w:i/>
                <w:iCs/>
                <w:color w:val="auto"/>
                <w:sz w:val="24"/>
                <w:highlight w:val="none"/>
                <w:u w:val="single"/>
              </w:rPr>
              <w:t>/d（3650m</w:t>
            </w:r>
            <w:r>
              <w:rPr>
                <w:rFonts w:hint="eastAsia"/>
                <w:i/>
                <w:iCs/>
                <w:color w:val="auto"/>
                <w:sz w:val="24"/>
                <w:highlight w:val="none"/>
                <w:u w:val="single"/>
                <w:vertAlign w:val="superscript"/>
              </w:rPr>
              <w:t>3</w:t>
            </w:r>
            <w:r>
              <w:rPr>
                <w:rFonts w:hint="eastAsia"/>
                <w:i/>
                <w:iCs/>
                <w:color w:val="auto"/>
                <w:sz w:val="24"/>
                <w:highlight w:val="none"/>
                <w:u w:val="single"/>
              </w:rPr>
              <w:t>/a）。</w:t>
            </w:r>
          </w:p>
          <w:p w14:paraId="27AB1ACB">
            <w:pPr>
              <w:widowControl/>
              <w:wordWrap w:val="0"/>
              <w:spacing w:line="360" w:lineRule="auto"/>
              <w:ind w:firstLine="480" w:firstLineChars="200"/>
              <w:jc w:val="left"/>
              <w:rPr>
                <w:color w:val="auto"/>
                <w:sz w:val="24"/>
                <w:highlight w:val="none"/>
              </w:rPr>
            </w:pPr>
            <w:r>
              <w:rPr>
                <w:rFonts w:hint="eastAsia"/>
                <w:color w:val="auto"/>
                <w:sz w:val="24"/>
                <w:highlight w:val="none"/>
              </w:rPr>
              <w:t>（3）门诊用水</w:t>
            </w:r>
          </w:p>
          <w:p w14:paraId="6A2FABBF">
            <w:pPr>
              <w:widowControl/>
              <w:wordWrap w:val="0"/>
              <w:spacing w:line="360" w:lineRule="auto"/>
              <w:ind w:firstLine="480" w:firstLineChars="200"/>
              <w:jc w:val="left"/>
              <w:rPr>
                <w:color w:val="auto"/>
                <w:sz w:val="24"/>
                <w:highlight w:val="none"/>
              </w:rPr>
            </w:pPr>
            <w:r>
              <w:rPr>
                <w:rFonts w:hint="eastAsia"/>
                <w:color w:val="auto"/>
                <w:sz w:val="24"/>
                <w:highlight w:val="none"/>
              </w:rPr>
              <w:t>根据《综合医院建筑设计规范》（GB51039-2014）中表6.2.2医院生活用水量定额，门诊患者用水10L/人·次计算，每日接诊约200人，则门诊</w:t>
            </w:r>
            <w:r>
              <w:rPr>
                <w:rFonts w:hint="eastAsia"/>
                <w:color w:val="auto"/>
                <w:sz w:val="24"/>
                <w:highlight w:val="none"/>
                <w:lang w:eastAsia="zh-CN"/>
              </w:rPr>
              <w:t>用水</w:t>
            </w:r>
            <w:r>
              <w:rPr>
                <w:rFonts w:hint="eastAsia"/>
                <w:color w:val="auto"/>
                <w:sz w:val="24"/>
                <w:highlight w:val="none"/>
              </w:rPr>
              <w:t>量为2m</w:t>
            </w:r>
            <w:r>
              <w:rPr>
                <w:rFonts w:hint="eastAsia"/>
                <w:color w:val="auto"/>
                <w:sz w:val="24"/>
                <w:highlight w:val="none"/>
                <w:vertAlign w:val="superscript"/>
              </w:rPr>
              <w:t>3</w:t>
            </w:r>
            <w:r>
              <w:rPr>
                <w:rFonts w:hint="eastAsia"/>
                <w:color w:val="auto"/>
                <w:sz w:val="24"/>
                <w:highlight w:val="none"/>
              </w:rPr>
              <w:t>/d（730m</w:t>
            </w:r>
            <w:r>
              <w:rPr>
                <w:rFonts w:hint="eastAsia"/>
                <w:color w:val="auto"/>
                <w:sz w:val="24"/>
                <w:highlight w:val="none"/>
                <w:vertAlign w:val="superscript"/>
              </w:rPr>
              <w:t>3</w:t>
            </w:r>
            <w:r>
              <w:rPr>
                <w:rFonts w:hint="eastAsia"/>
                <w:color w:val="auto"/>
                <w:sz w:val="24"/>
                <w:highlight w:val="none"/>
              </w:rPr>
              <w:t>/a）</w:t>
            </w:r>
          </w:p>
          <w:p w14:paraId="41DC9B99">
            <w:pPr>
              <w:widowControl/>
              <w:wordWrap w:val="0"/>
              <w:spacing w:line="360" w:lineRule="auto"/>
              <w:ind w:firstLine="480" w:firstLineChars="200"/>
              <w:jc w:val="left"/>
              <w:rPr>
                <w:color w:val="auto"/>
                <w:sz w:val="24"/>
                <w:highlight w:val="none"/>
              </w:rPr>
            </w:pPr>
            <w:r>
              <w:rPr>
                <w:rFonts w:hint="eastAsia"/>
                <w:color w:val="auto"/>
                <w:sz w:val="24"/>
                <w:highlight w:val="none"/>
              </w:rPr>
              <w:t>（4）地面清洁用水</w:t>
            </w:r>
          </w:p>
          <w:p w14:paraId="474A14EC">
            <w:pPr>
              <w:widowControl/>
              <w:wordWrap w:val="0"/>
              <w:spacing w:line="360" w:lineRule="auto"/>
              <w:ind w:firstLine="480" w:firstLineChars="200"/>
              <w:jc w:val="left"/>
              <w:rPr>
                <w:color w:val="auto"/>
                <w:sz w:val="24"/>
                <w:highlight w:val="none"/>
              </w:rPr>
            </w:pPr>
            <w:r>
              <w:rPr>
                <w:rFonts w:hint="eastAsia"/>
                <w:color w:val="auto"/>
                <w:sz w:val="24"/>
                <w:highlight w:val="none"/>
              </w:rPr>
              <w:t>病人住院治疗需要良好的治理环境，楼内每天需要对项目地面进行清洁处理，清洁用水按0.5L/m</w:t>
            </w:r>
            <w:r>
              <w:rPr>
                <w:rFonts w:hint="eastAsia"/>
                <w:color w:val="auto"/>
                <w:sz w:val="24"/>
                <w:highlight w:val="none"/>
                <w:vertAlign w:val="superscript"/>
              </w:rPr>
              <w:t>2</w:t>
            </w:r>
            <w:r>
              <w:rPr>
                <w:rFonts w:hint="eastAsia"/>
                <w:color w:val="auto"/>
                <w:sz w:val="24"/>
                <w:highlight w:val="none"/>
              </w:rPr>
              <w:t>·d，每天一次，住院综合楼占地面积9553.2m</w:t>
            </w:r>
            <w:r>
              <w:rPr>
                <w:rFonts w:hint="eastAsia"/>
                <w:color w:val="auto"/>
                <w:sz w:val="24"/>
                <w:highlight w:val="none"/>
                <w:vertAlign w:val="superscript"/>
              </w:rPr>
              <w:t>2</w:t>
            </w:r>
            <w:r>
              <w:rPr>
                <w:rFonts w:hint="eastAsia"/>
                <w:color w:val="auto"/>
                <w:sz w:val="24"/>
                <w:highlight w:val="none"/>
              </w:rPr>
              <w:t>，则清洁用水4.78m</w:t>
            </w:r>
            <w:r>
              <w:rPr>
                <w:rFonts w:hint="eastAsia"/>
                <w:color w:val="auto"/>
                <w:sz w:val="24"/>
                <w:highlight w:val="none"/>
                <w:vertAlign w:val="superscript"/>
              </w:rPr>
              <w:t>3</w:t>
            </w:r>
            <w:r>
              <w:rPr>
                <w:rFonts w:hint="eastAsia"/>
                <w:color w:val="auto"/>
                <w:sz w:val="24"/>
                <w:highlight w:val="none"/>
              </w:rPr>
              <w:t>/d（</w:t>
            </w:r>
            <w:r>
              <w:rPr>
                <w:rFonts w:hint="eastAsia"/>
                <w:color w:val="auto"/>
                <w:sz w:val="24"/>
                <w:highlight w:val="none"/>
                <w:lang w:val="en-US" w:eastAsia="zh-CN"/>
              </w:rPr>
              <w:t>1744.7</w:t>
            </w:r>
            <w:r>
              <w:rPr>
                <w:rFonts w:hint="eastAsia"/>
                <w:color w:val="auto"/>
                <w:sz w:val="24"/>
                <w:highlight w:val="none"/>
              </w:rPr>
              <w:t>m</w:t>
            </w:r>
            <w:r>
              <w:rPr>
                <w:rFonts w:hint="eastAsia"/>
                <w:color w:val="auto"/>
                <w:sz w:val="24"/>
                <w:highlight w:val="none"/>
                <w:vertAlign w:val="superscript"/>
              </w:rPr>
              <w:t>3</w:t>
            </w:r>
            <w:r>
              <w:rPr>
                <w:rFonts w:hint="eastAsia"/>
                <w:color w:val="auto"/>
                <w:sz w:val="24"/>
                <w:highlight w:val="none"/>
              </w:rPr>
              <w:t>/a）。</w:t>
            </w:r>
          </w:p>
          <w:p w14:paraId="0011817F">
            <w:pPr>
              <w:widowControl/>
              <w:wordWrap w:val="0"/>
              <w:spacing w:line="360" w:lineRule="auto"/>
              <w:ind w:firstLine="480" w:firstLineChars="200"/>
              <w:jc w:val="left"/>
              <w:rPr>
                <w:color w:val="auto"/>
                <w:sz w:val="24"/>
                <w:highlight w:val="none"/>
              </w:rPr>
            </w:pPr>
            <w:r>
              <w:rPr>
                <w:rFonts w:hint="eastAsia"/>
                <w:color w:val="auto"/>
                <w:sz w:val="24"/>
                <w:highlight w:val="none"/>
              </w:rPr>
              <w:t>（5）化验室用水</w:t>
            </w:r>
          </w:p>
          <w:p w14:paraId="3AA19DDC">
            <w:pPr>
              <w:widowControl/>
              <w:wordWrap w:val="0"/>
              <w:spacing w:line="360" w:lineRule="auto"/>
              <w:ind w:firstLine="480" w:firstLineChars="200"/>
              <w:jc w:val="left"/>
              <w:rPr>
                <w:color w:val="auto"/>
                <w:sz w:val="24"/>
                <w:highlight w:val="none"/>
              </w:rPr>
            </w:pPr>
            <w:r>
              <w:rPr>
                <w:rFonts w:hint="eastAsia"/>
                <w:i/>
                <w:iCs/>
                <w:color w:val="auto"/>
                <w:sz w:val="24"/>
                <w:highlight w:val="none"/>
                <w:u w:val="single"/>
              </w:rPr>
              <w:t>化验室用水主要为仪器设备及容器清洗用水，</w:t>
            </w:r>
            <w:r>
              <w:rPr>
                <w:rFonts w:hint="eastAsia"/>
                <w:i/>
                <w:iCs/>
                <w:color w:val="auto"/>
                <w:sz w:val="24"/>
                <w:highlight w:val="none"/>
                <w:u w:val="single"/>
                <w:lang w:eastAsia="zh-CN"/>
              </w:rPr>
              <w:t>不涉及纯水使用，</w:t>
            </w:r>
            <w:r>
              <w:rPr>
                <w:rFonts w:hint="eastAsia"/>
                <w:i/>
                <w:iCs/>
                <w:color w:val="auto"/>
                <w:sz w:val="24"/>
                <w:highlight w:val="none"/>
                <w:u w:val="single"/>
              </w:rPr>
              <w:t>用水量约为0.2m</w:t>
            </w:r>
            <w:r>
              <w:rPr>
                <w:rFonts w:hint="eastAsia"/>
                <w:i/>
                <w:iCs/>
                <w:color w:val="auto"/>
                <w:sz w:val="24"/>
                <w:highlight w:val="none"/>
                <w:u w:val="single"/>
                <w:vertAlign w:val="superscript"/>
              </w:rPr>
              <w:t>3</w:t>
            </w:r>
            <w:r>
              <w:rPr>
                <w:rFonts w:hint="eastAsia"/>
                <w:i/>
                <w:iCs/>
                <w:color w:val="auto"/>
                <w:sz w:val="24"/>
                <w:highlight w:val="none"/>
                <w:u w:val="single"/>
              </w:rPr>
              <w:t>/d（73m</w:t>
            </w:r>
            <w:r>
              <w:rPr>
                <w:rFonts w:hint="eastAsia"/>
                <w:i/>
                <w:iCs/>
                <w:color w:val="auto"/>
                <w:sz w:val="24"/>
                <w:highlight w:val="none"/>
                <w:u w:val="single"/>
                <w:vertAlign w:val="superscript"/>
              </w:rPr>
              <w:t>3</w:t>
            </w:r>
            <w:r>
              <w:rPr>
                <w:rFonts w:hint="eastAsia"/>
                <w:i/>
                <w:iCs/>
                <w:color w:val="auto"/>
                <w:sz w:val="24"/>
                <w:highlight w:val="none"/>
                <w:u w:val="single"/>
              </w:rPr>
              <w:t>/a）</w:t>
            </w:r>
          </w:p>
          <w:p w14:paraId="6531C7A7">
            <w:pPr>
              <w:widowControl/>
              <w:wordWrap w:val="0"/>
              <w:spacing w:line="360" w:lineRule="auto"/>
              <w:ind w:firstLine="480" w:firstLineChars="200"/>
              <w:jc w:val="left"/>
              <w:rPr>
                <w:color w:val="auto"/>
                <w:sz w:val="24"/>
                <w:highlight w:val="none"/>
              </w:rPr>
            </w:pPr>
            <w:r>
              <w:rPr>
                <w:rFonts w:hint="eastAsia"/>
                <w:color w:val="auto"/>
                <w:sz w:val="24"/>
                <w:highlight w:val="none"/>
              </w:rPr>
              <w:t>（6）食堂用水</w:t>
            </w:r>
          </w:p>
          <w:p w14:paraId="41C54B20">
            <w:pPr>
              <w:widowControl/>
              <w:wordWrap w:val="0"/>
              <w:spacing w:line="360" w:lineRule="auto"/>
              <w:ind w:firstLine="480" w:firstLineChars="200"/>
              <w:jc w:val="left"/>
              <w:rPr>
                <w:color w:val="auto"/>
                <w:sz w:val="24"/>
                <w:highlight w:val="none"/>
              </w:rPr>
            </w:pPr>
            <w:r>
              <w:rPr>
                <w:rFonts w:hint="eastAsia"/>
                <w:color w:val="auto"/>
                <w:sz w:val="24"/>
                <w:highlight w:val="none"/>
                <w:lang w:eastAsia="zh-CN"/>
              </w:rPr>
              <w:t>本项目食堂为内部食堂，仅供内部职工就餐，不对外开放，</w:t>
            </w:r>
            <w:r>
              <w:rPr>
                <w:rFonts w:hint="eastAsia"/>
                <w:color w:val="auto"/>
                <w:sz w:val="24"/>
                <w:highlight w:val="none"/>
              </w:rPr>
              <w:t>根据《综合医院建筑设计规范》（GB51039-2014）中表6.2.2医院生活用水量定额，门诊患者用水20L/人·次计算，</w:t>
            </w:r>
            <w:r>
              <w:rPr>
                <w:rFonts w:hint="eastAsia"/>
                <w:color w:val="auto"/>
                <w:sz w:val="24"/>
                <w:highlight w:val="none"/>
              </w:rPr>
              <w:t>本项目职工35人，每日1餐，食堂用水量为0.7m</w:t>
            </w:r>
            <w:r>
              <w:rPr>
                <w:rFonts w:hint="eastAsia"/>
                <w:color w:val="auto"/>
                <w:sz w:val="24"/>
                <w:highlight w:val="none"/>
                <w:vertAlign w:val="superscript"/>
              </w:rPr>
              <w:t>3</w:t>
            </w:r>
            <w:r>
              <w:rPr>
                <w:rFonts w:hint="eastAsia"/>
                <w:color w:val="auto"/>
                <w:sz w:val="24"/>
                <w:highlight w:val="none"/>
              </w:rPr>
              <w:t>/d（255.5m</w:t>
            </w:r>
            <w:r>
              <w:rPr>
                <w:rFonts w:hint="eastAsia"/>
                <w:color w:val="auto"/>
                <w:sz w:val="24"/>
                <w:highlight w:val="none"/>
                <w:vertAlign w:val="superscript"/>
              </w:rPr>
              <w:t>3</w:t>
            </w:r>
            <w:r>
              <w:rPr>
                <w:rFonts w:hint="eastAsia"/>
                <w:color w:val="auto"/>
                <w:sz w:val="24"/>
                <w:highlight w:val="none"/>
              </w:rPr>
              <w:t>/a）。</w:t>
            </w:r>
          </w:p>
          <w:p w14:paraId="48DFF553">
            <w:pPr>
              <w:pStyle w:val="36"/>
              <w:spacing w:line="360" w:lineRule="auto"/>
              <w:ind w:firstLine="480" w:firstLineChars="200"/>
              <w:rPr>
                <w:rFonts w:hint="default"/>
                <w:color w:val="auto"/>
                <w:sz w:val="24"/>
                <w:highlight w:val="none"/>
              </w:rPr>
            </w:pPr>
            <w:r>
              <w:rPr>
                <w:color w:val="auto"/>
                <w:sz w:val="24"/>
                <w:highlight w:val="none"/>
              </w:rPr>
              <w:t>（</w:t>
            </w:r>
            <w:r>
              <w:rPr>
                <w:rFonts w:hint="default" w:ascii="Times New Roman"/>
                <w:color w:val="auto"/>
                <w:sz w:val="24"/>
                <w:highlight w:val="none"/>
              </w:rPr>
              <w:t>7</w:t>
            </w:r>
            <w:r>
              <w:rPr>
                <w:color w:val="auto"/>
                <w:sz w:val="24"/>
                <w:highlight w:val="none"/>
              </w:rPr>
              <w:t>）中药室用水</w:t>
            </w:r>
          </w:p>
          <w:p w14:paraId="52D33DCE">
            <w:pPr>
              <w:pStyle w:val="36"/>
              <w:spacing w:line="360" w:lineRule="auto"/>
              <w:ind w:firstLine="480" w:firstLineChars="200"/>
              <w:rPr>
                <w:rFonts w:hint="default" w:ascii="Times New Roman"/>
                <w:i/>
                <w:iCs/>
                <w:color w:val="auto"/>
                <w:highlight w:val="none"/>
                <w:u w:val="single"/>
              </w:rPr>
            </w:pPr>
            <w:r>
              <w:rPr>
                <w:rFonts w:ascii="Times New Roman"/>
                <w:i/>
                <w:iCs/>
                <w:color w:val="auto"/>
                <w:sz w:val="24"/>
                <w:highlight w:val="none"/>
                <w:u w:val="single"/>
              </w:rPr>
              <w:t>中药室用水主要为熬煮用水</w:t>
            </w:r>
            <w:r>
              <w:rPr>
                <w:rFonts w:hint="eastAsia" w:ascii="Times New Roman"/>
                <w:i/>
                <w:iCs/>
                <w:color w:val="auto"/>
                <w:sz w:val="24"/>
                <w:highlight w:val="none"/>
                <w:u w:val="single"/>
                <w:lang w:eastAsia="zh-CN"/>
              </w:rPr>
              <w:t>及</w:t>
            </w:r>
            <w:r>
              <w:rPr>
                <w:rFonts w:ascii="Times New Roman"/>
                <w:i/>
                <w:iCs/>
                <w:color w:val="auto"/>
                <w:sz w:val="24"/>
                <w:highlight w:val="none"/>
                <w:u w:val="single"/>
              </w:rPr>
              <w:t>药材清洗用水，熬煮用水约为药材量的3倍，药材清洗用水约为药材用量的2倍，药材年用量约为2t/a，</w:t>
            </w:r>
            <w:r>
              <w:rPr>
                <w:rFonts w:hint="default" w:ascii="Times New Roman"/>
                <w:i/>
                <w:iCs/>
                <w:color w:val="auto"/>
                <w:sz w:val="24"/>
                <w:highlight w:val="none"/>
                <w:u w:val="single"/>
              </w:rPr>
              <w:t>本项目总用水量为</w:t>
            </w:r>
            <w:r>
              <w:rPr>
                <w:rFonts w:ascii="Times New Roman"/>
                <w:i/>
                <w:iCs/>
                <w:color w:val="auto"/>
                <w:sz w:val="24"/>
                <w:highlight w:val="none"/>
                <w:u w:val="single"/>
              </w:rPr>
              <w:t>0.027</w:t>
            </w:r>
            <w:r>
              <w:rPr>
                <w:rFonts w:hint="default" w:ascii="Times New Roman"/>
                <w:i/>
                <w:iCs/>
                <w:color w:val="auto"/>
                <w:sz w:val="24"/>
                <w:highlight w:val="none"/>
                <w:u w:val="single"/>
              </w:rPr>
              <w:t>m</w:t>
            </w:r>
            <w:r>
              <w:rPr>
                <w:rFonts w:hint="default" w:ascii="Times New Roman"/>
                <w:i/>
                <w:iCs/>
                <w:color w:val="auto"/>
                <w:sz w:val="24"/>
                <w:highlight w:val="none"/>
                <w:u w:val="single"/>
                <w:vertAlign w:val="superscript"/>
              </w:rPr>
              <w:t>3</w:t>
            </w:r>
            <w:r>
              <w:rPr>
                <w:rFonts w:hint="default" w:ascii="Times New Roman"/>
                <w:i/>
                <w:iCs/>
                <w:color w:val="auto"/>
                <w:sz w:val="24"/>
                <w:highlight w:val="none"/>
                <w:u w:val="single"/>
              </w:rPr>
              <w:t>/d</w:t>
            </w:r>
            <w:r>
              <w:rPr>
                <w:rFonts w:ascii="Times New Roman"/>
                <w:i/>
                <w:iCs/>
                <w:color w:val="auto"/>
                <w:sz w:val="24"/>
                <w:highlight w:val="none"/>
                <w:u w:val="single"/>
              </w:rPr>
              <w:t>（10m</w:t>
            </w:r>
            <w:r>
              <w:rPr>
                <w:rFonts w:ascii="Times New Roman"/>
                <w:i/>
                <w:iCs/>
                <w:color w:val="auto"/>
                <w:sz w:val="24"/>
                <w:highlight w:val="none"/>
                <w:u w:val="single"/>
                <w:vertAlign w:val="superscript"/>
              </w:rPr>
              <w:t>3</w:t>
            </w:r>
            <w:r>
              <w:rPr>
                <w:rFonts w:ascii="Times New Roman"/>
                <w:i/>
                <w:iCs/>
                <w:color w:val="auto"/>
                <w:sz w:val="24"/>
                <w:highlight w:val="none"/>
                <w:u w:val="single"/>
              </w:rPr>
              <w:t>/a）</w:t>
            </w:r>
            <w:r>
              <w:rPr>
                <w:rFonts w:hint="default" w:ascii="Times New Roman"/>
                <w:i/>
                <w:iCs/>
                <w:color w:val="auto"/>
                <w:sz w:val="24"/>
                <w:highlight w:val="none"/>
                <w:u w:val="single"/>
              </w:rPr>
              <w:t>。</w:t>
            </w:r>
          </w:p>
          <w:p w14:paraId="0CF6DAB6">
            <w:pPr>
              <w:pStyle w:val="23"/>
              <w:spacing w:line="360" w:lineRule="auto"/>
              <w:ind w:left="0" w:leftChars="0" w:firstLine="480" w:firstLineChars="200"/>
              <w:rPr>
                <w:b w:val="0"/>
                <w:color w:val="auto"/>
                <w:sz w:val="24"/>
                <w:highlight w:val="none"/>
              </w:rPr>
            </w:pPr>
            <w:r>
              <w:rPr>
                <w:rFonts w:hint="eastAsia"/>
                <w:b w:val="0"/>
                <w:color w:val="auto"/>
                <w:sz w:val="24"/>
                <w:highlight w:val="none"/>
              </w:rPr>
              <w:t>综上，本项目运营期总用水量为</w:t>
            </w:r>
            <w:r>
              <w:rPr>
                <w:rFonts w:hint="eastAsia"/>
                <w:b w:val="0"/>
                <w:color w:val="auto"/>
                <w:sz w:val="24"/>
                <w:highlight w:val="none"/>
                <w:lang w:val="en-US" w:eastAsia="zh-CN"/>
              </w:rPr>
              <w:t>19.2</w:t>
            </w:r>
            <w:r>
              <w:rPr>
                <w:b w:val="0"/>
                <w:color w:val="auto"/>
                <w:sz w:val="24"/>
                <w:highlight w:val="none"/>
              </w:rPr>
              <w:t>m</w:t>
            </w:r>
            <w:r>
              <w:rPr>
                <w:b w:val="0"/>
                <w:color w:val="auto"/>
                <w:sz w:val="24"/>
                <w:highlight w:val="none"/>
                <w:vertAlign w:val="superscript"/>
              </w:rPr>
              <w:t>3</w:t>
            </w:r>
            <w:r>
              <w:rPr>
                <w:b w:val="0"/>
                <w:color w:val="auto"/>
                <w:sz w:val="24"/>
                <w:highlight w:val="none"/>
              </w:rPr>
              <w:t>/d</w:t>
            </w:r>
            <w:r>
              <w:rPr>
                <w:rFonts w:hint="eastAsia"/>
                <w:b w:val="0"/>
                <w:color w:val="auto"/>
                <w:sz w:val="24"/>
                <w:highlight w:val="none"/>
                <w:lang w:val="en-US" w:eastAsia="zh-CN"/>
              </w:rPr>
              <w:t>6974.1</w:t>
            </w:r>
            <w:r>
              <w:rPr>
                <w:rFonts w:hint="eastAsia"/>
                <w:b w:val="0"/>
                <w:color w:val="auto"/>
                <w:sz w:val="24"/>
                <w:highlight w:val="none"/>
              </w:rPr>
              <w:t>m</w:t>
            </w:r>
            <w:r>
              <w:rPr>
                <w:rFonts w:hint="eastAsia"/>
                <w:b w:val="0"/>
                <w:color w:val="auto"/>
                <w:sz w:val="24"/>
                <w:highlight w:val="none"/>
                <w:vertAlign w:val="superscript"/>
              </w:rPr>
              <w:t>3</w:t>
            </w:r>
            <w:r>
              <w:rPr>
                <w:rFonts w:hint="eastAsia"/>
                <w:b w:val="0"/>
                <w:color w:val="auto"/>
                <w:sz w:val="24"/>
                <w:highlight w:val="none"/>
              </w:rPr>
              <w:t>/a）</w:t>
            </w:r>
          </w:p>
          <w:p w14:paraId="7531278B">
            <w:pPr>
              <w:pStyle w:val="23"/>
              <w:spacing w:line="360" w:lineRule="auto"/>
              <w:ind w:left="0" w:leftChars="0" w:firstLine="480" w:firstLineChars="200"/>
              <w:rPr>
                <w:b w:val="0"/>
                <w:color w:val="auto"/>
                <w:sz w:val="24"/>
                <w:highlight w:val="none"/>
              </w:rPr>
            </w:pPr>
            <w:r>
              <w:rPr>
                <w:rFonts w:hint="eastAsia"/>
                <w:b w:val="0"/>
                <w:color w:val="auto"/>
                <w:sz w:val="24"/>
                <w:highlight w:val="none"/>
              </w:rPr>
              <w:t>6</w:t>
            </w:r>
            <w:r>
              <w:rPr>
                <w:b w:val="0"/>
                <w:color w:val="auto"/>
                <w:sz w:val="24"/>
                <w:highlight w:val="none"/>
              </w:rPr>
              <w:t>.2排水</w:t>
            </w:r>
          </w:p>
          <w:p w14:paraId="79C6FEDF">
            <w:pPr>
              <w:pStyle w:val="23"/>
              <w:spacing w:line="360" w:lineRule="auto"/>
              <w:ind w:left="0" w:leftChars="0" w:firstLine="480" w:firstLineChars="200"/>
              <w:rPr>
                <w:b w:val="0"/>
                <w:color w:val="auto"/>
                <w:sz w:val="24"/>
                <w:highlight w:val="none"/>
              </w:rPr>
            </w:pPr>
            <w:r>
              <w:rPr>
                <w:b w:val="0"/>
                <w:color w:val="auto"/>
                <w:sz w:val="24"/>
                <w:highlight w:val="none"/>
              </w:rPr>
              <w:t>本项目废水主要为职工生活</w:t>
            </w:r>
            <w:r>
              <w:rPr>
                <w:rFonts w:hint="eastAsia"/>
                <w:b w:val="0"/>
                <w:color w:val="auto"/>
                <w:sz w:val="24"/>
                <w:highlight w:val="none"/>
              </w:rPr>
              <w:t>污</w:t>
            </w:r>
            <w:r>
              <w:rPr>
                <w:b w:val="0"/>
                <w:color w:val="auto"/>
                <w:sz w:val="24"/>
                <w:highlight w:val="none"/>
              </w:rPr>
              <w:t>水、住院病房</w:t>
            </w:r>
            <w:r>
              <w:rPr>
                <w:rFonts w:hint="eastAsia"/>
                <w:b w:val="0"/>
                <w:color w:val="auto"/>
                <w:sz w:val="24"/>
                <w:highlight w:val="none"/>
              </w:rPr>
              <w:t>废</w:t>
            </w:r>
            <w:r>
              <w:rPr>
                <w:b w:val="0"/>
                <w:color w:val="auto"/>
                <w:sz w:val="24"/>
                <w:highlight w:val="none"/>
              </w:rPr>
              <w:t>水、门诊患者</w:t>
            </w:r>
            <w:r>
              <w:rPr>
                <w:rFonts w:hint="eastAsia"/>
                <w:b w:val="0"/>
                <w:color w:val="auto"/>
                <w:sz w:val="24"/>
                <w:highlight w:val="none"/>
              </w:rPr>
              <w:t>废</w:t>
            </w:r>
            <w:r>
              <w:rPr>
                <w:b w:val="0"/>
                <w:color w:val="auto"/>
                <w:sz w:val="24"/>
                <w:highlight w:val="none"/>
              </w:rPr>
              <w:t>水、地面清洁</w:t>
            </w:r>
            <w:r>
              <w:rPr>
                <w:rFonts w:hint="eastAsia"/>
                <w:b w:val="0"/>
                <w:color w:val="auto"/>
                <w:sz w:val="24"/>
                <w:highlight w:val="none"/>
              </w:rPr>
              <w:t>废</w:t>
            </w:r>
            <w:r>
              <w:rPr>
                <w:b w:val="0"/>
                <w:color w:val="auto"/>
                <w:sz w:val="24"/>
                <w:highlight w:val="none"/>
              </w:rPr>
              <w:t>水、化验室</w:t>
            </w:r>
            <w:r>
              <w:rPr>
                <w:rFonts w:hint="eastAsia"/>
                <w:b w:val="0"/>
                <w:color w:val="auto"/>
                <w:sz w:val="24"/>
                <w:highlight w:val="none"/>
              </w:rPr>
              <w:t>废</w:t>
            </w:r>
            <w:r>
              <w:rPr>
                <w:b w:val="0"/>
                <w:color w:val="auto"/>
                <w:sz w:val="24"/>
                <w:highlight w:val="none"/>
              </w:rPr>
              <w:t>水、食堂</w:t>
            </w:r>
            <w:r>
              <w:rPr>
                <w:rFonts w:hint="eastAsia"/>
                <w:b w:val="0"/>
                <w:color w:val="auto"/>
                <w:sz w:val="24"/>
                <w:highlight w:val="none"/>
              </w:rPr>
              <w:t>废</w:t>
            </w:r>
            <w:r>
              <w:rPr>
                <w:b w:val="0"/>
                <w:color w:val="auto"/>
                <w:sz w:val="24"/>
                <w:highlight w:val="none"/>
              </w:rPr>
              <w:t>水、中药室</w:t>
            </w:r>
            <w:r>
              <w:rPr>
                <w:rFonts w:hint="eastAsia"/>
                <w:b w:val="0"/>
                <w:color w:val="auto"/>
                <w:sz w:val="24"/>
                <w:highlight w:val="none"/>
              </w:rPr>
              <w:t>废</w:t>
            </w:r>
            <w:r>
              <w:rPr>
                <w:b w:val="0"/>
                <w:color w:val="auto"/>
                <w:sz w:val="24"/>
                <w:highlight w:val="none"/>
              </w:rPr>
              <w:t>水</w:t>
            </w:r>
            <w:r>
              <w:rPr>
                <w:rFonts w:hint="eastAsia"/>
                <w:b w:val="0"/>
                <w:color w:val="auto"/>
                <w:sz w:val="24"/>
                <w:highlight w:val="none"/>
              </w:rPr>
              <w:t>，污水全部排入化粪池后经污水站处理，通</w:t>
            </w:r>
            <w:r>
              <w:rPr>
                <w:b w:val="0"/>
                <w:color w:val="auto"/>
                <w:sz w:val="24"/>
                <w:highlight w:val="none"/>
              </w:rPr>
              <w:t>过市政管网排入长春市</w:t>
            </w:r>
            <w:r>
              <w:rPr>
                <w:rFonts w:hint="eastAsia"/>
                <w:b w:val="0"/>
                <w:color w:val="auto"/>
                <w:sz w:val="24"/>
                <w:highlight w:val="none"/>
              </w:rPr>
              <w:t>南部</w:t>
            </w:r>
            <w:r>
              <w:rPr>
                <w:b w:val="0"/>
                <w:color w:val="auto"/>
                <w:sz w:val="24"/>
                <w:highlight w:val="none"/>
              </w:rPr>
              <w:t>污水处理厂。</w:t>
            </w:r>
          </w:p>
          <w:p w14:paraId="622CA91F">
            <w:pPr>
              <w:spacing w:line="360" w:lineRule="auto"/>
              <w:ind w:firstLine="480" w:firstLineChars="200"/>
              <w:rPr>
                <w:color w:val="auto"/>
                <w:sz w:val="24"/>
                <w:highlight w:val="none"/>
              </w:rPr>
            </w:pPr>
            <w:r>
              <w:rPr>
                <w:color w:val="auto"/>
                <w:sz w:val="24"/>
                <w:highlight w:val="none"/>
              </w:rPr>
              <w:t>（1）生活污水</w:t>
            </w:r>
          </w:p>
          <w:p w14:paraId="6660EAB1">
            <w:pPr>
              <w:spacing w:line="360" w:lineRule="auto"/>
              <w:ind w:firstLine="480" w:firstLineChars="200"/>
              <w:rPr>
                <w:color w:val="auto"/>
                <w:sz w:val="24"/>
                <w:highlight w:val="none"/>
              </w:rPr>
            </w:pPr>
            <w:r>
              <w:rPr>
                <w:rFonts w:hint="eastAsia"/>
                <w:bCs/>
                <w:color w:val="auto"/>
                <w:sz w:val="24"/>
                <w:highlight w:val="none"/>
              </w:rPr>
              <w:t>职工</w:t>
            </w:r>
            <w:r>
              <w:rPr>
                <w:bCs/>
                <w:color w:val="auto"/>
                <w:sz w:val="24"/>
                <w:highlight w:val="none"/>
              </w:rPr>
              <w:t>生活污水产生量按其用水量的80%计算，则生活污水产生量为</w:t>
            </w:r>
            <w:r>
              <w:rPr>
                <w:rFonts w:hint="eastAsia"/>
                <w:bCs/>
                <w:color w:val="auto"/>
                <w:sz w:val="24"/>
                <w:highlight w:val="none"/>
              </w:rPr>
              <w:t>1.12</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rPr>
              <w:t>408.8</w:t>
            </w:r>
            <w:r>
              <w:rPr>
                <w:bCs/>
                <w:color w:val="auto"/>
                <w:sz w:val="24"/>
                <w:highlight w:val="none"/>
              </w:rPr>
              <w:t>m</w:t>
            </w:r>
            <w:r>
              <w:rPr>
                <w:bCs/>
                <w:color w:val="auto"/>
                <w:sz w:val="24"/>
                <w:highlight w:val="none"/>
                <w:vertAlign w:val="superscript"/>
              </w:rPr>
              <w:t>3</w:t>
            </w:r>
            <w:r>
              <w:rPr>
                <w:bCs/>
                <w:color w:val="auto"/>
                <w:sz w:val="24"/>
                <w:highlight w:val="none"/>
              </w:rPr>
              <w:t>/a）</w:t>
            </w:r>
            <w:r>
              <w:rPr>
                <w:rFonts w:hint="eastAsia"/>
                <w:color w:val="auto"/>
                <w:sz w:val="24"/>
                <w:highlight w:val="none"/>
              </w:rPr>
              <w:t>。</w:t>
            </w:r>
          </w:p>
          <w:p w14:paraId="2F187FBD">
            <w:pPr>
              <w:pStyle w:val="36"/>
              <w:spacing w:line="360" w:lineRule="auto"/>
              <w:ind w:firstLine="480" w:firstLineChars="200"/>
              <w:rPr>
                <w:rFonts w:hint="default" w:ascii="Times New Roman"/>
                <w:color w:val="auto"/>
                <w:sz w:val="24"/>
                <w:szCs w:val="24"/>
                <w:highlight w:val="none"/>
              </w:rPr>
            </w:pPr>
            <w:r>
              <w:rPr>
                <w:rFonts w:hint="default" w:ascii="Times New Roman"/>
                <w:color w:val="auto"/>
                <w:sz w:val="24"/>
                <w:szCs w:val="24"/>
                <w:highlight w:val="none"/>
              </w:rPr>
              <w:t>（2）</w:t>
            </w:r>
            <w:r>
              <w:rPr>
                <w:rFonts w:ascii="Times New Roman"/>
                <w:color w:val="auto"/>
                <w:sz w:val="24"/>
                <w:szCs w:val="24"/>
                <w:highlight w:val="none"/>
              </w:rPr>
              <w:t>住院病房</w:t>
            </w:r>
            <w:r>
              <w:rPr>
                <w:rFonts w:hint="default" w:ascii="Times New Roman"/>
                <w:color w:val="auto"/>
                <w:sz w:val="24"/>
                <w:szCs w:val="24"/>
                <w:highlight w:val="none"/>
              </w:rPr>
              <w:t>废水</w:t>
            </w:r>
          </w:p>
          <w:p w14:paraId="59E93DAA">
            <w:pPr>
              <w:widowControl/>
              <w:wordWrap w:val="0"/>
              <w:spacing w:line="360" w:lineRule="auto"/>
              <w:ind w:firstLine="480" w:firstLineChars="200"/>
              <w:jc w:val="left"/>
              <w:rPr>
                <w:color w:val="auto"/>
                <w:sz w:val="24"/>
                <w:highlight w:val="none"/>
              </w:rPr>
            </w:pPr>
            <w:r>
              <w:rPr>
                <w:rFonts w:hint="eastAsia"/>
                <w:color w:val="auto"/>
                <w:sz w:val="24"/>
                <w:highlight w:val="none"/>
              </w:rPr>
              <w:t>本项目住院病房废水产污系数按80%计，则住院病房废水量为8m</w:t>
            </w:r>
            <w:r>
              <w:rPr>
                <w:rFonts w:hint="eastAsia"/>
                <w:color w:val="auto"/>
                <w:sz w:val="24"/>
                <w:highlight w:val="none"/>
                <w:vertAlign w:val="superscript"/>
              </w:rPr>
              <w:t>3</w:t>
            </w:r>
            <w:r>
              <w:rPr>
                <w:rFonts w:hint="eastAsia"/>
                <w:color w:val="auto"/>
                <w:sz w:val="24"/>
                <w:highlight w:val="none"/>
              </w:rPr>
              <w:t>/d（2920m</w:t>
            </w:r>
            <w:r>
              <w:rPr>
                <w:rFonts w:hint="eastAsia"/>
                <w:color w:val="auto"/>
                <w:sz w:val="24"/>
                <w:highlight w:val="none"/>
                <w:vertAlign w:val="superscript"/>
              </w:rPr>
              <w:t>3</w:t>
            </w:r>
            <w:r>
              <w:rPr>
                <w:rFonts w:hint="eastAsia"/>
                <w:color w:val="auto"/>
                <w:sz w:val="24"/>
                <w:highlight w:val="none"/>
              </w:rPr>
              <w:t>/a）。</w:t>
            </w:r>
          </w:p>
          <w:p w14:paraId="63EF91F3">
            <w:pPr>
              <w:pStyle w:val="36"/>
              <w:spacing w:line="360" w:lineRule="auto"/>
              <w:ind w:firstLine="480" w:firstLineChars="200"/>
              <w:rPr>
                <w:rFonts w:hint="default" w:ascii="Times New Roman"/>
                <w:color w:val="auto"/>
                <w:sz w:val="24"/>
                <w:szCs w:val="24"/>
                <w:highlight w:val="none"/>
              </w:rPr>
            </w:pPr>
            <w:r>
              <w:rPr>
                <w:rFonts w:hint="default" w:ascii="Times New Roman"/>
                <w:color w:val="auto"/>
                <w:sz w:val="24"/>
                <w:szCs w:val="24"/>
                <w:highlight w:val="none"/>
              </w:rPr>
              <w:t>（3）</w:t>
            </w:r>
            <w:r>
              <w:rPr>
                <w:rFonts w:hint="default" w:ascii="Times New Roman"/>
                <w:color w:val="auto"/>
                <w:sz w:val="24"/>
                <w:highlight w:val="none"/>
              </w:rPr>
              <w:t>门诊患者</w:t>
            </w:r>
            <w:r>
              <w:rPr>
                <w:color w:val="auto"/>
                <w:sz w:val="24"/>
                <w:highlight w:val="none"/>
              </w:rPr>
              <w:t>废</w:t>
            </w:r>
            <w:r>
              <w:rPr>
                <w:rFonts w:hint="default" w:ascii="Times New Roman"/>
                <w:color w:val="auto"/>
                <w:sz w:val="24"/>
                <w:highlight w:val="none"/>
              </w:rPr>
              <w:t>水</w:t>
            </w:r>
          </w:p>
          <w:p w14:paraId="78BF0665">
            <w:pPr>
              <w:spacing w:line="360" w:lineRule="auto"/>
              <w:ind w:firstLine="480" w:firstLineChars="200"/>
              <w:rPr>
                <w:color w:val="auto"/>
                <w:sz w:val="24"/>
                <w:highlight w:val="none"/>
              </w:rPr>
            </w:pPr>
            <w:r>
              <w:rPr>
                <w:rFonts w:hint="eastAsia"/>
                <w:bCs/>
                <w:color w:val="auto"/>
                <w:sz w:val="24"/>
                <w:highlight w:val="none"/>
              </w:rPr>
              <w:t>门诊废水</w:t>
            </w:r>
            <w:r>
              <w:rPr>
                <w:bCs/>
                <w:color w:val="auto"/>
                <w:sz w:val="24"/>
                <w:highlight w:val="none"/>
              </w:rPr>
              <w:t>产生量按其用水量的80%计算，则</w:t>
            </w:r>
            <w:r>
              <w:rPr>
                <w:rFonts w:hint="eastAsia"/>
                <w:bCs/>
                <w:color w:val="auto"/>
                <w:sz w:val="24"/>
                <w:highlight w:val="none"/>
              </w:rPr>
              <w:t>门诊废水</w:t>
            </w:r>
            <w:r>
              <w:rPr>
                <w:bCs/>
                <w:color w:val="auto"/>
                <w:sz w:val="24"/>
                <w:highlight w:val="none"/>
              </w:rPr>
              <w:t>产生量为</w:t>
            </w:r>
            <w:r>
              <w:rPr>
                <w:rFonts w:hint="eastAsia"/>
                <w:bCs/>
                <w:color w:val="auto"/>
                <w:sz w:val="24"/>
                <w:highlight w:val="none"/>
              </w:rPr>
              <w:t>1.6</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rPr>
              <w:t>584</w:t>
            </w:r>
            <w:r>
              <w:rPr>
                <w:bCs/>
                <w:color w:val="auto"/>
                <w:sz w:val="24"/>
                <w:highlight w:val="none"/>
              </w:rPr>
              <w:t>m</w:t>
            </w:r>
            <w:r>
              <w:rPr>
                <w:bCs/>
                <w:color w:val="auto"/>
                <w:sz w:val="24"/>
                <w:highlight w:val="none"/>
                <w:vertAlign w:val="superscript"/>
              </w:rPr>
              <w:t>3</w:t>
            </w:r>
            <w:r>
              <w:rPr>
                <w:bCs/>
                <w:color w:val="auto"/>
                <w:sz w:val="24"/>
                <w:highlight w:val="none"/>
              </w:rPr>
              <w:t>/a）</w:t>
            </w:r>
            <w:r>
              <w:rPr>
                <w:color w:val="auto"/>
                <w:sz w:val="24"/>
                <w:highlight w:val="none"/>
              </w:rPr>
              <w:t>。</w:t>
            </w:r>
          </w:p>
          <w:p w14:paraId="536538D7">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地面清洁</w:t>
            </w:r>
            <w:r>
              <w:rPr>
                <w:rFonts w:hint="eastAsia"/>
                <w:color w:val="auto"/>
                <w:sz w:val="24"/>
                <w:highlight w:val="none"/>
              </w:rPr>
              <w:t>废</w:t>
            </w:r>
            <w:r>
              <w:rPr>
                <w:color w:val="auto"/>
                <w:sz w:val="24"/>
                <w:highlight w:val="none"/>
              </w:rPr>
              <w:t>水</w:t>
            </w:r>
          </w:p>
          <w:p w14:paraId="6D427C86">
            <w:pPr>
              <w:spacing w:line="360" w:lineRule="auto"/>
              <w:ind w:firstLine="480" w:firstLineChars="200"/>
              <w:rPr>
                <w:color w:val="auto"/>
                <w:sz w:val="24"/>
                <w:highlight w:val="none"/>
              </w:rPr>
            </w:pPr>
            <w:r>
              <w:rPr>
                <w:rFonts w:hint="eastAsia"/>
                <w:color w:val="auto"/>
                <w:sz w:val="24"/>
                <w:highlight w:val="none"/>
              </w:rPr>
              <w:t>本项目地面清洗废水产污系数按80%计，则地面清洗废水量为3.824m</w:t>
            </w:r>
            <w:r>
              <w:rPr>
                <w:rFonts w:hint="eastAsia"/>
                <w:color w:val="auto"/>
                <w:sz w:val="24"/>
                <w:highlight w:val="none"/>
                <w:vertAlign w:val="superscript"/>
              </w:rPr>
              <w:t>3</w:t>
            </w:r>
            <w:r>
              <w:rPr>
                <w:rFonts w:hint="eastAsia"/>
                <w:color w:val="auto"/>
                <w:sz w:val="24"/>
                <w:highlight w:val="none"/>
              </w:rPr>
              <w:t>/d（1395.76m</w:t>
            </w:r>
            <w:r>
              <w:rPr>
                <w:rFonts w:hint="eastAsia"/>
                <w:color w:val="auto"/>
                <w:sz w:val="24"/>
                <w:highlight w:val="none"/>
                <w:vertAlign w:val="superscript"/>
              </w:rPr>
              <w:t>3</w:t>
            </w:r>
            <w:r>
              <w:rPr>
                <w:rFonts w:hint="eastAsia"/>
                <w:color w:val="auto"/>
                <w:sz w:val="24"/>
                <w:highlight w:val="none"/>
              </w:rPr>
              <w:t>/a）。</w:t>
            </w:r>
          </w:p>
          <w:p w14:paraId="2AB01A84">
            <w:pPr>
              <w:pStyle w:val="36"/>
              <w:adjustRightInd/>
              <w:spacing w:line="360" w:lineRule="auto"/>
              <w:ind w:firstLine="480" w:firstLineChars="200"/>
              <w:rPr>
                <w:rFonts w:hint="default" w:ascii="Times New Roman"/>
                <w:color w:val="auto"/>
                <w:sz w:val="24"/>
                <w:szCs w:val="24"/>
                <w:highlight w:val="none"/>
              </w:rPr>
            </w:pPr>
            <w:r>
              <w:rPr>
                <w:rFonts w:ascii="Times New Roman"/>
                <w:color w:val="auto"/>
                <w:sz w:val="24"/>
                <w:szCs w:val="24"/>
                <w:highlight w:val="none"/>
              </w:rPr>
              <w:t>（5）化验室废水</w:t>
            </w:r>
          </w:p>
          <w:p w14:paraId="40F5FAEB">
            <w:pPr>
              <w:pStyle w:val="36"/>
              <w:adjustRightInd/>
              <w:spacing w:line="360" w:lineRule="auto"/>
              <w:ind w:firstLine="480" w:firstLineChars="200"/>
              <w:rPr>
                <w:rFonts w:hint="default" w:ascii="Times New Roman"/>
                <w:color w:val="auto"/>
                <w:sz w:val="24"/>
                <w:szCs w:val="24"/>
                <w:highlight w:val="none"/>
              </w:rPr>
            </w:pPr>
            <w:r>
              <w:rPr>
                <w:rFonts w:ascii="Times New Roman"/>
                <w:color w:val="auto"/>
                <w:sz w:val="24"/>
                <w:szCs w:val="24"/>
                <w:highlight w:val="none"/>
              </w:rPr>
              <w:t>本项目</w:t>
            </w:r>
            <w:r>
              <w:rPr>
                <w:rFonts w:ascii="Times New Roman"/>
                <w:color w:val="auto"/>
                <w:sz w:val="24"/>
                <w:highlight w:val="none"/>
              </w:rPr>
              <w:t>化验室废水产污系数按80%计，</w:t>
            </w:r>
            <w:r>
              <w:rPr>
                <w:rFonts w:ascii="Times New Roman"/>
                <w:color w:val="auto"/>
                <w:sz w:val="24"/>
                <w:szCs w:val="24"/>
                <w:highlight w:val="none"/>
              </w:rPr>
              <w:t>化验室废水产生量约为0.16</w:t>
            </w:r>
            <w:r>
              <w:rPr>
                <w:rFonts w:ascii="Times New Roman"/>
                <w:color w:val="auto"/>
                <w:sz w:val="24"/>
                <w:highlight w:val="none"/>
              </w:rPr>
              <w:t>m</w:t>
            </w:r>
            <w:r>
              <w:rPr>
                <w:rFonts w:ascii="Times New Roman"/>
                <w:color w:val="auto"/>
                <w:sz w:val="24"/>
                <w:highlight w:val="none"/>
                <w:vertAlign w:val="superscript"/>
              </w:rPr>
              <w:t>3</w:t>
            </w:r>
            <w:r>
              <w:rPr>
                <w:rFonts w:ascii="Times New Roman"/>
                <w:color w:val="auto"/>
                <w:sz w:val="24"/>
                <w:szCs w:val="24"/>
                <w:highlight w:val="none"/>
              </w:rPr>
              <w:t>/d（54.8</w:t>
            </w:r>
            <w:r>
              <w:rPr>
                <w:rFonts w:ascii="Times New Roman"/>
                <w:color w:val="auto"/>
                <w:sz w:val="24"/>
                <w:highlight w:val="none"/>
              </w:rPr>
              <w:t>m</w:t>
            </w:r>
            <w:r>
              <w:rPr>
                <w:rFonts w:ascii="Times New Roman"/>
                <w:color w:val="auto"/>
                <w:sz w:val="24"/>
                <w:highlight w:val="none"/>
                <w:vertAlign w:val="superscript"/>
              </w:rPr>
              <w:t>3</w:t>
            </w:r>
            <w:r>
              <w:rPr>
                <w:rFonts w:ascii="Times New Roman"/>
                <w:color w:val="auto"/>
                <w:sz w:val="24"/>
                <w:szCs w:val="24"/>
                <w:highlight w:val="none"/>
              </w:rPr>
              <w:t>/a）。</w:t>
            </w:r>
          </w:p>
          <w:p w14:paraId="37A7CF5B">
            <w:pPr>
              <w:pStyle w:val="36"/>
              <w:adjustRightInd/>
              <w:spacing w:line="360" w:lineRule="auto"/>
              <w:ind w:firstLine="480" w:firstLineChars="200"/>
              <w:rPr>
                <w:rFonts w:hint="default" w:ascii="Times New Roman"/>
                <w:color w:val="auto"/>
                <w:sz w:val="24"/>
                <w:szCs w:val="24"/>
                <w:highlight w:val="none"/>
              </w:rPr>
            </w:pPr>
            <w:r>
              <w:rPr>
                <w:rFonts w:ascii="Times New Roman"/>
                <w:color w:val="auto"/>
                <w:sz w:val="24"/>
                <w:szCs w:val="24"/>
                <w:highlight w:val="none"/>
              </w:rPr>
              <w:t>（6）食堂废水</w:t>
            </w:r>
          </w:p>
          <w:p w14:paraId="3BCAA290">
            <w:pPr>
              <w:spacing w:line="360" w:lineRule="auto"/>
              <w:ind w:firstLine="480" w:firstLineChars="200"/>
              <w:rPr>
                <w:color w:val="auto"/>
                <w:sz w:val="24"/>
                <w:highlight w:val="none"/>
              </w:rPr>
            </w:pPr>
            <w:r>
              <w:rPr>
                <w:rFonts w:hint="eastAsia"/>
                <w:bCs/>
                <w:color w:val="auto"/>
                <w:sz w:val="24"/>
                <w:highlight w:val="none"/>
              </w:rPr>
              <w:t>食堂废水</w:t>
            </w:r>
            <w:r>
              <w:rPr>
                <w:bCs/>
                <w:color w:val="auto"/>
                <w:sz w:val="24"/>
                <w:highlight w:val="none"/>
              </w:rPr>
              <w:t>产生量按其用水量的80%计算，则</w:t>
            </w:r>
            <w:r>
              <w:rPr>
                <w:rFonts w:hint="eastAsia"/>
                <w:bCs/>
                <w:color w:val="auto"/>
                <w:sz w:val="24"/>
                <w:highlight w:val="none"/>
              </w:rPr>
              <w:t>食堂废水</w:t>
            </w:r>
            <w:r>
              <w:rPr>
                <w:bCs/>
                <w:color w:val="auto"/>
                <w:sz w:val="24"/>
                <w:highlight w:val="none"/>
              </w:rPr>
              <w:t>产生量为</w:t>
            </w:r>
            <w:r>
              <w:rPr>
                <w:rFonts w:hint="eastAsia"/>
                <w:bCs/>
                <w:color w:val="auto"/>
                <w:sz w:val="24"/>
                <w:highlight w:val="none"/>
              </w:rPr>
              <w:t>0.56</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rPr>
              <w:t>204.4</w:t>
            </w:r>
            <w:r>
              <w:rPr>
                <w:bCs/>
                <w:color w:val="auto"/>
                <w:sz w:val="24"/>
                <w:highlight w:val="none"/>
              </w:rPr>
              <w:t>m</w:t>
            </w:r>
            <w:r>
              <w:rPr>
                <w:bCs/>
                <w:color w:val="auto"/>
                <w:sz w:val="24"/>
                <w:highlight w:val="none"/>
                <w:vertAlign w:val="superscript"/>
              </w:rPr>
              <w:t>3</w:t>
            </w:r>
            <w:r>
              <w:rPr>
                <w:bCs/>
                <w:color w:val="auto"/>
                <w:sz w:val="24"/>
                <w:highlight w:val="none"/>
              </w:rPr>
              <w:t>/a）</w:t>
            </w:r>
            <w:r>
              <w:rPr>
                <w:rFonts w:hint="eastAsia"/>
                <w:color w:val="auto"/>
                <w:sz w:val="24"/>
                <w:highlight w:val="none"/>
              </w:rPr>
              <w:t>。</w:t>
            </w:r>
          </w:p>
          <w:p w14:paraId="67CB333F">
            <w:pPr>
              <w:pStyle w:val="36"/>
              <w:adjustRightInd/>
              <w:spacing w:line="360" w:lineRule="auto"/>
              <w:ind w:firstLine="480" w:firstLineChars="200"/>
              <w:rPr>
                <w:rFonts w:hint="default" w:ascii="Times New Roman"/>
                <w:color w:val="auto"/>
                <w:sz w:val="24"/>
                <w:szCs w:val="24"/>
                <w:highlight w:val="none"/>
              </w:rPr>
            </w:pPr>
            <w:r>
              <w:rPr>
                <w:rFonts w:ascii="Times New Roman"/>
                <w:color w:val="auto"/>
                <w:sz w:val="24"/>
                <w:szCs w:val="24"/>
                <w:highlight w:val="none"/>
              </w:rPr>
              <w:t>（7）中药室废水</w:t>
            </w:r>
          </w:p>
          <w:p w14:paraId="7979D5EB">
            <w:pPr>
              <w:spacing w:line="360" w:lineRule="auto"/>
              <w:ind w:firstLine="480" w:firstLineChars="200"/>
              <w:rPr>
                <w:color w:val="auto"/>
                <w:sz w:val="24"/>
                <w:highlight w:val="none"/>
              </w:rPr>
            </w:pPr>
            <w:r>
              <w:rPr>
                <w:rFonts w:hint="eastAsia"/>
                <w:bCs/>
                <w:color w:val="auto"/>
                <w:sz w:val="24"/>
                <w:highlight w:val="none"/>
              </w:rPr>
              <w:t>中药室熬煮废</w:t>
            </w:r>
            <w:r>
              <w:rPr>
                <w:rFonts w:hint="eastAsia"/>
                <w:bCs/>
                <w:color w:val="auto"/>
                <w:sz w:val="24"/>
                <w:highlight w:val="none"/>
              </w:rPr>
              <w:t>水部分蒸发，其余进入产品，排放废水主要为药材清洗废水，产生量</w:t>
            </w:r>
            <w:r>
              <w:rPr>
                <w:bCs/>
                <w:color w:val="auto"/>
                <w:sz w:val="24"/>
                <w:highlight w:val="none"/>
              </w:rPr>
              <w:t>按其用水量的80%计算</w:t>
            </w:r>
            <w:r>
              <w:rPr>
                <w:rFonts w:hint="eastAsia"/>
                <w:bCs/>
                <w:color w:val="auto"/>
                <w:sz w:val="24"/>
                <w:highlight w:val="none"/>
              </w:rPr>
              <w:t>，</w:t>
            </w:r>
            <w:r>
              <w:rPr>
                <w:rFonts w:hint="eastAsia"/>
                <w:bCs/>
                <w:color w:val="auto"/>
                <w:sz w:val="24"/>
                <w:highlight w:val="none"/>
              </w:rPr>
              <w:t>则中药室废水产生量为</w:t>
            </w:r>
            <w:r>
              <w:rPr>
                <w:rFonts w:hint="eastAsia"/>
                <w:color w:val="auto"/>
                <w:sz w:val="24"/>
                <w:highlight w:val="none"/>
              </w:rPr>
              <w:t>0.0088</w:t>
            </w:r>
            <w:r>
              <w:rPr>
                <w:color w:val="auto"/>
                <w:sz w:val="24"/>
                <w:highlight w:val="none"/>
              </w:rPr>
              <w:t>m</w:t>
            </w:r>
            <w:r>
              <w:rPr>
                <w:color w:val="auto"/>
                <w:sz w:val="24"/>
                <w:highlight w:val="none"/>
                <w:vertAlign w:val="superscript"/>
              </w:rPr>
              <w:t>3</w:t>
            </w:r>
            <w:r>
              <w:rPr>
                <w:color w:val="auto"/>
                <w:sz w:val="24"/>
                <w:highlight w:val="none"/>
              </w:rPr>
              <w:t>/d（</w:t>
            </w:r>
            <w:bookmarkStart w:id="4" w:name="OLE_LINK4"/>
            <w:r>
              <w:rPr>
                <w:rFonts w:hint="eastAsia"/>
                <w:color w:val="auto"/>
                <w:sz w:val="24"/>
                <w:highlight w:val="none"/>
              </w:rPr>
              <w:t>3.2</w:t>
            </w:r>
            <w:r>
              <w:rPr>
                <w:color w:val="auto"/>
                <w:sz w:val="24"/>
                <w:highlight w:val="none"/>
              </w:rPr>
              <w:t>m</w:t>
            </w:r>
            <w:r>
              <w:rPr>
                <w:color w:val="auto"/>
                <w:sz w:val="24"/>
                <w:highlight w:val="none"/>
                <w:vertAlign w:val="superscript"/>
              </w:rPr>
              <w:t>3</w:t>
            </w:r>
            <w:r>
              <w:rPr>
                <w:color w:val="auto"/>
                <w:sz w:val="24"/>
                <w:highlight w:val="none"/>
              </w:rPr>
              <w:t>/a</w:t>
            </w:r>
            <w:bookmarkEnd w:id="4"/>
            <w:r>
              <w:rPr>
                <w:color w:val="auto"/>
                <w:sz w:val="24"/>
                <w:highlight w:val="none"/>
              </w:rPr>
              <w:t>）</w:t>
            </w:r>
            <w:r>
              <w:rPr>
                <w:rFonts w:hint="eastAsia"/>
                <w:color w:val="auto"/>
                <w:sz w:val="24"/>
                <w:highlight w:val="none"/>
              </w:rPr>
              <w:t>。</w:t>
            </w:r>
          </w:p>
          <w:p w14:paraId="52109700">
            <w:pPr>
              <w:pStyle w:val="36"/>
              <w:adjustRightInd/>
              <w:spacing w:line="360" w:lineRule="auto"/>
              <w:ind w:firstLine="480" w:firstLineChars="200"/>
              <w:rPr>
                <w:rFonts w:hint="default" w:ascii="Times New Roman"/>
                <w:color w:val="auto"/>
                <w:sz w:val="24"/>
                <w:szCs w:val="24"/>
                <w:highlight w:val="none"/>
              </w:rPr>
            </w:pPr>
            <w:r>
              <w:rPr>
                <w:rFonts w:ascii="Times New Roman"/>
                <w:color w:val="auto"/>
                <w:sz w:val="24"/>
                <w:szCs w:val="24"/>
                <w:highlight w:val="none"/>
              </w:rPr>
              <w:t>综上，</w:t>
            </w:r>
            <w:r>
              <w:rPr>
                <w:rFonts w:hint="default" w:ascii="Times New Roman"/>
                <w:color w:val="auto"/>
                <w:sz w:val="24"/>
                <w:szCs w:val="24"/>
                <w:highlight w:val="none"/>
              </w:rPr>
              <w:t>本项目运营时总废水排量为</w:t>
            </w:r>
            <w:r>
              <w:rPr>
                <w:rFonts w:ascii="Times New Roman"/>
                <w:color w:val="auto"/>
                <w:sz w:val="24"/>
                <w:szCs w:val="24"/>
                <w:highlight w:val="none"/>
              </w:rPr>
              <w:t>15.273</w:t>
            </w:r>
            <w:r>
              <w:rPr>
                <w:rFonts w:hint="default" w:ascii="Times New Roman"/>
                <w:color w:val="auto"/>
                <w:sz w:val="24"/>
                <w:szCs w:val="24"/>
                <w:highlight w:val="none"/>
              </w:rPr>
              <w:t>m</w:t>
            </w:r>
            <w:r>
              <w:rPr>
                <w:rFonts w:hint="default" w:ascii="Times New Roman"/>
                <w:color w:val="auto"/>
                <w:sz w:val="24"/>
                <w:szCs w:val="24"/>
                <w:highlight w:val="none"/>
                <w:vertAlign w:val="superscript"/>
              </w:rPr>
              <w:t>3</w:t>
            </w:r>
            <w:r>
              <w:rPr>
                <w:rFonts w:hint="default" w:ascii="Times New Roman"/>
                <w:color w:val="auto"/>
                <w:sz w:val="24"/>
                <w:szCs w:val="24"/>
                <w:highlight w:val="none"/>
              </w:rPr>
              <w:t>/d</w:t>
            </w:r>
            <w:r>
              <w:rPr>
                <w:rFonts w:ascii="Times New Roman"/>
                <w:color w:val="auto"/>
                <w:sz w:val="24"/>
                <w:szCs w:val="24"/>
                <w:highlight w:val="none"/>
              </w:rPr>
              <w:t>（5574.645</w:t>
            </w:r>
            <w:r>
              <w:rPr>
                <w:rFonts w:hint="default" w:ascii="Times New Roman"/>
                <w:color w:val="auto"/>
                <w:sz w:val="24"/>
                <w:highlight w:val="none"/>
              </w:rPr>
              <w:t>m</w:t>
            </w:r>
            <w:r>
              <w:rPr>
                <w:rFonts w:hint="default" w:ascii="Times New Roman"/>
                <w:color w:val="auto"/>
                <w:sz w:val="24"/>
                <w:highlight w:val="none"/>
                <w:vertAlign w:val="superscript"/>
              </w:rPr>
              <w:t>3</w:t>
            </w:r>
            <w:r>
              <w:rPr>
                <w:rFonts w:hint="default" w:ascii="Times New Roman"/>
                <w:color w:val="auto"/>
                <w:sz w:val="24"/>
                <w:highlight w:val="none"/>
              </w:rPr>
              <w:t>/a</w:t>
            </w:r>
            <w:r>
              <w:rPr>
                <w:rFonts w:ascii="Times New Roman"/>
                <w:color w:val="auto"/>
                <w:sz w:val="24"/>
                <w:szCs w:val="24"/>
                <w:highlight w:val="none"/>
              </w:rPr>
              <w:t>）</w:t>
            </w:r>
            <w:r>
              <w:rPr>
                <w:rFonts w:hint="default" w:ascii="Times New Roman"/>
                <w:color w:val="auto"/>
                <w:sz w:val="24"/>
                <w:szCs w:val="24"/>
                <w:highlight w:val="none"/>
              </w:rPr>
              <w:t>。</w:t>
            </w:r>
          </w:p>
          <w:p w14:paraId="617DB3F0">
            <w:pPr>
              <w:jc w:val="center"/>
              <w:rPr>
                <w:color w:val="auto"/>
                <w:highlight w:val="none"/>
              </w:rPr>
            </w:pPr>
            <w:r>
              <w:rPr>
                <w:color w:val="auto"/>
                <w:highlight w:val="none"/>
              </w:rPr>
              <w:drawing>
                <wp:inline distT="0" distB="0" distL="114300" distR="114300">
                  <wp:extent cx="5415280" cy="4380865"/>
                  <wp:effectExtent l="0" t="0" r="0" b="0"/>
                  <wp:docPr id="41" name="ECB019B1-382A-4266-B25C-5B523AA43C14-1" descr="C:/Users/Administrator/AppData/Local/Temp/wps.GnkXXV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ECB019B1-382A-4266-B25C-5B523AA43C14-1" descr="C:/Users/Administrator/AppData/Local/Temp/wps.GnkXXVwps"/>
                          <pic:cNvPicPr>
                            <a:picLocks noChangeAspect="1"/>
                          </pic:cNvPicPr>
                        </pic:nvPicPr>
                        <pic:blipFill>
                          <a:blip r:embed="rId8"/>
                          <a:stretch>
                            <a:fillRect/>
                          </a:stretch>
                        </pic:blipFill>
                        <pic:spPr>
                          <a:xfrm>
                            <a:off x="0" y="0"/>
                            <a:ext cx="5415280" cy="4380865"/>
                          </a:xfrm>
                          <a:prstGeom prst="rect">
                            <a:avLst/>
                          </a:prstGeom>
                        </pic:spPr>
                      </pic:pic>
                    </a:graphicData>
                  </a:graphic>
                </wp:inline>
              </w:drawing>
            </w:r>
          </w:p>
          <w:p w14:paraId="2E6CEF55">
            <w:pPr>
              <w:jc w:val="center"/>
              <w:rPr>
                <w:b/>
                <w:bCs/>
                <w:color w:val="auto"/>
                <w:kern w:val="0"/>
                <w:szCs w:val="21"/>
                <w:highlight w:val="none"/>
              </w:rPr>
            </w:pPr>
            <w:r>
              <w:rPr>
                <w:b/>
                <w:bCs/>
                <w:color w:val="auto"/>
                <w:kern w:val="0"/>
                <w:sz w:val="24"/>
                <w:highlight w:val="none"/>
              </w:rPr>
              <w:t>图2-1 本项</w:t>
            </w:r>
            <w:r>
              <w:rPr>
                <w:b/>
                <w:bCs/>
                <w:color w:val="auto"/>
                <w:kern w:val="0"/>
                <w:sz w:val="24"/>
                <w:highlight w:val="none"/>
              </w:rPr>
              <w:t>目水平衡图（单</w:t>
            </w:r>
            <w:r>
              <w:rPr>
                <w:b/>
                <w:bCs/>
                <w:color w:val="auto"/>
                <w:kern w:val="0"/>
                <w:sz w:val="24"/>
                <w:highlight w:val="none"/>
              </w:rPr>
              <w:t>位：m³/d）</w:t>
            </w:r>
          </w:p>
          <w:p w14:paraId="24264DFF">
            <w:pPr>
              <w:pStyle w:val="23"/>
              <w:spacing w:line="360" w:lineRule="auto"/>
              <w:ind w:left="0" w:leftChars="0" w:firstLine="480" w:firstLineChars="200"/>
              <w:rPr>
                <w:b w:val="0"/>
                <w:color w:val="auto"/>
                <w:sz w:val="24"/>
                <w:highlight w:val="none"/>
              </w:rPr>
            </w:pPr>
            <w:r>
              <w:rPr>
                <w:b w:val="0"/>
                <w:color w:val="auto"/>
                <w:sz w:val="24"/>
                <w:highlight w:val="none"/>
              </w:rPr>
              <w:t>7.3供电</w:t>
            </w:r>
          </w:p>
          <w:p w14:paraId="6C8AF95D">
            <w:pPr>
              <w:spacing w:line="336" w:lineRule="auto"/>
              <w:ind w:firstLine="480" w:firstLineChars="200"/>
              <w:outlineLvl w:val="1"/>
              <w:rPr>
                <w:bCs/>
                <w:color w:val="auto"/>
                <w:sz w:val="24"/>
                <w:highlight w:val="none"/>
              </w:rPr>
            </w:pPr>
            <w:r>
              <w:rPr>
                <w:bCs/>
                <w:color w:val="auto"/>
                <w:sz w:val="24"/>
                <w:highlight w:val="none"/>
              </w:rPr>
              <w:t>本项目供电由当地电网统一供给。</w:t>
            </w:r>
          </w:p>
          <w:p w14:paraId="2A8D5ACD">
            <w:pPr>
              <w:pStyle w:val="23"/>
              <w:spacing w:line="360" w:lineRule="auto"/>
              <w:ind w:left="0" w:leftChars="0" w:firstLine="480" w:firstLineChars="200"/>
              <w:rPr>
                <w:b w:val="0"/>
                <w:color w:val="auto"/>
                <w:sz w:val="24"/>
                <w:highlight w:val="none"/>
              </w:rPr>
            </w:pPr>
            <w:r>
              <w:rPr>
                <w:b w:val="0"/>
                <w:color w:val="auto"/>
                <w:sz w:val="24"/>
                <w:highlight w:val="none"/>
              </w:rPr>
              <w:t>7.4供热</w:t>
            </w:r>
          </w:p>
          <w:p w14:paraId="0BE12140">
            <w:pPr>
              <w:pStyle w:val="23"/>
              <w:spacing w:line="360" w:lineRule="auto"/>
              <w:ind w:left="420"/>
              <w:rPr>
                <w:b w:val="0"/>
                <w:color w:val="auto"/>
                <w:sz w:val="24"/>
                <w:highlight w:val="none"/>
              </w:rPr>
            </w:pPr>
            <w:r>
              <w:rPr>
                <w:rFonts w:hint="eastAsia"/>
                <w:b w:val="0"/>
                <w:color w:val="auto"/>
                <w:sz w:val="24"/>
                <w:highlight w:val="none"/>
              </w:rPr>
              <w:t>本项目冬</w:t>
            </w:r>
            <w:r>
              <w:rPr>
                <w:rFonts w:hint="eastAsia"/>
                <w:b w:val="0"/>
                <w:color w:val="auto"/>
                <w:sz w:val="24"/>
                <w:highlight w:val="none"/>
              </w:rPr>
              <w:t>季采用电采暖。</w:t>
            </w:r>
          </w:p>
          <w:p w14:paraId="56C53F42">
            <w:pPr>
              <w:pStyle w:val="23"/>
              <w:spacing w:line="360" w:lineRule="auto"/>
              <w:ind w:left="0" w:leftChars="0" w:firstLine="482" w:firstLineChars="200"/>
              <w:rPr>
                <w:bCs/>
                <w:color w:val="auto"/>
                <w:sz w:val="24"/>
                <w:highlight w:val="none"/>
              </w:rPr>
            </w:pPr>
            <w:bookmarkStart w:id="5" w:name="_Toc23999"/>
            <w:bookmarkStart w:id="6" w:name="_Toc38800592"/>
            <w:r>
              <w:rPr>
                <w:bCs/>
                <w:color w:val="auto"/>
                <w:sz w:val="24"/>
                <w:highlight w:val="none"/>
              </w:rPr>
              <w:t>8、项目投资及资金来源</w:t>
            </w:r>
          </w:p>
          <w:p w14:paraId="6818AADB">
            <w:pPr>
              <w:pStyle w:val="23"/>
              <w:spacing w:line="360" w:lineRule="auto"/>
              <w:ind w:left="0" w:leftChars="0" w:firstLine="480" w:firstLineChars="200"/>
              <w:rPr>
                <w:b w:val="0"/>
                <w:color w:val="auto"/>
                <w:sz w:val="24"/>
                <w:highlight w:val="none"/>
              </w:rPr>
            </w:pPr>
            <w:r>
              <w:rPr>
                <w:b w:val="0"/>
                <w:color w:val="auto"/>
                <w:sz w:val="24"/>
                <w:highlight w:val="none"/>
              </w:rPr>
              <w:t>本项目总投资为</w:t>
            </w:r>
            <w:r>
              <w:rPr>
                <w:rFonts w:hint="eastAsia"/>
                <w:b w:val="0"/>
                <w:color w:val="auto"/>
                <w:sz w:val="24"/>
                <w:highlight w:val="none"/>
              </w:rPr>
              <w:t>300</w:t>
            </w:r>
            <w:r>
              <w:rPr>
                <w:b w:val="0"/>
                <w:color w:val="auto"/>
                <w:sz w:val="24"/>
                <w:highlight w:val="none"/>
              </w:rPr>
              <w:t>万元，</w:t>
            </w:r>
            <w:r>
              <w:rPr>
                <w:rFonts w:hint="eastAsia"/>
                <w:b w:val="0"/>
                <w:color w:val="auto"/>
                <w:sz w:val="24"/>
                <w:highlight w:val="none"/>
              </w:rPr>
              <w:t>全部为自筹</w:t>
            </w:r>
            <w:r>
              <w:rPr>
                <w:b w:val="0"/>
                <w:color w:val="auto"/>
                <w:sz w:val="24"/>
                <w:highlight w:val="none"/>
              </w:rPr>
              <w:t>。</w:t>
            </w:r>
          </w:p>
          <w:p w14:paraId="155F7245">
            <w:pPr>
              <w:pStyle w:val="23"/>
              <w:spacing w:line="360" w:lineRule="auto"/>
              <w:ind w:left="0" w:leftChars="0" w:firstLine="482" w:firstLineChars="200"/>
              <w:rPr>
                <w:bCs/>
                <w:color w:val="auto"/>
                <w:sz w:val="24"/>
                <w:highlight w:val="none"/>
              </w:rPr>
            </w:pPr>
            <w:r>
              <w:rPr>
                <w:rFonts w:hint="eastAsia"/>
                <w:bCs/>
                <w:color w:val="auto"/>
                <w:sz w:val="24"/>
                <w:highlight w:val="none"/>
              </w:rPr>
              <w:t>9</w:t>
            </w:r>
            <w:r>
              <w:rPr>
                <w:bCs/>
                <w:color w:val="auto"/>
                <w:sz w:val="24"/>
                <w:highlight w:val="none"/>
              </w:rPr>
              <w:t>、劳动定员及工作制度</w:t>
            </w:r>
            <w:bookmarkEnd w:id="5"/>
            <w:bookmarkEnd w:id="6"/>
          </w:p>
          <w:p w14:paraId="09AF8B53">
            <w:pPr>
              <w:spacing w:line="360" w:lineRule="auto"/>
              <w:ind w:firstLine="480"/>
              <w:rPr>
                <w:color w:val="auto"/>
                <w:sz w:val="24"/>
                <w:highlight w:val="none"/>
              </w:rPr>
            </w:pPr>
            <w:r>
              <w:rPr>
                <w:color w:val="auto"/>
                <w:sz w:val="24"/>
                <w:highlight w:val="none"/>
              </w:rPr>
              <w:t>本项目</w:t>
            </w:r>
            <w:r>
              <w:rPr>
                <w:rFonts w:hint="eastAsia"/>
                <w:color w:val="auto"/>
                <w:sz w:val="24"/>
                <w:highlight w:val="none"/>
              </w:rPr>
              <w:t>运营期医护人员35人</w:t>
            </w:r>
            <w:r>
              <w:rPr>
                <w:color w:val="auto"/>
                <w:sz w:val="24"/>
                <w:highlight w:val="none"/>
              </w:rPr>
              <w:t>，</w:t>
            </w:r>
            <w:r>
              <w:rPr>
                <w:rFonts w:hint="eastAsia"/>
                <w:color w:val="auto"/>
                <w:sz w:val="24"/>
                <w:highlight w:val="none"/>
              </w:rPr>
              <w:t>年工作天数为365天，3</w:t>
            </w:r>
            <w:r>
              <w:rPr>
                <w:color w:val="auto"/>
                <w:sz w:val="24"/>
                <w:highlight w:val="none"/>
              </w:rPr>
              <w:t>班工作制，每班8小时。</w:t>
            </w:r>
          </w:p>
          <w:p w14:paraId="5E065512">
            <w:pPr>
              <w:rPr>
                <w:color w:val="auto"/>
                <w:highlight w:val="none"/>
              </w:rPr>
            </w:pPr>
          </w:p>
          <w:p w14:paraId="40A32356">
            <w:pPr>
              <w:pStyle w:val="23"/>
              <w:rPr>
                <w:color w:val="auto"/>
                <w:highlight w:val="none"/>
              </w:rPr>
            </w:pPr>
          </w:p>
          <w:p w14:paraId="041EF348">
            <w:pPr>
              <w:rPr>
                <w:color w:val="auto"/>
                <w:highlight w:val="none"/>
              </w:rPr>
            </w:pPr>
          </w:p>
          <w:p w14:paraId="33079A2A">
            <w:pPr>
              <w:pStyle w:val="23"/>
              <w:rPr>
                <w:color w:val="auto"/>
                <w:highlight w:val="none"/>
              </w:rPr>
            </w:pPr>
          </w:p>
          <w:p w14:paraId="1C4FF301">
            <w:pPr>
              <w:rPr>
                <w:highlight w:val="none"/>
              </w:rPr>
            </w:pPr>
          </w:p>
        </w:tc>
      </w:tr>
      <w:tr w14:paraId="33F54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vAlign w:val="center"/>
          </w:tcPr>
          <w:p w14:paraId="17F46BC6">
            <w:pPr>
              <w:pStyle w:val="24"/>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工艺流程和产排污环节</w:t>
            </w:r>
          </w:p>
        </w:tc>
        <w:tc>
          <w:tcPr>
            <w:tcW w:w="4764" w:type="pct"/>
          </w:tcPr>
          <w:p w14:paraId="16D757F5">
            <w:pPr>
              <w:pStyle w:val="19"/>
              <w:spacing w:line="360" w:lineRule="auto"/>
              <w:ind w:firstLine="482" w:firstLineChars="200"/>
              <w:rPr>
                <w:rFonts w:cs="宋体"/>
                <w:b/>
                <w:bCs/>
                <w:color w:val="auto"/>
                <w:sz w:val="24"/>
                <w:highlight w:val="none"/>
              </w:rPr>
            </w:pPr>
            <w:r>
              <w:rPr>
                <w:rFonts w:hint="eastAsia" w:cs="宋体"/>
                <w:b/>
                <w:color w:val="auto"/>
                <w:sz w:val="24"/>
                <w:highlight w:val="none"/>
              </w:rPr>
              <w:t>1、</w:t>
            </w:r>
            <w:r>
              <w:rPr>
                <w:b/>
                <w:color w:val="auto"/>
                <w:sz w:val="24"/>
                <w:highlight w:val="none"/>
              </w:rPr>
              <w:t>施工期</w:t>
            </w:r>
            <w:r>
              <w:rPr>
                <w:rFonts w:cs="宋体"/>
                <w:b/>
                <w:bCs/>
                <w:color w:val="auto"/>
                <w:sz w:val="24"/>
                <w:highlight w:val="none"/>
              </w:rPr>
              <w:t>工艺流程及产污环节分析</w:t>
            </w:r>
          </w:p>
          <w:p w14:paraId="5E56215A">
            <w:pPr>
              <w:pStyle w:val="19"/>
              <w:spacing w:line="360" w:lineRule="auto"/>
              <w:ind w:firstLine="480" w:firstLineChars="200"/>
              <w:rPr>
                <w:bCs/>
                <w:color w:val="auto"/>
                <w:sz w:val="24"/>
                <w:szCs w:val="24"/>
                <w:highlight w:val="none"/>
              </w:rPr>
            </w:pPr>
            <w:r>
              <w:rPr>
                <w:rFonts w:hint="eastAsia"/>
                <w:color w:val="auto"/>
                <w:sz w:val="24"/>
                <w:szCs w:val="24"/>
                <w:highlight w:val="none"/>
              </w:rPr>
              <w:t>本项目</w:t>
            </w:r>
            <w:r>
              <w:rPr>
                <w:rFonts w:hint="eastAsia"/>
                <w:color w:val="auto"/>
                <w:sz w:val="24"/>
                <w:szCs w:val="24"/>
                <w:highlight w:val="none"/>
                <w:lang w:eastAsia="zh-CN"/>
              </w:rPr>
              <w:t>施工</w:t>
            </w:r>
            <w:r>
              <w:rPr>
                <w:rFonts w:hint="eastAsia"/>
                <w:color w:val="auto"/>
                <w:sz w:val="24"/>
                <w:szCs w:val="24"/>
                <w:highlight w:val="none"/>
              </w:rPr>
              <w:t>主要是现有楼房内设备安装和室内装修，工艺流程详见下图。</w:t>
            </w:r>
          </w:p>
          <w:p w14:paraId="7568FA6E">
            <w:pPr>
              <w:pStyle w:val="19"/>
              <w:spacing w:line="360" w:lineRule="auto"/>
              <w:jc w:val="both"/>
              <w:rPr>
                <w:b/>
                <w:bCs/>
                <w:color w:val="auto"/>
                <w:sz w:val="24"/>
                <w:szCs w:val="24"/>
                <w:highlight w:val="none"/>
              </w:rPr>
            </w:pPr>
            <w:r>
              <w:rPr>
                <w:color w:val="auto"/>
                <w:sz w:val="24"/>
                <w:highlight w:val="none"/>
              </w:rPr>
              <mc:AlternateContent>
                <mc:Choice Requires="wps">
                  <w:drawing>
                    <wp:anchor distT="0" distB="0" distL="114300" distR="114300" simplePos="0" relativeHeight="251675648" behindDoc="0" locked="0" layoutInCell="1" allowOverlap="1">
                      <wp:simplePos x="0" y="0"/>
                      <wp:positionH relativeFrom="column">
                        <wp:posOffset>686435</wp:posOffset>
                      </wp:positionH>
                      <wp:positionV relativeFrom="paragraph">
                        <wp:posOffset>182880</wp:posOffset>
                      </wp:positionV>
                      <wp:extent cx="3934460" cy="1538605"/>
                      <wp:effectExtent l="4445" t="4445" r="23495" b="19050"/>
                      <wp:wrapNone/>
                      <wp:docPr id="42" name="文本框 42"/>
                      <wp:cNvGraphicFramePr/>
                      <a:graphic xmlns:a="http://schemas.openxmlformats.org/drawingml/2006/main">
                        <a:graphicData uri="http://schemas.microsoft.com/office/word/2010/wordprocessingShape">
                          <wps:wsp>
                            <wps:cNvSpPr txBox="1"/>
                            <wps:spPr>
                              <a:xfrm>
                                <a:off x="1927225" y="1269365"/>
                                <a:ext cx="3934460" cy="153860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B85685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05pt;margin-top:14.4pt;height:121.15pt;width:309.8pt;z-index:251675648;mso-width-relative:page;mso-height-relative:page;" filled="f" stroked="t" coordsize="21600,21600" o:gfxdata="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a3ehdgAAAAKAQAADwAAAAAAAAABACAAAAAiAAAAZHJzL2Rvd25yZXYueG1sUEsBAhQAFAAAAAgA&#10;h07iQD915lheAgAAngQAAA4AAAAAAAAAAQAgAAAAJwEAAGRycy9lMm9Eb2MueG1sUEsFBgAAAAAG&#10;AAYAWQEAAPcFAAAAAA==&#10;">
                      <v:fill on="f" focussize="0,0"/>
                      <v:stroke weight="0.5pt" color="#000000 [3213]" joinstyle="round"/>
                      <v:imagedata o:title=""/>
                      <o:lock v:ext="edit" aspectratio="f"/>
                      <v:textbox>
                        <w:txbxContent>
                          <w:p w14:paraId="4B856852"/>
                        </w:txbxContent>
                      </v:textbox>
                    </v:shape>
                  </w:pict>
                </mc:Fallback>
              </mc:AlternateContent>
            </w:r>
          </w:p>
          <w:p w14:paraId="575C3A62">
            <w:pPr>
              <w:pStyle w:val="19"/>
              <w:spacing w:line="360" w:lineRule="auto"/>
              <w:jc w:val="center"/>
              <w:rPr>
                <w:b/>
                <w:bCs/>
                <w:color w:val="auto"/>
                <w:sz w:val="24"/>
                <w:szCs w:val="24"/>
                <w:highlight w:val="none"/>
              </w:rPr>
            </w:pPr>
            <w:r>
              <w:rPr>
                <w:rFonts w:hint="eastAsia"/>
                <w:b/>
                <w:bCs/>
                <w:color w:val="auto"/>
                <w:sz w:val="24"/>
                <w:szCs w:val="24"/>
                <w:highlight w:val="none"/>
              </w:rPr>
              <w:drawing>
                <wp:inline distT="0" distB="0" distL="114300" distR="114300">
                  <wp:extent cx="3656330" cy="1370965"/>
                  <wp:effectExtent l="0" t="0" r="0" b="0"/>
                  <wp:docPr id="34" name="图片 5" descr="C:/Users/Administrator/AppData/Local/Temp/wps.RxQyVV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descr="C:/Users/Administrator/AppData/Local/Temp/wps.RxQyVVwps"/>
                          <pic:cNvPicPr>
                            <a:picLocks noChangeAspect="1"/>
                          </pic:cNvPicPr>
                        </pic:nvPicPr>
                        <pic:blipFill>
                          <a:blip r:embed="rId9"/>
                          <a:stretch>
                            <a:fillRect/>
                          </a:stretch>
                        </pic:blipFill>
                        <pic:spPr>
                          <a:xfrm>
                            <a:off x="0" y="0"/>
                            <a:ext cx="3656330" cy="1370965"/>
                          </a:xfrm>
                          <a:prstGeom prst="rect">
                            <a:avLst/>
                          </a:prstGeom>
                          <a:noFill/>
                          <a:ln>
                            <a:noFill/>
                          </a:ln>
                        </pic:spPr>
                      </pic:pic>
                    </a:graphicData>
                  </a:graphic>
                </wp:inline>
              </w:drawing>
            </w:r>
          </w:p>
          <w:p w14:paraId="08389526">
            <w:pPr>
              <w:jc w:val="center"/>
              <w:rPr>
                <w:b/>
                <w:bCs/>
                <w:color w:val="auto"/>
                <w:sz w:val="24"/>
                <w:highlight w:val="none"/>
              </w:rPr>
            </w:pPr>
            <w:r>
              <w:rPr>
                <w:b/>
                <w:bCs/>
                <w:color w:val="auto"/>
                <w:sz w:val="24"/>
                <w:szCs w:val="32"/>
                <w:highlight w:val="none"/>
              </w:rPr>
              <w:t>图</w:t>
            </w:r>
            <w:r>
              <w:rPr>
                <w:rFonts w:hint="eastAsia"/>
                <w:b/>
                <w:bCs/>
                <w:color w:val="auto"/>
                <w:sz w:val="24"/>
                <w:szCs w:val="32"/>
                <w:highlight w:val="none"/>
              </w:rPr>
              <w:t>2-2</w:t>
            </w:r>
            <w:r>
              <w:rPr>
                <w:b/>
                <w:bCs/>
                <w:color w:val="auto"/>
                <w:sz w:val="24"/>
                <w:szCs w:val="32"/>
                <w:highlight w:val="none"/>
              </w:rPr>
              <w:t xml:space="preserve">   </w:t>
            </w:r>
            <w:r>
              <w:rPr>
                <w:rFonts w:hint="eastAsia"/>
                <w:b/>
                <w:bCs/>
                <w:color w:val="auto"/>
                <w:sz w:val="24"/>
                <w:szCs w:val="32"/>
                <w:highlight w:val="none"/>
              </w:rPr>
              <w:t>施工期</w:t>
            </w:r>
            <w:r>
              <w:rPr>
                <w:b/>
                <w:bCs/>
                <w:color w:val="auto"/>
                <w:sz w:val="24"/>
                <w:szCs w:val="32"/>
                <w:highlight w:val="none"/>
              </w:rPr>
              <w:t>工艺流程及产污环节示意图</w:t>
            </w:r>
          </w:p>
          <w:p w14:paraId="7DBE9A95">
            <w:pPr>
              <w:adjustRightInd w:val="0"/>
              <w:snapToGrid w:val="0"/>
              <w:spacing w:line="360" w:lineRule="auto"/>
              <w:ind w:firstLine="482" w:firstLineChars="200"/>
              <w:rPr>
                <w:bCs/>
                <w:color w:val="auto"/>
                <w:sz w:val="24"/>
                <w:highlight w:val="none"/>
              </w:rPr>
            </w:pPr>
            <w:r>
              <w:rPr>
                <w:b/>
                <w:bCs/>
                <w:color w:val="auto"/>
                <w:sz w:val="24"/>
                <w:highlight w:val="none"/>
              </w:rPr>
              <w:t>工艺流程说明：</w:t>
            </w:r>
          </w:p>
          <w:p w14:paraId="143D46C9">
            <w:pPr>
              <w:adjustRightInd w:val="0"/>
              <w:snapToGrid w:val="0"/>
              <w:spacing w:line="360" w:lineRule="auto"/>
              <w:ind w:firstLine="480" w:firstLineChars="200"/>
              <w:rPr>
                <w:bCs/>
                <w:color w:val="auto"/>
                <w:sz w:val="24"/>
                <w:highlight w:val="none"/>
              </w:rPr>
            </w:pPr>
            <w:r>
              <w:rPr>
                <w:bCs/>
                <w:color w:val="auto"/>
                <w:sz w:val="24"/>
                <w:highlight w:val="none"/>
              </w:rPr>
              <w:t>（</w:t>
            </w:r>
            <w:r>
              <w:rPr>
                <w:rFonts w:hint="eastAsia"/>
                <w:bCs/>
                <w:color w:val="auto"/>
                <w:sz w:val="24"/>
                <w:highlight w:val="none"/>
              </w:rPr>
              <w:t>1</w:t>
            </w:r>
            <w:r>
              <w:rPr>
                <w:bCs/>
                <w:color w:val="auto"/>
                <w:sz w:val="24"/>
                <w:highlight w:val="none"/>
              </w:rPr>
              <w:t>）设备安装</w:t>
            </w:r>
          </w:p>
          <w:p w14:paraId="0DD13BDA">
            <w:pPr>
              <w:adjustRightInd w:val="0"/>
              <w:snapToGrid w:val="0"/>
              <w:spacing w:line="360" w:lineRule="auto"/>
              <w:ind w:firstLine="480" w:firstLineChars="200"/>
              <w:rPr>
                <w:bCs/>
                <w:color w:val="auto"/>
                <w:sz w:val="24"/>
                <w:highlight w:val="none"/>
              </w:rPr>
            </w:pPr>
            <w:r>
              <w:rPr>
                <w:bCs/>
                <w:color w:val="auto"/>
                <w:sz w:val="24"/>
                <w:highlight w:val="none"/>
              </w:rPr>
              <w:t>主要污染物是</w:t>
            </w:r>
            <w:r>
              <w:rPr>
                <w:rFonts w:hint="eastAsia"/>
                <w:bCs/>
                <w:color w:val="auto"/>
                <w:sz w:val="24"/>
                <w:highlight w:val="none"/>
              </w:rPr>
              <w:t>设备安装时</w:t>
            </w:r>
            <w:r>
              <w:rPr>
                <w:bCs/>
                <w:color w:val="auto"/>
                <w:sz w:val="24"/>
                <w:highlight w:val="none"/>
              </w:rPr>
              <w:t>产生的噪声、</w:t>
            </w:r>
            <w:r>
              <w:rPr>
                <w:rFonts w:hint="eastAsia"/>
                <w:bCs/>
                <w:color w:val="auto"/>
                <w:sz w:val="24"/>
                <w:highlight w:val="none"/>
              </w:rPr>
              <w:t>粉尘</w:t>
            </w:r>
            <w:r>
              <w:rPr>
                <w:bCs/>
                <w:color w:val="auto"/>
                <w:sz w:val="24"/>
                <w:highlight w:val="none"/>
              </w:rPr>
              <w:t>等。</w:t>
            </w:r>
          </w:p>
          <w:p w14:paraId="2EF1E1D4">
            <w:pPr>
              <w:adjustRightInd w:val="0"/>
              <w:snapToGrid w:val="0"/>
              <w:spacing w:line="360" w:lineRule="auto"/>
              <w:ind w:firstLine="480" w:firstLineChars="200"/>
              <w:rPr>
                <w:bCs/>
                <w:color w:val="auto"/>
                <w:sz w:val="24"/>
                <w:highlight w:val="none"/>
              </w:rPr>
            </w:pPr>
            <w:r>
              <w:rPr>
                <w:bCs/>
                <w:color w:val="auto"/>
                <w:sz w:val="24"/>
                <w:highlight w:val="none"/>
              </w:rPr>
              <w:t>（</w:t>
            </w:r>
            <w:r>
              <w:rPr>
                <w:rFonts w:hint="eastAsia"/>
                <w:bCs/>
                <w:color w:val="auto"/>
                <w:sz w:val="24"/>
                <w:highlight w:val="none"/>
              </w:rPr>
              <w:t>2</w:t>
            </w:r>
            <w:r>
              <w:rPr>
                <w:bCs/>
                <w:color w:val="auto"/>
                <w:sz w:val="24"/>
                <w:highlight w:val="none"/>
              </w:rPr>
              <w:t>）</w:t>
            </w:r>
            <w:r>
              <w:rPr>
                <w:rFonts w:hint="eastAsia"/>
                <w:bCs/>
                <w:color w:val="auto"/>
                <w:sz w:val="24"/>
                <w:highlight w:val="none"/>
              </w:rPr>
              <w:t>室内装修</w:t>
            </w:r>
          </w:p>
          <w:p w14:paraId="10714E5F">
            <w:pPr>
              <w:adjustRightInd w:val="0"/>
              <w:snapToGrid w:val="0"/>
              <w:spacing w:line="360" w:lineRule="auto"/>
              <w:ind w:firstLine="480" w:firstLineChars="200"/>
              <w:rPr>
                <w:b/>
                <w:bCs/>
                <w:color w:val="auto"/>
                <w:sz w:val="24"/>
                <w:highlight w:val="none"/>
              </w:rPr>
            </w:pPr>
            <w:r>
              <w:rPr>
                <w:bCs/>
                <w:color w:val="auto"/>
                <w:sz w:val="24"/>
                <w:highlight w:val="none"/>
              </w:rPr>
              <w:t>利用各种加工机械对木材</w:t>
            </w:r>
            <w:r>
              <w:rPr>
                <w:rFonts w:hint="eastAsia"/>
                <w:bCs/>
                <w:color w:val="auto"/>
                <w:sz w:val="24"/>
                <w:highlight w:val="none"/>
              </w:rPr>
              <w:t>、玻璃</w:t>
            </w:r>
            <w:r>
              <w:rPr>
                <w:bCs/>
                <w:color w:val="auto"/>
                <w:sz w:val="24"/>
                <w:highlight w:val="none"/>
              </w:rPr>
              <w:t>、塑钢等按图进行加工，同时进行屋面制作，然后采用浅色环保型高级涂料和浅灰色仿石涂料喷刷，最后对外露的铁件进行油漆施工，本工段时间较短，且使用的涂料和油漆量较少，有少量的有机废气挥发。</w:t>
            </w:r>
          </w:p>
          <w:p w14:paraId="65D84982">
            <w:pPr>
              <w:spacing w:line="360" w:lineRule="auto"/>
              <w:ind w:firstLine="482" w:firstLineChars="200"/>
              <w:outlineLvl w:val="0"/>
              <w:rPr>
                <w:b/>
                <w:bCs/>
                <w:color w:val="auto"/>
                <w:sz w:val="24"/>
                <w:highlight w:val="none"/>
              </w:rPr>
            </w:pPr>
            <w:r>
              <w:rPr>
                <w:rFonts w:hint="eastAsia"/>
                <w:b/>
                <w:bCs/>
                <w:color w:val="auto"/>
                <w:sz w:val="24"/>
                <w:highlight w:val="none"/>
              </w:rPr>
              <w:t>2、运营期</w:t>
            </w:r>
            <w:r>
              <w:rPr>
                <w:b/>
                <w:bCs/>
                <w:color w:val="auto"/>
                <w:sz w:val="24"/>
                <w:highlight w:val="none"/>
              </w:rPr>
              <w:t>工艺流程简述：</w:t>
            </w:r>
          </w:p>
          <w:p w14:paraId="0EE1772A">
            <w:pPr>
              <w:adjustRightInd w:val="0"/>
              <w:snapToGrid w:val="0"/>
              <w:spacing w:line="360" w:lineRule="auto"/>
              <w:ind w:firstLine="480" w:firstLineChars="200"/>
              <w:rPr>
                <w:rFonts w:hint="eastAsia"/>
                <w:i/>
                <w:iCs/>
                <w:color w:val="auto"/>
                <w:sz w:val="24"/>
                <w:highlight w:val="none"/>
                <w:u w:val="single"/>
                <w:lang w:eastAsia="zh-CN"/>
              </w:rPr>
            </w:pPr>
            <w:r>
              <w:rPr>
                <w:color w:val="auto"/>
                <w:sz w:val="24"/>
                <w:highlight w:val="none"/>
              </w:rPr>
              <w:t>工艺主要是</w:t>
            </w:r>
            <w:r>
              <w:rPr>
                <w:rFonts w:hint="eastAsia"/>
                <w:color w:val="auto"/>
                <w:sz w:val="24"/>
                <w:highlight w:val="none"/>
              </w:rPr>
              <w:t>病人入院，由医生进行诊断、检查以及治疗，然后医生判断患者需要住院接受治疗时，患者根据住院单办理住院手续，入院接受治疗。若患者在</w:t>
            </w:r>
            <w:r>
              <w:rPr>
                <w:rFonts w:hint="eastAsia"/>
                <w:color w:val="auto"/>
                <w:sz w:val="24"/>
                <w:highlight w:val="none"/>
                <w:lang w:eastAsia="zh-CN"/>
              </w:rPr>
              <w:t>接受治疗</w:t>
            </w:r>
            <w:r>
              <w:rPr>
                <w:rFonts w:hint="eastAsia"/>
                <w:color w:val="auto"/>
                <w:sz w:val="24"/>
                <w:highlight w:val="none"/>
              </w:rPr>
              <w:t>的过程中病情发生恶化，超过本院的能力范围时，需为患者办理转院手续，以确保患者能得到更好的治疗。患者接受住院治疗后病情康复，医生判定患者无需再继续住院治疗时，为其开具出院医嘱，患者办理出院手续，并将费用结算后即可出院。</w:t>
            </w:r>
            <w:r>
              <w:rPr>
                <w:rFonts w:hint="eastAsia"/>
                <w:i/>
                <w:iCs/>
                <w:color w:val="auto"/>
                <w:sz w:val="24"/>
                <w:highlight w:val="none"/>
                <w:u w:val="single"/>
                <w:lang w:eastAsia="zh-CN"/>
              </w:rPr>
              <w:t>本项目化验室主要检测为血常规及尿常规检测，所用原辅料主要为各种试剂盒，</w:t>
            </w:r>
            <w:r>
              <w:rPr>
                <w:rFonts w:hint="eastAsia"/>
                <w:i/>
                <w:iCs/>
                <w:color w:val="auto"/>
                <w:sz w:val="24"/>
                <w:highlight w:val="none"/>
                <w:u w:val="single"/>
                <w:lang w:eastAsia="zh-CN"/>
              </w:rPr>
              <w:t>试剂盒主要成分主要为各种酶</w:t>
            </w:r>
            <w:r>
              <w:rPr>
                <w:rFonts w:hint="eastAsia"/>
                <w:i/>
                <w:iCs/>
                <w:color w:val="auto"/>
                <w:sz w:val="24"/>
                <w:highlight w:val="none"/>
                <w:u w:val="single"/>
                <w:lang w:eastAsia="zh-CN"/>
              </w:rPr>
              <w:t>，酶是具有生物催化功能的大分子物质，</w:t>
            </w:r>
            <w:r>
              <w:rPr>
                <w:rFonts w:hint="eastAsia"/>
                <w:i/>
                <w:iCs/>
                <w:color w:val="auto"/>
                <w:sz w:val="24"/>
                <w:highlight w:val="none"/>
                <w:u w:val="single"/>
                <w:lang w:eastAsia="zh-CN"/>
              </w:rPr>
              <w:t>不具有挥发性</w:t>
            </w:r>
            <w:r>
              <w:rPr>
                <w:rFonts w:hint="eastAsia"/>
                <w:i/>
                <w:iCs/>
                <w:color w:val="auto"/>
                <w:sz w:val="24"/>
                <w:highlight w:val="none"/>
                <w:u w:val="single"/>
                <w:lang w:eastAsia="zh-CN"/>
              </w:rPr>
              <w:t>，且化验过程中无需配制有机溶剂或溶液，仅需将患者血液通过离心机离心后，得到血清或血浆，将血清或血浆放入全自动生化分析仪中，全自动生化分析仪自动抽取血清或血浆加注到相应的试剂中，通过光学检测得到化验结果，整个化验过程中无有机废气产生，废试剂作为医疗废物委托有资质单位处理。</w:t>
            </w:r>
          </w:p>
          <w:p w14:paraId="025EC2A6">
            <w:pPr>
              <w:adjustRightInd w:val="0"/>
              <w:snapToGrid w:val="0"/>
              <w:spacing w:line="360" w:lineRule="auto"/>
              <w:ind w:firstLine="480" w:firstLineChars="200"/>
              <w:rPr>
                <w:rFonts w:hint="eastAsia"/>
                <w:i/>
                <w:iCs/>
                <w:color w:val="auto"/>
                <w:sz w:val="24"/>
                <w:highlight w:val="none"/>
                <w:u w:val="single"/>
                <w:lang w:val="en-US" w:eastAsia="zh-CN"/>
              </w:rPr>
            </w:pPr>
            <w:r>
              <w:rPr>
                <w:rFonts w:hint="eastAsia"/>
                <w:i/>
                <w:iCs/>
                <w:color w:val="auto"/>
                <w:sz w:val="24"/>
                <w:highlight w:val="none"/>
                <w:u w:val="single"/>
                <w:lang w:eastAsia="zh-CN"/>
              </w:rPr>
              <w:t>本项目污水站位于医院</w:t>
            </w:r>
            <w:r>
              <w:rPr>
                <w:rFonts w:hint="eastAsia"/>
                <w:i/>
                <w:iCs/>
                <w:color w:val="auto"/>
                <w:sz w:val="24"/>
                <w:highlight w:val="none"/>
                <w:u w:val="single"/>
                <w:lang w:val="en-US" w:eastAsia="zh-CN"/>
              </w:rPr>
              <w:t>1层，主要为砖混结构，</w:t>
            </w:r>
            <w:r>
              <w:rPr>
                <w:rFonts w:hint="eastAsia"/>
                <w:i/>
                <w:iCs/>
                <w:color w:val="auto"/>
                <w:sz w:val="24"/>
                <w:highlight w:val="none"/>
                <w:u w:val="single"/>
                <w:lang w:eastAsia="zh-CN"/>
              </w:rPr>
              <w:t>采用A2/O＋</w:t>
            </w:r>
            <w:r>
              <w:rPr>
                <w:rFonts w:hint="eastAsia"/>
                <w:i/>
                <w:iCs/>
                <w:color w:val="auto"/>
                <w:sz w:val="24"/>
                <w:highlight w:val="none"/>
                <w:u w:val="single"/>
                <w:lang w:val="en-US" w:eastAsia="zh-CN"/>
              </w:rPr>
              <w:t>MBR＋次氯酸钠消毒一体化处理设施。</w:t>
            </w:r>
          </w:p>
          <w:p w14:paraId="47E41A6C">
            <w:pPr>
              <w:adjustRightInd w:val="0"/>
              <w:snapToGrid w:val="0"/>
              <w:spacing w:line="360" w:lineRule="auto"/>
              <w:ind w:firstLine="480" w:firstLineChars="200"/>
              <w:rPr>
                <w:rFonts w:hint="eastAsia"/>
                <w:color w:val="auto"/>
                <w:sz w:val="24"/>
                <w:highlight w:val="none"/>
                <w:lang w:eastAsia="zh-CN"/>
              </w:rPr>
            </w:pPr>
            <w:r>
              <w:rPr>
                <w:rFonts w:hint="eastAsia"/>
                <w:color w:val="auto"/>
                <w:sz w:val="24"/>
                <w:highlight w:val="none"/>
                <w:lang w:eastAsia="zh-CN"/>
              </w:rPr>
              <w:t>厌氧－缺氧－好氧工艺，它是一种常见的生物处理污水的方法。</w:t>
            </w:r>
          </w:p>
          <w:p w14:paraId="47F061E3">
            <w:pPr>
              <w:adjustRightInd w:val="0"/>
              <w:snapToGrid w:val="0"/>
              <w:spacing w:line="360" w:lineRule="auto"/>
              <w:ind w:firstLine="480" w:firstLineChars="200"/>
              <w:rPr>
                <w:rFonts w:hint="eastAsia"/>
                <w:color w:val="auto"/>
                <w:sz w:val="24"/>
                <w:highlight w:val="none"/>
                <w:lang w:eastAsia="zh-CN"/>
              </w:rPr>
            </w:pPr>
            <w:r>
              <w:rPr>
                <w:rFonts w:hint="eastAsia"/>
                <w:color w:val="auto"/>
                <w:sz w:val="24"/>
                <w:highlight w:val="none"/>
                <w:lang w:eastAsia="zh-CN"/>
              </w:rPr>
              <w:t>厌氧区：污水首先进入厌氧区，在这里，污水中的部分有机物在厌氧菌的作用下被分解转化，同时聚磷菌会释放出体内储存的磷，使污水中的磷含量有所增加。此过程主要是为了创造适宜厌氧微生物生长的环境，促进后续反应。</w:t>
            </w:r>
          </w:p>
          <w:p w14:paraId="04F85751">
            <w:pPr>
              <w:adjustRightInd w:val="0"/>
              <w:snapToGrid w:val="0"/>
              <w:spacing w:line="360" w:lineRule="auto"/>
              <w:ind w:firstLine="480" w:firstLineChars="200"/>
              <w:rPr>
                <w:rFonts w:hint="eastAsia"/>
                <w:color w:val="auto"/>
                <w:sz w:val="24"/>
                <w:highlight w:val="none"/>
                <w:lang w:eastAsia="zh-CN"/>
              </w:rPr>
            </w:pPr>
            <w:r>
              <w:rPr>
                <w:rFonts w:hint="eastAsia"/>
                <w:color w:val="auto"/>
                <w:sz w:val="24"/>
                <w:highlight w:val="none"/>
                <w:lang w:eastAsia="zh-CN"/>
              </w:rPr>
              <w:t>缺氧区：经过厌氧区处理后的污水进入缺氧区。在缺氧环境下，反硝化细菌利用污水中的硝酸盐氮（由好氧区回流带来）作为电子受体，将其还原为氮气排出到大气中，从而实现脱氮的目的。同时，部分有机物继续被分解。</w:t>
            </w:r>
          </w:p>
          <w:p w14:paraId="08D7CD38">
            <w:pPr>
              <w:adjustRightInd w:val="0"/>
              <w:snapToGrid w:val="0"/>
              <w:spacing w:line="360" w:lineRule="auto"/>
              <w:ind w:firstLine="480" w:firstLineChars="200"/>
              <w:rPr>
                <w:rFonts w:hint="eastAsia"/>
                <w:color w:val="auto"/>
                <w:sz w:val="24"/>
                <w:highlight w:val="none"/>
                <w:lang w:eastAsia="zh-CN"/>
              </w:rPr>
            </w:pPr>
            <w:r>
              <w:rPr>
                <w:rFonts w:hint="eastAsia"/>
                <w:color w:val="auto"/>
                <w:sz w:val="24"/>
                <w:highlight w:val="none"/>
                <w:lang w:eastAsia="zh-CN"/>
              </w:rPr>
              <w:t>好氧区：接着污水进入好氧区，在好氧微生物（如好氧菌、硝化细菌等）的作用下，污水中的有机物被进一步氧化分解为二氧化碳和水等无害物质。并且，硝化细菌会将氨氮转化为硝酸盐氮，同时聚磷菌在此区域大量吸收污水中的磷，实现除磷的目的。</w:t>
            </w:r>
          </w:p>
          <w:p w14:paraId="0687D58A">
            <w:pPr>
              <w:adjustRightInd w:val="0"/>
              <w:snapToGrid w:val="0"/>
              <w:spacing w:line="360" w:lineRule="auto"/>
              <w:ind w:firstLine="480" w:firstLineChars="200"/>
              <w:rPr>
                <w:rFonts w:hint="eastAsia"/>
                <w:color w:val="auto"/>
                <w:sz w:val="24"/>
                <w:highlight w:val="none"/>
                <w:lang w:eastAsia="zh-CN"/>
              </w:rPr>
            </w:pPr>
            <w:r>
              <w:rPr>
                <w:rFonts w:hint="eastAsia"/>
                <w:color w:val="auto"/>
                <w:sz w:val="24"/>
                <w:highlight w:val="none"/>
                <w:lang w:eastAsia="zh-CN"/>
              </w:rPr>
              <w:t>MBR即膜生物反应器，它将生物处理与膜分离技术相结合。在MBR中，同样存在微生物对污水中有机物的分解作用，原理与A2/O工艺中的好氧区类似，微生物通过代谢活动将污水中的有机物分解转化。MBR系统中有专门的膜组件（如超滤膜等），这些膜具有极小的孔径，可以将污水中的悬浮物、胶体以及微生物等截留在膜的一侧，只有经过处理后的清水可以透过膜进入另一侧，从而实现了污水的深度净化，得到高质量的出水。</w:t>
            </w:r>
          </w:p>
          <w:p w14:paraId="3588E681">
            <w:pPr>
              <w:adjustRightInd w:val="0"/>
              <w:snapToGrid w:val="0"/>
              <w:spacing w:line="360" w:lineRule="auto"/>
              <w:ind w:firstLine="480" w:firstLineChars="200"/>
              <w:rPr>
                <w:rFonts w:hint="eastAsia" w:eastAsia="宋体"/>
                <w:i/>
                <w:iCs/>
                <w:color w:val="auto"/>
                <w:sz w:val="24"/>
                <w:highlight w:val="none"/>
                <w:u w:val="single"/>
                <w:lang w:val="en-US" w:eastAsia="zh-CN"/>
              </w:rPr>
            </w:pPr>
            <w:r>
              <w:rPr>
                <w:rFonts w:hint="eastAsia"/>
                <w:i/>
                <w:iCs/>
                <w:color w:val="auto"/>
                <w:sz w:val="24"/>
                <w:highlight w:val="none"/>
                <w:u w:val="single"/>
                <w:lang w:eastAsia="zh-CN"/>
              </w:rPr>
              <w:t>次氯酸钠是一种常用的消毒剂。次氯酸钠溶解于水中会形成次氯酸（HClO），次氯酸具有强氧化性，它可以破坏细菌、病毒等病原体的细胞壁、细胞膜以及内部的蛋白质、核酸等生物大分子，使其失去活性，从而达到消毒杀菌的目的。在污水处理的最后阶段，将适量的次氯酸钠溶液加入经过A2/O和MBR处理后的出水中，经过一定的接触时间（一般几分钟到几十分钟不等），让次氯酸充分发挥其杀菌消毒作用，确保出水达到相应的标准。</w:t>
            </w:r>
          </w:p>
          <w:p w14:paraId="5FFFBA61">
            <w:pPr>
              <w:spacing w:line="360" w:lineRule="auto"/>
              <w:ind w:firstLine="480" w:firstLineChars="200"/>
              <w:outlineLvl w:val="0"/>
              <w:rPr>
                <w:color w:val="auto"/>
                <w:sz w:val="24"/>
                <w:highlight w:val="none"/>
              </w:rPr>
            </w:pPr>
            <w:r>
              <w:rPr>
                <w:color w:val="auto"/>
                <w:sz w:val="24"/>
                <w:highlight w:val="none"/>
              </w:rPr>
              <w:t>工艺流程及产排污情况如下：</w:t>
            </w:r>
          </w:p>
          <w:p w14:paraId="709DFB12">
            <w:pPr>
              <w:outlineLvl w:val="0"/>
              <w:rPr>
                <w:color w:val="auto"/>
                <w:sz w:val="24"/>
                <w:highlight w:val="none"/>
              </w:rPr>
            </w:pPr>
            <w:r>
              <w:rPr>
                <w:rFonts w:hint="eastAsia"/>
                <w:color w:val="auto"/>
                <w:sz w:val="24"/>
                <w:highlight w:val="none"/>
              </w:rPr>
              <w:drawing>
                <wp:inline distT="0" distB="0" distL="114300" distR="114300">
                  <wp:extent cx="5389880" cy="6070600"/>
                  <wp:effectExtent l="0" t="0" r="0" b="0"/>
                  <wp:docPr id="74" name="ECB019B1-382A-4266-B25C-5B523AA43C14-2" descr="C:/Users/Administrator/AppData/Local/Temp/wps.TQchb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ECB019B1-382A-4266-B25C-5B523AA43C14-2" descr="C:/Users/Administrator/AppData/Local/Temp/wps.TQchbywps"/>
                          <pic:cNvPicPr>
                            <a:picLocks noChangeAspect="1"/>
                          </pic:cNvPicPr>
                        </pic:nvPicPr>
                        <pic:blipFill>
                          <a:blip r:embed="rId10"/>
                          <a:stretch>
                            <a:fillRect/>
                          </a:stretch>
                        </pic:blipFill>
                        <pic:spPr>
                          <a:xfrm>
                            <a:off x="0" y="0"/>
                            <a:ext cx="5389880" cy="6070600"/>
                          </a:xfrm>
                          <a:prstGeom prst="rect">
                            <a:avLst/>
                          </a:prstGeom>
                        </pic:spPr>
                      </pic:pic>
                    </a:graphicData>
                  </a:graphic>
                </wp:inline>
              </w:drawing>
            </w:r>
          </w:p>
          <w:p w14:paraId="77B5C797">
            <w:pPr>
              <w:jc w:val="center"/>
              <w:rPr>
                <w:b/>
                <w:bCs/>
                <w:color w:val="auto"/>
                <w:sz w:val="24"/>
                <w:highlight w:val="none"/>
              </w:rPr>
            </w:pPr>
            <w:r>
              <w:rPr>
                <w:b/>
                <w:bCs/>
                <w:color w:val="auto"/>
                <w:sz w:val="24"/>
                <w:highlight w:val="none"/>
              </w:rPr>
              <w:t>图2-2 工艺流程及产污节点示意图</w:t>
            </w:r>
          </w:p>
          <w:p w14:paraId="13B6D4FC">
            <w:pPr>
              <w:jc w:val="center"/>
              <w:rPr>
                <w:b/>
                <w:bCs/>
                <w:color w:val="auto"/>
                <w:sz w:val="24"/>
                <w:highlight w:val="none"/>
              </w:rPr>
            </w:pPr>
          </w:p>
          <w:p w14:paraId="68157507">
            <w:pPr>
              <w:jc w:val="center"/>
              <w:rPr>
                <w:b/>
                <w:bCs/>
                <w:color w:val="auto"/>
                <w:sz w:val="24"/>
                <w:highlight w:val="none"/>
              </w:rPr>
            </w:pPr>
          </w:p>
          <w:p w14:paraId="1A377133">
            <w:pPr>
              <w:jc w:val="center"/>
              <w:rPr>
                <w:b/>
                <w:bCs/>
                <w:color w:val="auto"/>
                <w:sz w:val="24"/>
                <w:highlight w:val="none"/>
              </w:rPr>
            </w:pPr>
          </w:p>
          <w:p w14:paraId="5BFE7B55">
            <w:pPr>
              <w:jc w:val="center"/>
              <w:rPr>
                <w:b/>
                <w:bCs/>
                <w:color w:val="auto"/>
                <w:sz w:val="24"/>
                <w:highlight w:val="none"/>
              </w:rPr>
            </w:pPr>
          </w:p>
          <w:p w14:paraId="4CCE427F">
            <w:pPr>
              <w:jc w:val="center"/>
              <w:rPr>
                <w:b/>
                <w:bCs/>
                <w:color w:val="auto"/>
                <w:sz w:val="24"/>
                <w:highlight w:val="none"/>
              </w:rPr>
            </w:pPr>
          </w:p>
          <w:p w14:paraId="1FD9DB14">
            <w:pPr>
              <w:jc w:val="center"/>
              <w:rPr>
                <w:b/>
                <w:bCs/>
                <w:color w:val="auto"/>
                <w:sz w:val="24"/>
                <w:highlight w:val="none"/>
              </w:rPr>
            </w:pPr>
          </w:p>
          <w:p w14:paraId="03B6590C">
            <w:pPr>
              <w:jc w:val="center"/>
              <w:rPr>
                <w:b/>
                <w:bCs/>
                <w:color w:val="auto"/>
                <w:sz w:val="24"/>
                <w:highlight w:val="none"/>
              </w:rPr>
            </w:pPr>
          </w:p>
          <w:p w14:paraId="0582DF7B">
            <w:pPr>
              <w:jc w:val="center"/>
              <w:rPr>
                <w:b/>
                <w:bCs/>
                <w:color w:val="auto"/>
                <w:sz w:val="24"/>
                <w:highlight w:val="none"/>
              </w:rPr>
            </w:pPr>
          </w:p>
          <w:p w14:paraId="08C4150E">
            <w:pPr>
              <w:jc w:val="center"/>
              <w:rPr>
                <w:b/>
                <w:bCs/>
                <w:color w:val="auto"/>
                <w:sz w:val="24"/>
                <w:highlight w:val="none"/>
              </w:rPr>
            </w:pPr>
          </w:p>
          <w:p w14:paraId="6568635F">
            <w:pPr>
              <w:jc w:val="center"/>
              <w:rPr>
                <w:b/>
                <w:bCs/>
                <w:color w:val="auto"/>
                <w:sz w:val="24"/>
                <w:highlight w:val="none"/>
              </w:rPr>
            </w:pPr>
          </w:p>
          <w:p w14:paraId="70B91092">
            <w:pPr>
              <w:jc w:val="center"/>
              <w:rPr>
                <w:b/>
                <w:bCs/>
                <w:color w:val="auto"/>
                <w:sz w:val="24"/>
                <w:highlight w:val="none"/>
              </w:rPr>
            </w:pPr>
          </w:p>
          <w:p w14:paraId="06BDA1CF">
            <w:pPr>
              <w:jc w:val="center"/>
              <w:rPr>
                <w:b/>
                <w:bCs/>
                <w:color w:val="auto"/>
                <w:sz w:val="24"/>
                <w:highlight w:val="none"/>
              </w:rPr>
            </w:pPr>
          </w:p>
        </w:tc>
      </w:tr>
      <w:tr w14:paraId="121CB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1" w:hRule="atLeast"/>
          <w:jc w:val="center"/>
        </w:trPr>
        <w:tc>
          <w:tcPr>
            <w:tcW w:w="235" w:type="pct"/>
            <w:vAlign w:val="center"/>
          </w:tcPr>
          <w:p w14:paraId="633B26F2">
            <w:pPr>
              <w:pStyle w:val="24"/>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bCs/>
                <w:color w:val="auto"/>
                <w:kern w:val="2"/>
                <w:sz w:val="21"/>
                <w:szCs w:val="21"/>
                <w:highlight w:val="none"/>
              </w:rPr>
              <w:t>与项目有关的原有环境污染问题</w:t>
            </w:r>
          </w:p>
        </w:tc>
        <w:tc>
          <w:tcPr>
            <w:tcW w:w="4764" w:type="pct"/>
          </w:tcPr>
          <w:p w14:paraId="08F5F3E0">
            <w:pPr>
              <w:spacing w:line="360" w:lineRule="auto"/>
              <w:ind w:firstLine="480" w:firstLineChars="200"/>
              <w:rPr>
                <w:b w:val="0"/>
                <w:bCs/>
                <w:i/>
                <w:iCs/>
                <w:highlight w:val="none"/>
                <w:u w:val="single"/>
              </w:rPr>
            </w:pPr>
            <w:r>
              <w:rPr>
                <w:rFonts w:hint="eastAsia" w:cs="宋体"/>
                <w:i/>
                <w:iCs/>
                <w:color w:val="auto"/>
                <w:kern w:val="0"/>
                <w:sz w:val="24"/>
                <w:highlight w:val="none"/>
                <w:u w:val="single"/>
              </w:rPr>
              <w:t>本项目租用长春天宝英联汽车饰件有限公司</w:t>
            </w:r>
            <w:r>
              <w:rPr>
                <w:rFonts w:hint="eastAsia" w:cs="宋体"/>
                <w:i/>
                <w:iCs/>
                <w:color w:val="auto"/>
                <w:kern w:val="0"/>
                <w:sz w:val="24"/>
                <w:highlight w:val="none"/>
                <w:u w:val="single"/>
                <w:lang w:eastAsia="zh-CN"/>
              </w:rPr>
              <w:t>厂房及</w:t>
            </w:r>
            <w:r>
              <w:rPr>
                <w:rFonts w:hint="eastAsia" w:cs="宋体"/>
                <w:i/>
                <w:iCs/>
                <w:color w:val="auto"/>
                <w:kern w:val="0"/>
                <w:sz w:val="24"/>
                <w:highlight w:val="none"/>
                <w:u w:val="single"/>
              </w:rPr>
              <w:t>办公楼</w:t>
            </w:r>
            <w:r>
              <w:rPr>
                <w:rFonts w:hint="eastAsia" w:cs="宋体"/>
                <w:i/>
                <w:iCs/>
                <w:color w:val="auto"/>
                <w:kern w:val="0"/>
                <w:sz w:val="24"/>
                <w:highlight w:val="none"/>
                <w:u w:val="single"/>
              </w:rPr>
              <w:t>，</w:t>
            </w:r>
            <w:r>
              <w:rPr>
                <w:rFonts w:hint="eastAsia" w:cs="宋体"/>
                <w:i/>
                <w:iCs/>
                <w:color w:val="auto"/>
                <w:kern w:val="0"/>
                <w:sz w:val="24"/>
                <w:highlight w:val="none"/>
                <w:u w:val="single"/>
                <w:lang w:eastAsia="zh-CN"/>
              </w:rPr>
              <w:t>共</w:t>
            </w:r>
            <w:r>
              <w:rPr>
                <w:rFonts w:hint="eastAsia" w:cs="宋体"/>
                <w:i/>
                <w:iCs/>
                <w:color w:val="auto"/>
                <w:kern w:val="0"/>
                <w:sz w:val="24"/>
                <w:highlight w:val="none"/>
                <w:u w:val="single"/>
                <w:lang w:val="en-US" w:eastAsia="zh-CN"/>
              </w:rPr>
              <w:t>5</w:t>
            </w:r>
            <w:r>
              <w:rPr>
                <w:rFonts w:hint="eastAsia" w:cs="宋体"/>
                <w:i/>
                <w:iCs/>
                <w:color w:val="auto"/>
                <w:kern w:val="0"/>
                <w:sz w:val="24"/>
                <w:highlight w:val="none"/>
                <w:u w:val="single"/>
                <w:lang w:eastAsia="zh-CN"/>
              </w:rPr>
              <w:t>层，其中</w:t>
            </w:r>
            <w:r>
              <w:rPr>
                <w:rFonts w:hint="eastAsia" w:cs="宋体"/>
                <w:i/>
                <w:iCs/>
                <w:color w:val="auto"/>
                <w:kern w:val="0"/>
                <w:sz w:val="24"/>
                <w:highlight w:val="none"/>
                <w:u w:val="single"/>
                <w:lang w:val="en-US" w:eastAsia="zh-CN"/>
              </w:rPr>
              <w:t>1、2层为生产厂房、3层为库房、4层为办公楼、5层为设备用房，</w:t>
            </w:r>
            <w:r>
              <w:rPr>
                <w:rFonts w:hint="eastAsia" w:cs="宋体"/>
                <w:i/>
                <w:iCs/>
                <w:color w:val="auto"/>
                <w:kern w:val="0"/>
                <w:sz w:val="24"/>
                <w:highlight w:val="none"/>
                <w:u w:val="single"/>
                <w:lang w:eastAsia="zh-CN"/>
              </w:rPr>
              <w:t>主要从事汽车注塑件生产，其工艺流程为塑料颗粒→电烘干→注塑成型→修边。注塑废气经车间通风管道排至外环境，废水排入长春南部污水处理厂处理后排至永春河，废边角料等固体废物回用于生产。该房屋自</w:t>
            </w:r>
            <w:r>
              <w:rPr>
                <w:rFonts w:hint="eastAsia" w:cs="宋体"/>
                <w:i/>
                <w:iCs/>
                <w:color w:val="auto"/>
                <w:kern w:val="0"/>
                <w:sz w:val="24"/>
                <w:highlight w:val="none"/>
                <w:u w:val="single"/>
                <w:lang w:val="en-US" w:eastAsia="zh-CN"/>
              </w:rPr>
              <w:t>2004年至今均为</w:t>
            </w:r>
            <w:r>
              <w:rPr>
                <w:rFonts w:hint="eastAsia" w:cs="宋体"/>
                <w:i/>
                <w:iCs/>
                <w:color w:val="auto"/>
                <w:kern w:val="0"/>
                <w:sz w:val="24"/>
                <w:highlight w:val="none"/>
                <w:u w:val="single"/>
              </w:rPr>
              <w:t>长春天宝英联汽车饰</w:t>
            </w:r>
            <w:r>
              <w:rPr>
                <w:rFonts w:hint="eastAsia" w:cs="宋体"/>
                <w:i/>
                <w:iCs/>
                <w:color w:val="auto"/>
                <w:kern w:val="0"/>
                <w:sz w:val="24"/>
                <w:highlight w:val="none"/>
                <w:u w:val="single"/>
              </w:rPr>
              <w:t>件有限公司</w:t>
            </w:r>
            <w:r>
              <w:rPr>
                <w:rFonts w:hint="eastAsia" w:cs="宋体"/>
                <w:i/>
                <w:iCs/>
                <w:color w:val="auto"/>
                <w:kern w:val="0"/>
                <w:sz w:val="24"/>
                <w:highlight w:val="none"/>
                <w:u w:val="single"/>
                <w:lang w:eastAsia="zh-CN"/>
              </w:rPr>
              <w:t>厂房及</w:t>
            </w:r>
            <w:r>
              <w:rPr>
                <w:rFonts w:hint="eastAsia" w:cs="宋体"/>
                <w:i/>
                <w:iCs/>
                <w:color w:val="auto"/>
                <w:kern w:val="0"/>
                <w:sz w:val="24"/>
                <w:highlight w:val="none"/>
                <w:u w:val="single"/>
              </w:rPr>
              <w:t>办公楼</w:t>
            </w:r>
            <w:r>
              <w:rPr>
                <w:rFonts w:hint="eastAsia" w:cs="宋体"/>
                <w:i/>
                <w:iCs/>
                <w:color w:val="auto"/>
                <w:kern w:val="0"/>
                <w:sz w:val="24"/>
                <w:highlight w:val="none"/>
                <w:u w:val="single"/>
                <w:lang w:eastAsia="zh-CN"/>
              </w:rPr>
              <w:t>。无其他企业从事其他工业生产，历史上未发生过污染泄漏及其他可能造成土壤及地下水污染的环境问题，厂房</w:t>
            </w:r>
            <w:r>
              <w:rPr>
                <w:rFonts w:hint="eastAsia" w:cs="宋体"/>
                <w:i/>
                <w:iCs/>
                <w:color w:val="auto"/>
                <w:kern w:val="0"/>
                <w:sz w:val="24"/>
                <w:highlight w:val="none"/>
                <w:u w:val="single"/>
                <w:lang w:val="en-US" w:eastAsia="zh-CN"/>
              </w:rPr>
              <w:t>地面全部硬化并做防渗处理</w:t>
            </w:r>
            <w:r>
              <w:rPr>
                <w:rFonts w:hint="eastAsia" w:cs="宋体"/>
                <w:i/>
                <w:iCs/>
                <w:color w:val="auto"/>
                <w:kern w:val="0"/>
                <w:sz w:val="24"/>
                <w:highlight w:val="none"/>
                <w:u w:val="single"/>
                <w:lang w:eastAsia="zh-CN"/>
              </w:rPr>
              <w:t>，初步判断，该地块历史上并未发生环境污染等问题。结合《</w:t>
            </w:r>
            <w:r>
              <w:rPr>
                <w:rFonts w:hint="eastAsia"/>
                <w:i/>
                <w:iCs/>
                <w:color w:val="auto"/>
                <w:kern w:val="0"/>
                <w:sz w:val="24"/>
                <w:szCs w:val="24"/>
                <w:highlight w:val="none"/>
                <w:u w:val="single"/>
                <w:lang w:val="en-US" w:eastAsia="zh-CN"/>
              </w:rPr>
              <w:t>长春市临时改变房屋用途管理办法</w:t>
            </w:r>
            <w:r>
              <w:rPr>
                <w:rFonts w:hint="eastAsia" w:cs="宋体"/>
                <w:i/>
                <w:iCs/>
                <w:color w:val="auto"/>
                <w:kern w:val="0"/>
                <w:sz w:val="24"/>
                <w:highlight w:val="none"/>
                <w:u w:val="single"/>
                <w:lang w:eastAsia="zh-CN"/>
              </w:rPr>
              <w:t>》</w:t>
            </w:r>
            <w:r>
              <w:rPr>
                <w:rFonts w:hint="eastAsia"/>
                <w:i/>
                <w:iCs/>
                <w:color w:val="auto"/>
                <w:kern w:val="0"/>
                <w:sz w:val="24"/>
                <w:szCs w:val="24"/>
                <w:highlight w:val="none"/>
                <w:u w:val="single"/>
                <w:lang w:val="en-US" w:eastAsia="zh-CN"/>
              </w:rPr>
              <w:t>有关要求，该房屋由工业企业用途转为医院用途合理可行。因此</w:t>
            </w:r>
            <w:r>
              <w:rPr>
                <w:rFonts w:hint="eastAsia"/>
                <w:b w:val="0"/>
                <w:bCs/>
                <w:i/>
                <w:iCs/>
                <w:color w:val="auto"/>
                <w:kern w:val="0"/>
                <w:sz w:val="24"/>
                <w:szCs w:val="24"/>
                <w:highlight w:val="none"/>
                <w:u w:val="single"/>
                <w:lang w:val="en-US" w:eastAsia="zh-CN"/>
              </w:rPr>
              <w:t>本项目无有关的原有环境问题。</w:t>
            </w:r>
          </w:p>
          <w:p w14:paraId="3820F681">
            <w:pPr>
              <w:pStyle w:val="36"/>
              <w:rPr>
                <w:rFonts w:hint="default" w:ascii="Times New Roman"/>
                <w:color w:val="auto"/>
                <w:kern w:val="0"/>
                <w:sz w:val="24"/>
                <w:szCs w:val="24"/>
                <w:highlight w:val="none"/>
              </w:rPr>
            </w:pPr>
          </w:p>
          <w:p w14:paraId="639D9431">
            <w:pPr>
              <w:pStyle w:val="36"/>
              <w:rPr>
                <w:rFonts w:hint="default" w:ascii="Times New Roman"/>
                <w:color w:val="auto"/>
                <w:kern w:val="0"/>
                <w:sz w:val="24"/>
                <w:szCs w:val="24"/>
                <w:highlight w:val="none"/>
              </w:rPr>
            </w:pPr>
          </w:p>
          <w:p w14:paraId="2F4B1A22">
            <w:pPr>
              <w:rPr>
                <w:color w:val="auto"/>
                <w:kern w:val="0"/>
                <w:sz w:val="24"/>
                <w:highlight w:val="none"/>
              </w:rPr>
            </w:pPr>
          </w:p>
          <w:p w14:paraId="6F364744">
            <w:pPr>
              <w:pStyle w:val="36"/>
              <w:rPr>
                <w:rFonts w:hint="default" w:ascii="Times New Roman"/>
                <w:color w:val="auto"/>
                <w:kern w:val="0"/>
                <w:sz w:val="24"/>
                <w:szCs w:val="24"/>
                <w:highlight w:val="none"/>
              </w:rPr>
            </w:pPr>
          </w:p>
          <w:p w14:paraId="1058EF65">
            <w:pPr>
              <w:rPr>
                <w:color w:val="auto"/>
                <w:kern w:val="0"/>
                <w:sz w:val="24"/>
                <w:highlight w:val="none"/>
              </w:rPr>
            </w:pPr>
          </w:p>
          <w:p w14:paraId="3EE4BA8D">
            <w:pPr>
              <w:pStyle w:val="36"/>
              <w:rPr>
                <w:rFonts w:hint="default" w:ascii="Times New Roman"/>
                <w:color w:val="auto"/>
                <w:kern w:val="0"/>
                <w:sz w:val="24"/>
                <w:szCs w:val="24"/>
                <w:highlight w:val="none"/>
              </w:rPr>
            </w:pPr>
          </w:p>
          <w:p w14:paraId="67D58A4A">
            <w:pPr>
              <w:rPr>
                <w:color w:val="auto"/>
                <w:kern w:val="0"/>
                <w:sz w:val="24"/>
                <w:highlight w:val="none"/>
              </w:rPr>
            </w:pPr>
          </w:p>
          <w:p w14:paraId="06271546">
            <w:pPr>
              <w:pStyle w:val="36"/>
              <w:rPr>
                <w:rFonts w:hint="default" w:ascii="Times New Roman"/>
                <w:color w:val="auto"/>
                <w:kern w:val="0"/>
                <w:sz w:val="24"/>
                <w:szCs w:val="24"/>
                <w:highlight w:val="none"/>
              </w:rPr>
            </w:pPr>
          </w:p>
          <w:p w14:paraId="2467D07C">
            <w:pPr>
              <w:rPr>
                <w:color w:val="auto"/>
                <w:kern w:val="0"/>
                <w:sz w:val="24"/>
                <w:highlight w:val="none"/>
              </w:rPr>
            </w:pPr>
          </w:p>
          <w:p w14:paraId="3DB5E569">
            <w:pPr>
              <w:pStyle w:val="36"/>
              <w:rPr>
                <w:rFonts w:hint="default" w:ascii="Times New Roman"/>
                <w:color w:val="auto"/>
                <w:kern w:val="0"/>
                <w:sz w:val="24"/>
                <w:szCs w:val="24"/>
                <w:highlight w:val="none"/>
              </w:rPr>
            </w:pPr>
          </w:p>
          <w:p w14:paraId="062EC81D">
            <w:pPr>
              <w:rPr>
                <w:color w:val="auto"/>
                <w:kern w:val="0"/>
                <w:sz w:val="24"/>
                <w:highlight w:val="none"/>
              </w:rPr>
            </w:pPr>
          </w:p>
          <w:p w14:paraId="4BBFA147">
            <w:pPr>
              <w:pStyle w:val="13"/>
              <w:spacing w:after="0" w:line="336" w:lineRule="auto"/>
              <w:ind w:left="0" w:leftChars="0"/>
              <w:rPr>
                <w:color w:val="auto"/>
                <w:szCs w:val="24"/>
                <w:highlight w:val="none"/>
              </w:rPr>
            </w:pPr>
          </w:p>
          <w:p w14:paraId="119B0919">
            <w:pPr>
              <w:pStyle w:val="13"/>
              <w:spacing w:after="0" w:line="336" w:lineRule="auto"/>
              <w:ind w:left="0" w:leftChars="0"/>
              <w:rPr>
                <w:color w:val="auto"/>
                <w:szCs w:val="24"/>
                <w:highlight w:val="none"/>
              </w:rPr>
            </w:pPr>
          </w:p>
          <w:p w14:paraId="03B8B191">
            <w:pPr>
              <w:pStyle w:val="13"/>
              <w:spacing w:after="0" w:line="336" w:lineRule="auto"/>
              <w:ind w:left="0" w:leftChars="0"/>
              <w:rPr>
                <w:color w:val="auto"/>
                <w:szCs w:val="24"/>
                <w:highlight w:val="none"/>
              </w:rPr>
            </w:pPr>
          </w:p>
          <w:p w14:paraId="5F80C4F7">
            <w:pPr>
              <w:pStyle w:val="13"/>
              <w:spacing w:after="0" w:line="336" w:lineRule="auto"/>
              <w:ind w:left="0" w:leftChars="0"/>
              <w:rPr>
                <w:color w:val="auto"/>
                <w:szCs w:val="24"/>
                <w:highlight w:val="none"/>
              </w:rPr>
            </w:pPr>
          </w:p>
          <w:p w14:paraId="6A1127E5">
            <w:pPr>
              <w:pStyle w:val="13"/>
              <w:spacing w:after="0" w:line="336" w:lineRule="auto"/>
              <w:ind w:left="0" w:leftChars="0"/>
              <w:rPr>
                <w:color w:val="auto"/>
                <w:szCs w:val="24"/>
                <w:highlight w:val="none"/>
              </w:rPr>
            </w:pPr>
          </w:p>
          <w:p w14:paraId="2F34792C">
            <w:pPr>
              <w:pStyle w:val="13"/>
              <w:spacing w:after="0" w:line="336" w:lineRule="auto"/>
              <w:ind w:left="0" w:leftChars="0"/>
              <w:rPr>
                <w:color w:val="auto"/>
                <w:szCs w:val="24"/>
                <w:highlight w:val="none"/>
              </w:rPr>
            </w:pPr>
          </w:p>
          <w:p w14:paraId="0B1965EE">
            <w:pPr>
              <w:pStyle w:val="13"/>
              <w:spacing w:after="0" w:line="336" w:lineRule="auto"/>
              <w:ind w:left="0" w:leftChars="0"/>
              <w:rPr>
                <w:color w:val="auto"/>
                <w:szCs w:val="24"/>
                <w:highlight w:val="none"/>
              </w:rPr>
            </w:pPr>
          </w:p>
          <w:p w14:paraId="6867FFE0">
            <w:pPr>
              <w:pStyle w:val="13"/>
              <w:spacing w:after="0" w:line="336" w:lineRule="auto"/>
              <w:ind w:left="0" w:leftChars="0"/>
              <w:rPr>
                <w:color w:val="auto"/>
                <w:szCs w:val="24"/>
                <w:highlight w:val="none"/>
              </w:rPr>
            </w:pPr>
          </w:p>
          <w:p w14:paraId="78D018DA">
            <w:pPr>
              <w:pStyle w:val="13"/>
              <w:spacing w:after="0" w:line="336" w:lineRule="auto"/>
              <w:ind w:left="0" w:leftChars="0"/>
              <w:rPr>
                <w:color w:val="auto"/>
                <w:szCs w:val="24"/>
                <w:highlight w:val="none"/>
              </w:rPr>
            </w:pPr>
          </w:p>
          <w:p w14:paraId="62565349">
            <w:pPr>
              <w:pStyle w:val="13"/>
              <w:spacing w:after="0" w:line="336" w:lineRule="auto"/>
              <w:ind w:left="0" w:leftChars="0"/>
              <w:rPr>
                <w:color w:val="auto"/>
                <w:szCs w:val="24"/>
                <w:highlight w:val="none"/>
              </w:rPr>
            </w:pPr>
          </w:p>
          <w:p w14:paraId="24C60D89">
            <w:pPr>
              <w:pStyle w:val="13"/>
              <w:spacing w:after="0" w:line="336" w:lineRule="auto"/>
              <w:ind w:left="0" w:leftChars="0"/>
              <w:rPr>
                <w:color w:val="auto"/>
                <w:szCs w:val="24"/>
                <w:highlight w:val="none"/>
              </w:rPr>
            </w:pPr>
          </w:p>
          <w:p w14:paraId="5D01F777">
            <w:pPr>
              <w:pStyle w:val="13"/>
              <w:spacing w:after="0" w:line="336" w:lineRule="auto"/>
              <w:ind w:left="0" w:leftChars="0"/>
              <w:rPr>
                <w:color w:val="auto"/>
                <w:szCs w:val="24"/>
                <w:highlight w:val="none"/>
              </w:rPr>
            </w:pPr>
          </w:p>
          <w:p w14:paraId="2F7F8100">
            <w:pPr>
              <w:pStyle w:val="13"/>
              <w:spacing w:after="0" w:line="336" w:lineRule="auto"/>
              <w:ind w:left="0" w:leftChars="0"/>
              <w:rPr>
                <w:color w:val="auto"/>
                <w:szCs w:val="24"/>
                <w:highlight w:val="none"/>
              </w:rPr>
            </w:pPr>
          </w:p>
          <w:p w14:paraId="093A069F">
            <w:pPr>
              <w:pStyle w:val="13"/>
              <w:spacing w:after="0" w:line="336" w:lineRule="auto"/>
              <w:ind w:left="0" w:leftChars="0"/>
              <w:rPr>
                <w:color w:val="auto"/>
                <w:szCs w:val="24"/>
                <w:highlight w:val="none"/>
              </w:rPr>
            </w:pPr>
          </w:p>
        </w:tc>
      </w:tr>
    </w:tbl>
    <w:p w14:paraId="215E72A4">
      <w:pPr>
        <w:pStyle w:val="24"/>
        <w:jc w:val="center"/>
        <w:rPr>
          <w:rFonts w:hint="eastAsia" w:ascii="黑体" w:hAnsi="黑体" w:eastAsia="黑体"/>
          <w:snapToGrid w:val="0"/>
          <w:color w:val="auto"/>
          <w:sz w:val="36"/>
          <w:szCs w:val="36"/>
          <w:highlight w:val="none"/>
        </w:rPr>
        <w:sectPr>
          <w:footerReference r:id="rId5" w:type="default"/>
          <w:pgSz w:w="11906" w:h="16838"/>
          <w:pgMar w:top="1701" w:right="1531" w:bottom="1701" w:left="1531" w:header="851" w:footer="851" w:gutter="0"/>
          <w:cols w:space="720" w:num="1"/>
          <w:docGrid w:linePitch="312" w:charSpace="0"/>
        </w:sectPr>
      </w:pPr>
    </w:p>
    <w:p w14:paraId="5E9E6AE2">
      <w:pPr>
        <w:pStyle w:val="24"/>
        <w:adjustRightInd w:val="0"/>
        <w:snapToGrid w:val="0"/>
        <w:spacing w:before="0" w:beforeAutospacing="0" w:after="0" w:afterAutospacing="0" w:line="14" w:lineRule="auto"/>
        <w:jc w:val="center"/>
        <w:rPr>
          <w:rFonts w:hint="eastAsia" w:ascii="黑体" w:hAnsi="黑体" w:eastAsia="黑体"/>
          <w:snapToGrid w:val="0"/>
          <w:color w:val="auto"/>
          <w:sz w:val="30"/>
          <w:szCs w:val="30"/>
          <w:highlight w:val="none"/>
        </w:rPr>
      </w:pPr>
    </w:p>
    <w:p w14:paraId="7E77378A">
      <w:pPr>
        <w:pStyle w:val="24"/>
        <w:spacing w:before="0" w:beforeAutospacing="0" w:after="0" w:afterAutospacing="0"/>
        <w:jc w:val="center"/>
        <w:outlineLvl w:val="0"/>
        <w:rPr>
          <w:rFonts w:ascii="Times New Roman" w:hAnsi="Times New Roman"/>
          <w:b/>
          <w:bCs/>
          <w:color w:val="auto"/>
          <w:kern w:val="44"/>
          <w:sz w:val="30"/>
          <w:szCs w:val="30"/>
          <w:highlight w:val="none"/>
        </w:rPr>
      </w:pPr>
      <w:r>
        <w:rPr>
          <w:rFonts w:hint="eastAsia" w:ascii="Times New Roman" w:hAnsi="Times New Roman"/>
          <w:b/>
          <w:bCs/>
          <w:color w:val="auto"/>
          <w:kern w:val="44"/>
          <w:sz w:val="30"/>
          <w:szCs w:val="30"/>
          <w:highlight w:val="none"/>
        </w:rPr>
        <w:t>三、区域环境质量现状、环境保护目标及评价标准</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603"/>
      </w:tblGrid>
      <w:tr w14:paraId="7D8F6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3" w:hRule="atLeast"/>
          <w:jc w:val="center"/>
        </w:trPr>
        <w:tc>
          <w:tcPr>
            <w:tcW w:w="800" w:type="dxa"/>
            <w:vAlign w:val="center"/>
          </w:tcPr>
          <w:p w14:paraId="3E9AA85D">
            <w:pPr>
              <w:adjustRightInd w:val="0"/>
              <w:snapToGrid w:val="0"/>
              <w:jc w:val="center"/>
              <w:rPr>
                <w:color w:val="auto"/>
                <w:kern w:val="0"/>
                <w:szCs w:val="21"/>
                <w:highlight w:val="none"/>
              </w:rPr>
            </w:pPr>
            <w:r>
              <w:rPr>
                <w:color w:val="auto"/>
                <w:kern w:val="0"/>
                <w:szCs w:val="21"/>
                <w:highlight w:val="none"/>
              </w:rPr>
              <w:t>区域</w:t>
            </w:r>
          </w:p>
          <w:p w14:paraId="4E39BBBF">
            <w:pPr>
              <w:adjustRightInd w:val="0"/>
              <w:snapToGrid w:val="0"/>
              <w:jc w:val="center"/>
              <w:rPr>
                <w:color w:val="auto"/>
                <w:kern w:val="0"/>
                <w:szCs w:val="21"/>
                <w:highlight w:val="none"/>
              </w:rPr>
            </w:pPr>
            <w:r>
              <w:rPr>
                <w:color w:val="auto"/>
                <w:kern w:val="0"/>
                <w:szCs w:val="21"/>
                <w:highlight w:val="none"/>
              </w:rPr>
              <w:t>环境</w:t>
            </w:r>
          </w:p>
          <w:p w14:paraId="17E45E90">
            <w:pPr>
              <w:adjustRightInd w:val="0"/>
              <w:snapToGrid w:val="0"/>
              <w:jc w:val="center"/>
              <w:rPr>
                <w:color w:val="auto"/>
                <w:kern w:val="0"/>
                <w:szCs w:val="21"/>
                <w:highlight w:val="none"/>
              </w:rPr>
            </w:pPr>
            <w:r>
              <w:rPr>
                <w:color w:val="auto"/>
                <w:kern w:val="0"/>
                <w:szCs w:val="21"/>
                <w:highlight w:val="none"/>
              </w:rPr>
              <w:t>质量</w:t>
            </w:r>
          </w:p>
          <w:p w14:paraId="2F0C7B6D">
            <w:pPr>
              <w:adjustRightInd w:val="0"/>
              <w:snapToGrid w:val="0"/>
              <w:jc w:val="center"/>
              <w:rPr>
                <w:color w:val="auto"/>
                <w:kern w:val="0"/>
                <w:szCs w:val="21"/>
                <w:highlight w:val="none"/>
              </w:rPr>
            </w:pPr>
            <w:r>
              <w:rPr>
                <w:color w:val="auto"/>
                <w:kern w:val="0"/>
                <w:szCs w:val="21"/>
                <w:highlight w:val="none"/>
              </w:rPr>
              <w:t>现状</w:t>
            </w:r>
          </w:p>
        </w:tc>
        <w:tc>
          <w:tcPr>
            <w:tcW w:w="8190" w:type="dxa"/>
            <w:vAlign w:val="center"/>
          </w:tcPr>
          <w:p w14:paraId="0CE7D885">
            <w:pPr>
              <w:spacing w:line="360" w:lineRule="auto"/>
              <w:ind w:firstLine="482" w:firstLineChars="200"/>
              <w:rPr>
                <w:b/>
                <w:bCs/>
                <w:color w:val="auto"/>
                <w:sz w:val="24"/>
                <w:highlight w:val="none"/>
              </w:rPr>
            </w:pPr>
            <w:r>
              <w:rPr>
                <w:b/>
                <w:bCs/>
                <w:color w:val="auto"/>
                <w:sz w:val="24"/>
                <w:highlight w:val="none"/>
              </w:rPr>
              <w:t>1.空气环境质量现状评价</w:t>
            </w:r>
          </w:p>
          <w:p w14:paraId="356A2A94">
            <w:pPr>
              <w:spacing w:line="360" w:lineRule="auto"/>
              <w:ind w:firstLine="482" w:firstLineChars="200"/>
              <w:rPr>
                <w:color w:val="auto"/>
                <w:sz w:val="24"/>
                <w:highlight w:val="none"/>
              </w:rPr>
            </w:pPr>
            <w:r>
              <w:rPr>
                <w:b/>
                <w:bCs/>
                <w:color w:val="auto"/>
                <w:sz w:val="24"/>
                <w:highlight w:val="none"/>
              </w:rPr>
              <w:t>1.1</w:t>
            </w:r>
            <w:r>
              <w:rPr>
                <w:b/>
                <w:bCs/>
                <w:color w:val="auto"/>
                <w:sz w:val="24"/>
                <w:highlight w:val="none"/>
                <w:lang w:val="zh-CN"/>
              </w:rPr>
              <w:t>空气质量达标区判定及基本污染物环境质量现状评价</w:t>
            </w:r>
          </w:p>
          <w:p w14:paraId="44F03573">
            <w:pPr>
              <w:spacing w:line="360" w:lineRule="auto"/>
              <w:ind w:firstLine="480"/>
              <w:rPr>
                <w:color w:val="auto"/>
                <w:sz w:val="24"/>
                <w:szCs w:val="32"/>
                <w:highlight w:val="none"/>
              </w:rPr>
            </w:pPr>
            <w:r>
              <w:rPr>
                <w:color w:val="auto"/>
                <w:sz w:val="24"/>
                <w:szCs w:val="32"/>
                <w:highlight w:val="none"/>
                <w:lang w:bidi="ar"/>
              </w:rPr>
              <w:t>根据</w:t>
            </w:r>
            <w:r>
              <w:rPr>
                <w:rFonts w:hint="eastAsia"/>
                <w:color w:val="auto"/>
                <w:sz w:val="24"/>
                <w:szCs w:val="20"/>
                <w:highlight w:val="none"/>
              </w:rPr>
              <w:t>吉林省生态环境厅公布的</w:t>
            </w:r>
            <w:r>
              <w:rPr>
                <w:color w:val="auto"/>
                <w:sz w:val="24"/>
                <w:szCs w:val="32"/>
                <w:highlight w:val="none"/>
                <w:lang w:bidi="ar"/>
              </w:rPr>
              <w:t>《</w:t>
            </w:r>
            <w:r>
              <w:rPr>
                <w:rFonts w:hint="eastAsia"/>
                <w:color w:val="auto"/>
                <w:sz w:val="24"/>
                <w:szCs w:val="32"/>
                <w:highlight w:val="none"/>
                <w:lang w:bidi="ar"/>
              </w:rPr>
              <w:t>吉林省2023年生态环境状况公报</w:t>
            </w:r>
            <w:r>
              <w:rPr>
                <w:color w:val="auto"/>
                <w:sz w:val="24"/>
                <w:szCs w:val="32"/>
                <w:highlight w:val="none"/>
                <w:lang w:bidi="ar"/>
              </w:rPr>
              <w:t>》进行空气质量达标区判定及环境质量现状评价，详见下表。</w:t>
            </w:r>
          </w:p>
          <w:p w14:paraId="4E3F53C5">
            <w:pPr>
              <w:jc w:val="center"/>
              <w:rPr>
                <w:color w:val="auto"/>
                <w:sz w:val="24"/>
                <w:szCs w:val="32"/>
                <w:highlight w:val="none"/>
              </w:rPr>
            </w:pPr>
            <w:r>
              <w:rPr>
                <w:b/>
                <w:color w:val="auto"/>
                <w:sz w:val="24"/>
                <w:highlight w:val="none"/>
                <w:lang w:bidi="ar"/>
              </w:rPr>
              <w:t>表</w:t>
            </w:r>
            <w:r>
              <w:rPr>
                <w:rFonts w:hint="eastAsia"/>
                <w:b/>
                <w:color w:val="auto"/>
                <w:sz w:val="24"/>
                <w:highlight w:val="none"/>
                <w:lang w:bidi="ar"/>
              </w:rPr>
              <w:t>3-1</w:t>
            </w:r>
            <w:r>
              <w:rPr>
                <w:b/>
                <w:color w:val="auto"/>
                <w:sz w:val="24"/>
                <w:highlight w:val="none"/>
                <w:lang w:bidi="ar"/>
              </w:rPr>
              <w:t xml:space="preserve"> 环境空气基本污染物质量现状评价表    单位：</w:t>
            </w:r>
            <w:r>
              <w:rPr>
                <w:rFonts w:hint="eastAsia"/>
                <w:b/>
                <w:color w:val="auto"/>
                <w:sz w:val="24"/>
                <w:highlight w:val="none"/>
                <w:lang w:bidi="ar"/>
              </w:rPr>
              <w:t>μg</w:t>
            </w:r>
            <w:r>
              <w:rPr>
                <w:b/>
                <w:color w:val="auto"/>
                <w:sz w:val="24"/>
                <w:highlight w:val="none"/>
                <w:lang w:bidi="ar"/>
              </w:rPr>
              <w:t>/m</w:t>
            </w:r>
            <w:r>
              <w:rPr>
                <w:b/>
                <w:color w:val="auto"/>
                <w:sz w:val="24"/>
                <w:highlight w:val="none"/>
                <w:vertAlign w:val="superscript"/>
                <w:lang w:bidi="ar"/>
              </w:rPr>
              <w:t>3</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3032"/>
              <w:gridCol w:w="761"/>
              <w:gridCol w:w="818"/>
              <w:gridCol w:w="963"/>
              <w:gridCol w:w="983"/>
              <w:gridCol w:w="1042"/>
            </w:tblGrid>
            <w:tr w14:paraId="75CD6FE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467" w:type="pct"/>
                  <w:vAlign w:val="center"/>
                </w:tcPr>
                <w:p w14:paraId="6E7D81FB">
                  <w:pPr>
                    <w:jc w:val="center"/>
                    <w:rPr>
                      <w:color w:val="auto"/>
                      <w:szCs w:val="21"/>
                      <w:highlight w:val="none"/>
                    </w:rPr>
                  </w:pPr>
                  <w:r>
                    <w:rPr>
                      <w:color w:val="auto"/>
                      <w:szCs w:val="21"/>
                      <w:highlight w:val="none"/>
                    </w:rPr>
                    <w:t>污染物</w:t>
                  </w:r>
                </w:p>
              </w:tc>
              <w:tc>
                <w:tcPr>
                  <w:tcW w:w="1808" w:type="pct"/>
                  <w:vAlign w:val="center"/>
                </w:tcPr>
                <w:p w14:paraId="5FF07D15">
                  <w:pPr>
                    <w:jc w:val="center"/>
                    <w:rPr>
                      <w:color w:val="auto"/>
                      <w:szCs w:val="21"/>
                      <w:highlight w:val="none"/>
                    </w:rPr>
                  </w:pPr>
                  <w:r>
                    <w:rPr>
                      <w:color w:val="auto"/>
                      <w:szCs w:val="21"/>
                      <w:highlight w:val="none"/>
                    </w:rPr>
                    <w:t>年评价指标</w:t>
                  </w:r>
                </w:p>
              </w:tc>
              <w:tc>
                <w:tcPr>
                  <w:tcW w:w="454" w:type="pct"/>
                  <w:vAlign w:val="center"/>
                </w:tcPr>
                <w:p w14:paraId="27FB750F">
                  <w:pPr>
                    <w:jc w:val="center"/>
                    <w:rPr>
                      <w:color w:val="auto"/>
                      <w:szCs w:val="21"/>
                      <w:highlight w:val="none"/>
                    </w:rPr>
                  </w:pPr>
                  <w:r>
                    <w:rPr>
                      <w:color w:val="auto"/>
                      <w:szCs w:val="21"/>
                      <w:highlight w:val="none"/>
                    </w:rPr>
                    <w:t>现状浓度</w:t>
                  </w:r>
                </w:p>
              </w:tc>
              <w:tc>
                <w:tcPr>
                  <w:tcW w:w="488" w:type="pct"/>
                  <w:vAlign w:val="center"/>
                </w:tcPr>
                <w:p w14:paraId="74C67F89">
                  <w:pPr>
                    <w:jc w:val="center"/>
                    <w:rPr>
                      <w:color w:val="auto"/>
                      <w:szCs w:val="21"/>
                      <w:highlight w:val="none"/>
                    </w:rPr>
                  </w:pPr>
                  <w:r>
                    <w:rPr>
                      <w:color w:val="auto"/>
                      <w:szCs w:val="21"/>
                      <w:highlight w:val="none"/>
                    </w:rPr>
                    <w:t>标准值</w:t>
                  </w:r>
                </w:p>
              </w:tc>
              <w:tc>
                <w:tcPr>
                  <w:tcW w:w="574" w:type="pct"/>
                  <w:vAlign w:val="center"/>
                </w:tcPr>
                <w:p w14:paraId="7E17A8B8">
                  <w:pPr>
                    <w:jc w:val="center"/>
                    <w:rPr>
                      <w:color w:val="auto"/>
                      <w:szCs w:val="21"/>
                      <w:highlight w:val="none"/>
                    </w:rPr>
                  </w:pPr>
                  <w:r>
                    <w:rPr>
                      <w:color w:val="auto"/>
                      <w:szCs w:val="21"/>
                      <w:highlight w:val="none"/>
                    </w:rPr>
                    <w:t>超标</w:t>
                  </w:r>
                </w:p>
                <w:p w14:paraId="6CB0A815">
                  <w:pPr>
                    <w:jc w:val="center"/>
                    <w:rPr>
                      <w:color w:val="auto"/>
                      <w:szCs w:val="21"/>
                      <w:highlight w:val="none"/>
                    </w:rPr>
                  </w:pPr>
                  <w:r>
                    <w:rPr>
                      <w:color w:val="auto"/>
                      <w:szCs w:val="21"/>
                      <w:highlight w:val="none"/>
                    </w:rPr>
                    <w:t>倍数</w:t>
                  </w:r>
                </w:p>
              </w:tc>
              <w:tc>
                <w:tcPr>
                  <w:tcW w:w="586" w:type="pct"/>
                  <w:vAlign w:val="center"/>
                </w:tcPr>
                <w:p w14:paraId="502D169A">
                  <w:pPr>
                    <w:jc w:val="center"/>
                    <w:rPr>
                      <w:color w:val="auto"/>
                      <w:szCs w:val="21"/>
                      <w:highlight w:val="none"/>
                    </w:rPr>
                  </w:pPr>
                  <w:r>
                    <w:rPr>
                      <w:color w:val="auto"/>
                      <w:szCs w:val="21"/>
                      <w:highlight w:val="none"/>
                    </w:rPr>
                    <w:t>占标率（%）</w:t>
                  </w:r>
                </w:p>
              </w:tc>
              <w:tc>
                <w:tcPr>
                  <w:tcW w:w="621" w:type="pct"/>
                  <w:vAlign w:val="center"/>
                </w:tcPr>
                <w:p w14:paraId="6CC8FE37">
                  <w:pPr>
                    <w:jc w:val="center"/>
                    <w:rPr>
                      <w:color w:val="auto"/>
                      <w:szCs w:val="21"/>
                      <w:highlight w:val="none"/>
                    </w:rPr>
                  </w:pPr>
                  <w:r>
                    <w:rPr>
                      <w:color w:val="auto"/>
                      <w:szCs w:val="21"/>
                      <w:highlight w:val="none"/>
                    </w:rPr>
                    <w:t>达标情况</w:t>
                  </w:r>
                </w:p>
              </w:tc>
            </w:tr>
            <w:tr w14:paraId="41E9EA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467" w:type="pct"/>
                  <w:vAlign w:val="center"/>
                </w:tcPr>
                <w:p w14:paraId="6549D3CB">
                  <w:pPr>
                    <w:jc w:val="center"/>
                    <w:rPr>
                      <w:color w:val="auto"/>
                      <w:szCs w:val="21"/>
                      <w:highlight w:val="none"/>
                    </w:rPr>
                  </w:pPr>
                  <w:r>
                    <w:rPr>
                      <w:color w:val="auto"/>
                      <w:szCs w:val="21"/>
                      <w:highlight w:val="none"/>
                    </w:rPr>
                    <w:t>PM</w:t>
                  </w:r>
                  <w:r>
                    <w:rPr>
                      <w:color w:val="auto"/>
                      <w:szCs w:val="21"/>
                      <w:highlight w:val="none"/>
                      <w:vertAlign w:val="subscript"/>
                    </w:rPr>
                    <w:t>2.5</w:t>
                  </w:r>
                </w:p>
              </w:tc>
              <w:tc>
                <w:tcPr>
                  <w:tcW w:w="1808" w:type="pct"/>
                  <w:vAlign w:val="center"/>
                </w:tcPr>
                <w:p w14:paraId="5C4EF07B">
                  <w:pPr>
                    <w:jc w:val="center"/>
                    <w:rPr>
                      <w:color w:val="auto"/>
                      <w:szCs w:val="21"/>
                      <w:highlight w:val="none"/>
                    </w:rPr>
                  </w:pPr>
                  <w:r>
                    <w:rPr>
                      <w:color w:val="auto"/>
                      <w:szCs w:val="21"/>
                      <w:highlight w:val="none"/>
                    </w:rPr>
                    <w:t>年平均质量浓度</w:t>
                  </w:r>
                </w:p>
              </w:tc>
              <w:tc>
                <w:tcPr>
                  <w:tcW w:w="454" w:type="pct"/>
                  <w:vAlign w:val="center"/>
                </w:tcPr>
                <w:p w14:paraId="5B6C8170">
                  <w:pPr>
                    <w:jc w:val="center"/>
                    <w:rPr>
                      <w:color w:val="auto"/>
                      <w:szCs w:val="21"/>
                      <w:highlight w:val="none"/>
                    </w:rPr>
                  </w:pPr>
                  <w:r>
                    <w:rPr>
                      <w:rFonts w:hint="eastAsia"/>
                      <w:color w:val="auto"/>
                      <w:szCs w:val="21"/>
                      <w:highlight w:val="none"/>
                    </w:rPr>
                    <w:t>26.5</w:t>
                  </w:r>
                </w:p>
              </w:tc>
              <w:tc>
                <w:tcPr>
                  <w:tcW w:w="488" w:type="pct"/>
                  <w:vAlign w:val="center"/>
                </w:tcPr>
                <w:p w14:paraId="6CAE8EF6">
                  <w:pPr>
                    <w:jc w:val="center"/>
                    <w:rPr>
                      <w:color w:val="auto"/>
                      <w:szCs w:val="21"/>
                      <w:highlight w:val="none"/>
                    </w:rPr>
                  </w:pPr>
                  <w:r>
                    <w:rPr>
                      <w:color w:val="auto"/>
                      <w:szCs w:val="21"/>
                      <w:highlight w:val="none"/>
                    </w:rPr>
                    <w:t>35</w:t>
                  </w:r>
                </w:p>
              </w:tc>
              <w:tc>
                <w:tcPr>
                  <w:tcW w:w="574" w:type="pct"/>
                  <w:vAlign w:val="center"/>
                </w:tcPr>
                <w:p w14:paraId="7FAF5512">
                  <w:pPr>
                    <w:jc w:val="center"/>
                    <w:rPr>
                      <w:color w:val="auto"/>
                      <w:szCs w:val="21"/>
                      <w:highlight w:val="none"/>
                    </w:rPr>
                  </w:pPr>
                  <w:r>
                    <w:rPr>
                      <w:rFonts w:hint="eastAsia"/>
                      <w:color w:val="auto"/>
                      <w:szCs w:val="21"/>
                      <w:highlight w:val="none"/>
                    </w:rPr>
                    <w:t>未超标</w:t>
                  </w:r>
                </w:p>
              </w:tc>
              <w:tc>
                <w:tcPr>
                  <w:tcW w:w="586" w:type="pct"/>
                  <w:vAlign w:val="center"/>
                </w:tcPr>
                <w:p w14:paraId="045F8E5A">
                  <w:pPr>
                    <w:jc w:val="center"/>
                    <w:rPr>
                      <w:color w:val="auto"/>
                      <w:szCs w:val="21"/>
                      <w:highlight w:val="none"/>
                    </w:rPr>
                  </w:pPr>
                  <w:r>
                    <w:rPr>
                      <w:rFonts w:hint="eastAsia"/>
                      <w:color w:val="auto"/>
                      <w:szCs w:val="21"/>
                      <w:highlight w:val="none"/>
                    </w:rPr>
                    <w:t>75.7</w:t>
                  </w:r>
                </w:p>
              </w:tc>
              <w:tc>
                <w:tcPr>
                  <w:tcW w:w="621" w:type="pct"/>
                  <w:vAlign w:val="center"/>
                </w:tcPr>
                <w:p w14:paraId="60E4BB14">
                  <w:pPr>
                    <w:jc w:val="center"/>
                    <w:rPr>
                      <w:color w:val="auto"/>
                      <w:szCs w:val="21"/>
                      <w:highlight w:val="none"/>
                    </w:rPr>
                  </w:pPr>
                  <w:r>
                    <w:rPr>
                      <w:color w:val="auto"/>
                      <w:szCs w:val="21"/>
                      <w:highlight w:val="none"/>
                    </w:rPr>
                    <w:t>达标</w:t>
                  </w:r>
                </w:p>
              </w:tc>
            </w:tr>
            <w:tr w14:paraId="133C296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467" w:type="pct"/>
                  <w:vAlign w:val="center"/>
                </w:tcPr>
                <w:p w14:paraId="45E1699A">
                  <w:pPr>
                    <w:jc w:val="center"/>
                    <w:rPr>
                      <w:color w:val="auto"/>
                      <w:szCs w:val="21"/>
                      <w:highlight w:val="none"/>
                    </w:rPr>
                  </w:pPr>
                  <w:r>
                    <w:rPr>
                      <w:color w:val="auto"/>
                      <w:szCs w:val="21"/>
                      <w:highlight w:val="none"/>
                    </w:rPr>
                    <w:t>PM</w:t>
                  </w:r>
                  <w:r>
                    <w:rPr>
                      <w:color w:val="auto"/>
                      <w:szCs w:val="21"/>
                      <w:highlight w:val="none"/>
                      <w:vertAlign w:val="subscript"/>
                    </w:rPr>
                    <w:t>10</w:t>
                  </w:r>
                </w:p>
              </w:tc>
              <w:tc>
                <w:tcPr>
                  <w:tcW w:w="1808" w:type="pct"/>
                  <w:vAlign w:val="center"/>
                </w:tcPr>
                <w:p w14:paraId="739D1C72">
                  <w:pPr>
                    <w:jc w:val="center"/>
                    <w:rPr>
                      <w:color w:val="auto"/>
                      <w:szCs w:val="21"/>
                      <w:highlight w:val="none"/>
                    </w:rPr>
                  </w:pPr>
                  <w:r>
                    <w:rPr>
                      <w:color w:val="auto"/>
                      <w:szCs w:val="21"/>
                      <w:highlight w:val="none"/>
                    </w:rPr>
                    <w:t>年平均质量浓度</w:t>
                  </w:r>
                </w:p>
              </w:tc>
              <w:tc>
                <w:tcPr>
                  <w:tcW w:w="454" w:type="pct"/>
                  <w:vAlign w:val="center"/>
                </w:tcPr>
                <w:p w14:paraId="6D594A02">
                  <w:pPr>
                    <w:jc w:val="center"/>
                    <w:rPr>
                      <w:color w:val="auto"/>
                      <w:szCs w:val="21"/>
                      <w:highlight w:val="none"/>
                    </w:rPr>
                  </w:pPr>
                  <w:r>
                    <w:rPr>
                      <w:rFonts w:hint="eastAsia"/>
                      <w:color w:val="auto"/>
                      <w:szCs w:val="21"/>
                      <w:highlight w:val="none"/>
                    </w:rPr>
                    <w:t>47</w:t>
                  </w:r>
                </w:p>
              </w:tc>
              <w:tc>
                <w:tcPr>
                  <w:tcW w:w="488" w:type="pct"/>
                  <w:vAlign w:val="center"/>
                </w:tcPr>
                <w:p w14:paraId="15790DAA">
                  <w:pPr>
                    <w:jc w:val="center"/>
                    <w:rPr>
                      <w:color w:val="auto"/>
                      <w:szCs w:val="21"/>
                      <w:highlight w:val="none"/>
                    </w:rPr>
                  </w:pPr>
                  <w:r>
                    <w:rPr>
                      <w:color w:val="auto"/>
                      <w:szCs w:val="21"/>
                      <w:highlight w:val="none"/>
                    </w:rPr>
                    <w:t>70</w:t>
                  </w:r>
                </w:p>
              </w:tc>
              <w:tc>
                <w:tcPr>
                  <w:tcW w:w="574" w:type="pct"/>
                  <w:vAlign w:val="center"/>
                </w:tcPr>
                <w:p w14:paraId="600DEBA0">
                  <w:pPr>
                    <w:jc w:val="center"/>
                    <w:rPr>
                      <w:color w:val="auto"/>
                      <w:szCs w:val="21"/>
                      <w:highlight w:val="none"/>
                    </w:rPr>
                  </w:pPr>
                  <w:r>
                    <w:rPr>
                      <w:color w:val="auto"/>
                      <w:szCs w:val="21"/>
                      <w:highlight w:val="none"/>
                    </w:rPr>
                    <w:t>未超标</w:t>
                  </w:r>
                </w:p>
              </w:tc>
              <w:tc>
                <w:tcPr>
                  <w:tcW w:w="586" w:type="pct"/>
                  <w:vAlign w:val="center"/>
                </w:tcPr>
                <w:p w14:paraId="11155429">
                  <w:pPr>
                    <w:jc w:val="center"/>
                    <w:rPr>
                      <w:color w:val="auto"/>
                      <w:szCs w:val="21"/>
                      <w:highlight w:val="none"/>
                    </w:rPr>
                  </w:pPr>
                  <w:r>
                    <w:rPr>
                      <w:rFonts w:hint="eastAsia"/>
                      <w:color w:val="auto"/>
                      <w:szCs w:val="21"/>
                      <w:highlight w:val="none"/>
                    </w:rPr>
                    <w:t>67.1</w:t>
                  </w:r>
                </w:p>
              </w:tc>
              <w:tc>
                <w:tcPr>
                  <w:tcW w:w="621" w:type="pct"/>
                  <w:vAlign w:val="center"/>
                </w:tcPr>
                <w:p w14:paraId="7A4A661C">
                  <w:pPr>
                    <w:jc w:val="center"/>
                    <w:rPr>
                      <w:color w:val="auto"/>
                      <w:szCs w:val="21"/>
                      <w:highlight w:val="none"/>
                    </w:rPr>
                  </w:pPr>
                  <w:r>
                    <w:rPr>
                      <w:color w:val="auto"/>
                      <w:szCs w:val="21"/>
                      <w:highlight w:val="none"/>
                    </w:rPr>
                    <w:t>达标</w:t>
                  </w:r>
                </w:p>
              </w:tc>
            </w:tr>
            <w:tr w14:paraId="2738AC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467" w:type="pct"/>
                  <w:vAlign w:val="center"/>
                </w:tcPr>
                <w:p w14:paraId="060BFC41">
                  <w:pPr>
                    <w:jc w:val="center"/>
                    <w:rPr>
                      <w:color w:val="auto"/>
                      <w:szCs w:val="21"/>
                      <w:highlight w:val="none"/>
                    </w:rPr>
                  </w:pPr>
                  <w:r>
                    <w:rPr>
                      <w:color w:val="auto"/>
                      <w:szCs w:val="21"/>
                      <w:highlight w:val="none"/>
                    </w:rPr>
                    <w:t>SO</w:t>
                  </w:r>
                  <w:r>
                    <w:rPr>
                      <w:color w:val="auto"/>
                      <w:szCs w:val="21"/>
                      <w:highlight w:val="none"/>
                      <w:vertAlign w:val="subscript"/>
                    </w:rPr>
                    <w:t>2</w:t>
                  </w:r>
                </w:p>
              </w:tc>
              <w:tc>
                <w:tcPr>
                  <w:tcW w:w="1808" w:type="pct"/>
                  <w:vAlign w:val="center"/>
                </w:tcPr>
                <w:p w14:paraId="14D8FBD1">
                  <w:pPr>
                    <w:jc w:val="center"/>
                    <w:rPr>
                      <w:color w:val="auto"/>
                      <w:szCs w:val="21"/>
                      <w:highlight w:val="none"/>
                    </w:rPr>
                  </w:pPr>
                  <w:r>
                    <w:rPr>
                      <w:color w:val="auto"/>
                      <w:szCs w:val="21"/>
                      <w:highlight w:val="none"/>
                    </w:rPr>
                    <w:t>年平均质量浓度</w:t>
                  </w:r>
                </w:p>
              </w:tc>
              <w:tc>
                <w:tcPr>
                  <w:tcW w:w="454" w:type="pct"/>
                  <w:vAlign w:val="center"/>
                </w:tcPr>
                <w:p w14:paraId="63414F39">
                  <w:pPr>
                    <w:jc w:val="center"/>
                    <w:rPr>
                      <w:color w:val="auto"/>
                      <w:szCs w:val="21"/>
                      <w:highlight w:val="none"/>
                    </w:rPr>
                  </w:pPr>
                  <w:r>
                    <w:rPr>
                      <w:rFonts w:hint="eastAsia"/>
                      <w:color w:val="auto"/>
                      <w:szCs w:val="21"/>
                      <w:highlight w:val="none"/>
                    </w:rPr>
                    <w:t>9</w:t>
                  </w:r>
                </w:p>
              </w:tc>
              <w:tc>
                <w:tcPr>
                  <w:tcW w:w="488" w:type="pct"/>
                  <w:vAlign w:val="center"/>
                </w:tcPr>
                <w:p w14:paraId="5B8936CA">
                  <w:pPr>
                    <w:jc w:val="center"/>
                    <w:rPr>
                      <w:color w:val="auto"/>
                      <w:szCs w:val="21"/>
                      <w:highlight w:val="none"/>
                    </w:rPr>
                  </w:pPr>
                  <w:r>
                    <w:rPr>
                      <w:color w:val="auto"/>
                      <w:szCs w:val="21"/>
                      <w:highlight w:val="none"/>
                    </w:rPr>
                    <w:t>60</w:t>
                  </w:r>
                </w:p>
              </w:tc>
              <w:tc>
                <w:tcPr>
                  <w:tcW w:w="574" w:type="pct"/>
                  <w:vAlign w:val="center"/>
                </w:tcPr>
                <w:p w14:paraId="3A07D19A">
                  <w:pPr>
                    <w:jc w:val="center"/>
                    <w:rPr>
                      <w:color w:val="auto"/>
                      <w:szCs w:val="21"/>
                      <w:highlight w:val="none"/>
                    </w:rPr>
                  </w:pPr>
                  <w:r>
                    <w:rPr>
                      <w:color w:val="auto"/>
                      <w:szCs w:val="21"/>
                      <w:highlight w:val="none"/>
                    </w:rPr>
                    <w:t>未超标</w:t>
                  </w:r>
                </w:p>
              </w:tc>
              <w:tc>
                <w:tcPr>
                  <w:tcW w:w="586" w:type="pct"/>
                  <w:vAlign w:val="center"/>
                </w:tcPr>
                <w:p w14:paraId="5900E233">
                  <w:pPr>
                    <w:jc w:val="center"/>
                    <w:rPr>
                      <w:color w:val="auto"/>
                      <w:szCs w:val="21"/>
                      <w:highlight w:val="none"/>
                    </w:rPr>
                  </w:pPr>
                  <w:r>
                    <w:rPr>
                      <w:rFonts w:hint="eastAsia"/>
                      <w:color w:val="auto"/>
                      <w:szCs w:val="21"/>
                      <w:highlight w:val="none"/>
                    </w:rPr>
                    <w:t>15.0</w:t>
                  </w:r>
                </w:p>
              </w:tc>
              <w:tc>
                <w:tcPr>
                  <w:tcW w:w="621" w:type="pct"/>
                  <w:vAlign w:val="center"/>
                </w:tcPr>
                <w:p w14:paraId="11F2B5E4">
                  <w:pPr>
                    <w:jc w:val="center"/>
                    <w:rPr>
                      <w:color w:val="auto"/>
                      <w:szCs w:val="21"/>
                      <w:highlight w:val="none"/>
                    </w:rPr>
                  </w:pPr>
                  <w:r>
                    <w:rPr>
                      <w:color w:val="auto"/>
                      <w:szCs w:val="21"/>
                      <w:highlight w:val="none"/>
                    </w:rPr>
                    <w:t>达标</w:t>
                  </w:r>
                </w:p>
              </w:tc>
            </w:tr>
            <w:tr w14:paraId="5B23A7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467" w:type="pct"/>
                  <w:vAlign w:val="center"/>
                </w:tcPr>
                <w:p w14:paraId="444C8D9A">
                  <w:pPr>
                    <w:jc w:val="center"/>
                    <w:rPr>
                      <w:color w:val="auto"/>
                      <w:szCs w:val="21"/>
                      <w:highlight w:val="none"/>
                    </w:rPr>
                  </w:pPr>
                  <w:r>
                    <w:rPr>
                      <w:color w:val="auto"/>
                      <w:szCs w:val="21"/>
                      <w:highlight w:val="none"/>
                    </w:rPr>
                    <w:t>NO</w:t>
                  </w:r>
                  <w:r>
                    <w:rPr>
                      <w:color w:val="auto"/>
                      <w:szCs w:val="21"/>
                      <w:highlight w:val="none"/>
                      <w:vertAlign w:val="subscript"/>
                    </w:rPr>
                    <w:t>2</w:t>
                  </w:r>
                </w:p>
              </w:tc>
              <w:tc>
                <w:tcPr>
                  <w:tcW w:w="1808" w:type="pct"/>
                  <w:vAlign w:val="center"/>
                </w:tcPr>
                <w:p w14:paraId="47E11553">
                  <w:pPr>
                    <w:jc w:val="center"/>
                    <w:rPr>
                      <w:color w:val="auto"/>
                      <w:szCs w:val="21"/>
                      <w:highlight w:val="none"/>
                    </w:rPr>
                  </w:pPr>
                  <w:r>
                    <w:rPr>
                      <w:color w:val="auto"/>
                      <w:szCs w:val="21"/>
                      <w:highlight w:val="none"/>
                    </w:rPr>
                    <w:t>年平均质量浓度</w:t>
                  </w:r>
                </w:p>
              </w:tc>
              <w:tc>
                <w:tcPr>
                  <w:tcW w:w="454" w:type="pct"/>
                  <w:vAlign w:val="center"/>
                </w:tcPr>
                <w:p w14:paraId="20FBFCD4">
                  <w:pPr>
                    <w:jc w:val="center"/>
                    <w:rPr>
                      <w:color w:val="auto"/>
                      <w:szCs w:val="21"/>
                      <w:highlight w:val="none"/>
                    </w:rPr>
                  </w:pPr>
                  <w:r>
                    <w:rPr>
                      <w:rFonts w:hint="eastAsia"/>
                      <w:color w:val="auto"/>
                      <w:szCs w:val="21"/>
                      <w:highlight w:val="none"/>
                    </w:rPr>
                    <w:t>22</w:t>
                  </w:r>
                </w:p>
              </w:tc>
              <w:tc>
                <w:tcPr>
                  <w:tcW w:w="488" w:type="pct"/>
                  <w:vAlign w:val="center"/>
                </w:tcPr>
                <w:p w14:paraId="7E1F052A">
                  <w:pPr>
                    <w:jc w:val="center"/>
                    <w:rPr>
                      <w:color w:val="auto"/>
                      <w:szCs w:val="21"/>
                      <w:highlight w:val="none"/>
                    </w:rPr>
                  </w:pPr>
                  <w:r>
                    <w:rPr>
                      <w:color w:val="auto"/>
                      <w:szCs w:val="21"/>
                      <w:highlight w:val="none"/>
                    </w:rPr>
                    <w:t>40</w:t>
                  </w:r>
                </w:p>
              </w:tc>
              <w:tc>
                <w:tcPr>
                  <w:tcW w:w="574" w:type="pct"/>
                  <w:vAlign w:val="center"/>
                </w:tcPr>
                <w:p w14:paraId="07160649">
                  <w:pPr>
                    <w:jc w:val="center"/>
                    <w:rPr>
                      <w:color w:val="auto"/>
                      <w:szCs w:val="21"/>
                      <w:highlight w:val="none"/>
                    </w:rPr>
                  </w:pPr>
                  <w:r>
                    <w:rPr>
                      <w:color w:val="auto"/>
                      <w:szCs w:val="21"/>
                      <w:highlight w:val="none"/>
                    </w:rPr>
                    <w:t>未超标</w:t>
                  </w:r>
                </w:p>
              </w:tc>
              <w:tc>
                <w:tcPr>
                  <w:tcW w:w="586" w:type="pct"/>
                  <w:vAlign w:val="center"/>
                </w:tcPr>
                <w:p w14:paraId="72FBD2E4">
                  <w:pPr>
                    <w:jc w:val="center"/>
                    <w:rPr>
                      <w:color w:val="auto"/>
                      <w:szCs w:val="21"/>
                      <w:highlight w:val="none"/>
                    </w:rPr>
                  </w:pPr>
                  <w:r>
                    <w:rPr>
                      <w:rFonts w:hint="eastAsia"/>
                      <w:color w:val="auto"/>
                      <w:szCs w:val="21"/>
                      <w:highlight w:val="none"/>
                    </w:rPr>
                    <w:t>55.0</w:t>
                  </w:r>
                </w:p>
              </w:tc>
              <w:tc>
                <w:tcPr>
                  <w:tcW w:w="621" w:type="pct"/>
                  <w:vAlign w:val="center"/>
                </w:tcPr>
                <w:p w14:paraId="41D673C2">
                  <w:pPr>
                    <w:jc w:val="center"/>
                    <w:rPr>
                      <w:color w:val="auto"/>
                      <w:szCs w:val="21"/>
                      <w:highlight w:val="none"/>
                    </w:rPr>
                  </w:pPr>
                  <w:r>
                    <w:rPr>
                      <w:color w:val="auto"/>
                      <w:szCs w:val="21"/>
                      <w:highlight w:val="none"/>
                    </w:rPr>
                    <w:t>达标</w:t>
                  </w:r>
                </w:p>
              </w:tc>
            </w:tr>
            <w:tr w14:paraId="00ADB7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467" w:type="pct"/>
                  <w:vAlign w:val="center"/>
                </w:tcPr>
                <w:p w14:paraId="01EE0FC2">
                  <w:pPr>
                    <w:jc w:val="center"/>
                    <w:rPr>
                      <w:color w:val="auto"/>
                      <w:szCs w:val="21"/>
                      <w:highlight w:val="none"/>
                    </w:rPr>
                  </w:pPr>
                  <w:r>
                    <w:rPr>
                      <w:color w:val="auto"/>
                      <w:szCs w:val="21"/>
                      <w:highlight w:val="none"/>
                    </w:rPr>
                    <w:t>CO</w:t>
                  </w:r>
                </w:p>
              </w:tc>
              <w:tc>
                <w:tcPr>
                  <w:tcW w:w="1808" w:type="pct"/>
                  <w:vAlign w:val="center"/>
                </w:tcPr>
                <w:p w14:paraId="24DF4518">
                  <w:pPr>
                    <w:jc w:val="center"/>
                    <w:rPr>
                      <w:color w:val="auto"/>
                      <w:szCs w:val="21"/>
                      <w:highlight w:val="none"/>
                    </w:rPr>
                  </w:pPr>
                  <w:r>
                    <w:rPr>
                      <w:color w:val="auto"/>
                      <w:szCs w:val="21"/>
                      <w:highlight w:val="none"/>
                    </w:rPr>
                    <w:t>年24h平均第95百分位数</w:t>
                  </w:r>
                </w:p>
              </w:tc>
              <w:tc>
                <w:tcPr>
                  <w:tcW w:w="454" w:type="pct"/>
                  <w:vAlign w:val="center"/>
                </w:tcPr>
                <w:p w14:paraId="246A655E">
                  <w:pPr>
                    <w:jc w:val="center"/>
                    <w:rPr>
                      <w:color w:val="auto"/>
                      <w:szCs w:val="21"/>
                      <w:highlight w:val="none"/>
                    </w:rPr>
                  </w:pPr>
                  <w:r>
                    <w:rPr>
                      <w:color w:val="auto"/>
                      <w:szCs w:val="21"/>
                      <w:highlight w:val="none"/>
                    </w:rPr>
                    <w:t>1</w:t>
                  </w:r>
                  <w:r>
                    <w:rPr>
                      <w:rFonts w:hint="eastAsia"/>
                      <w:color w:val="auto"/>
                      <w:szCs w:val="21"/>
                      <w:highlight w:val="none"/>
                    </w:rPr>
                    <w:t>0</w:t>
                  </w:r>
                  <w:r>
                    <w:rPr>
                      <w:color w:val="auto"/>
                      <w:szCs w:val="21"/>
                      <w:highlight w:val="none"/>
                    </w:rPr>
                    <w:t>0</w:t>
                  </w:r>
                  <w:r>
                    <w:rPr>
                      <w:rFonts w:hint="eastAsia"/>
                      <w:color w:val="auto"/>
                      <w:szCs w:val="21"/>
                      <w:highlight w:val="none"/>
                    </w:rPr>
                    <w:t>0</w:t>
                  </w:r>
                </w:p>
              </w:tc>
              <w:tc>
                <w:tcPr>
                  <w:tcW w:w="488" w:type="pct"/>
                  <w:vAlign w:val="center"/>
                </w:tcPr>
                <w:p w14:paraId="20BF81BF">
                  <w:pPr>
                    <w:jc w:val="center"/>
                    <w:rPr>
                      <w:color w:val="auto"/>
                      <w:szCs w:val="21"/>
                      <w:highlight w:val="none"/>
                    </w:rPr>
                  </w:pPr>
                  <w:r>
                    <w:rPr>
                      <w:color w:val="auto"/>
                      <w:szCs w:val="21"/>
                      <w:highlight w:val="none"/>
                    </w:rPr>
                    <w:t>4000</w:t>
                  </w:r>
                </w:p>
              </w:tc>
              <w:tc>
                <w:tcPr>
                  <w:tcW w:w="574" w:type="pct"/>
                  <w:vAlign w:val="center"/>
                </w:tcPr>
                <w:p w14:paraId="6DE13182">
                  <w:pPr>
                    <w:jc w:val="center"/>
                    <w:rPr>
                      <w:color w:val="auto"/>
                      <w:szCs w:val="21"/>
                      <w:highlight w:val="none"/>
                    </w:rPr>
                  </w:pPr>
                  <w:r>
                    <w:rPr>
                      <w:color w:val="auto"/>
                      <w:szCs w:val="21"/>
                      <w:highlight w:val="none"/>
                    </w:rPr>
                    <w:t>未超标</w:t>
                  </w:r>
                </w:p>
              </w:tc>
              <w:tc>
                <w:tcPr>
                  <w:tcW w:w="586" w:type="pct"/>
                  <w:vAlign w:val="center"/>
                </w:tcPr>
                <w:p w14:paraId="7335401C">
                  <w:pPr>
                    <w:jc w:val="center"/>
                    <w:rPr>
                      <w:color w:val="auto"/>
                      <w:szCs w:val="21"/>
                      <w:highlight w:val="none"/>
                    </w:rPr>
                  </w:pPr>
                  <w:r>
                    <w:rPr>
                      <w:rFonts w:hint="eastAsia"/>
                      <w:color w:val="auto"/>
                      <w:szCs w:val="21"/>
                      <w:highlight w:val="none"/>
                    </w:rPr>
                    <w:t>25.0</w:t>
                  </w:r>
                </w:p>
              </w:tc>
              <w:tc>
                <w:tcPr>
                  <w:tcW w:w="621" w:type="pct"/>
                  <w:vAlign w:val="center"/>
                </w:tcPr>
                <w:p w14:paraId="5CE963FD">
                  <w:pPr>
                    <w:jc w:val="center"/>
                    <w:rPr>
                      <w:color w:val="auto"/>
                      <w:szCs w:val="21"/>
                      <w:highlight w:val="none"/>
                    </w:rPr>
                  </w:pPr>
                  <w:r>
                    <w:rPr>
                      <w:color w:val="auto"/>
                      <w:szCs w:val="21"/>
                      <w:highlight w:val="none"/>
                    </w:rPr>
                    <w:t>达标</w:t>
                  </w:r>
                </w:p>
              </w:tc>
            </w:tr>
            <w:tr w14:paraId="5A46CA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67" w:type="pct"/>
                  <w:vAlign w:val="center"/>
                </w:tcPr>
                <w:p w14:paraId="2363AF1D">
                  <w:pPr>
                    <w:jc w:val="center"/>
                    <w:rPr>
                      <w:color w:val="auto"/>
                      <w:szCs w:val="21"/>
                      <w:highlight w:val="none"/>
                    </w:rPr>
                  </w:pPr>
                  <w:r>
                    <w:rPr>
                      <w:color w:val="auto"/>
                      <w:szCs w:val="21"/>
                      <w:highlight w:val="none"/>
                    </w:rPr>
                    <w:t>O</w:t>
                  </w:r>
                  <w:r>
                    <w:rPr>
                      <w:color w:val="auto"/>
                      <w:szCs w:val="21"/>
                      <w:highlight w:val="none"/>
                      <w:vertAlign w:val="subscript"/>
                    </w:rPr>
                    <w:t>3</w:t>
                  </w:r>
                </w:p>
              </w:tc>
              <w:tc>
                <w:tcPr>
                  <w:tcW w:w="1808" w:type="pct"/>
                  <w:vAlign w:val="center"/>
                </w:tcPr>
                <w:p w14:paraId="4241BA70">
                  <w:pPr>
                    <w:jc w:val="center"/>
                    <w:rPr>
                      <w:color w:val="auto"/>
                      <w:szCs w:val="21"/>
                      <w:highlight w:val="none"/>
                    </w:rPr>
                  </w:pPr>
                  <w:r>
                    <w:rPr>
                      <w:color w:val="auto"/>
                      <w:szCs w:val="21"/>
                      <w:highlight w:val="none"/>
                    </w:rPr>
                    <w:t>年日最大8h平均第90百分位数</w:t>
                  </w:r>
                </w:p>
              </w:tc>
              <w:tc>
                <w:tcPr>
                  <w:tcW w:w="454" w:type="pct"/>
                  <w:vAlign w:val="center"/>
                </w:tcPr>
                <w:p w14:paraId="6E9A23ED">
                  <w:pPr>
                    <w:jc w:val="center"/>
                    <w:rPr>
                      <w:color w:val="auto"/>
                      <w:szCs w:val="21"/>
                      <w:highlight w:val="none"/>
                    </w:rPr>
                  </w:pPr>
                  <w:r>
                    <w:rPr>
                      <w:rFonts w:hint="eastAsia"/>
                      <w:color w:val="auto"/>
                      <w:szCs w:val="21"/>
                      <w:highlight w:val="none"/>
                    </w:rPr>
                    <w:t>133</w:t>
                  </w:r>
                </w:p>
              </w:tc>
              <w:tc>
                <w:tcPr>
                  <w:tcW w:w="488" w:type="pct"/>
                  <w:vAlign w:val="center"/>
                </w:tcPr>
                <w:p w14:paraId="2A613D53">
                  <w:pPr>
                    <w:jc w:val="center"/>
                    <w:rPr>
                      <w:color w:val="auto"/>
                      <w:szCs w:val="21"/>
                      <w:highlight w:val="none"/>
                    </w:rPr>
                  </w:pPr>
                  <w:r>
                    <w:rPr>
                      <w:color w:val="auto"/>
                      <w:szCs w:val="21"/>
                      <w:highlight w:val="none"/>
                    </w:rPr>
                    <w:t>160</w:t>
                  </w:r>
                </w:p>
              </w:tc>
              <w:tc>
                <w:tcPr>
                  <w:tcW w:w="574" w:type="pct"/>
                  <w:vAlign w:val="center"/>
                </w:tcPr>
                <w:p w14:paraId="6F7A674D">
                  <w:pPr>
                    <w:jc w:val="center"/>
                    <w:rPr>
                      <w:color w:val="auto"/>
                      <w:szCs w:val="21"/>
                      <w:highlight w:val="none"/>
                    </w:rPr>
                  </w:pPr>
                  <w:r>
                    <w:rPr>
                      <w:color w:val="auto"/>
                      <w:szCs w:val="21"/>
                      <w:highlight w:val="none"/>
                    </w:rPr>
                    <w:t>未超标</w:t>
                  </w:r>
                </w:p>
              </w:tc>
              <w:tc>
                <w:tcPr>
                  <w:tcW w:w="586" w:type="pct"/>
                  <w:vAlign w:val="center"/>
                </w:tcPr>
                <w:p w14:paraId="45D9E01F">
                  <w:pPr>
                    <w:jc w:val="center"/>
                    <w:rPr>
                      <w:color w:val="auto"/>
                      <w:szCs w:val="21"/>
                      <w:highlight w:val="none"/>
                    </w:rPr>
                  </w:pPr>
                  <w:r>
                    <w:rPr>
                      <w:rFonts w:hint="eastAsia"/>
                      <w:color w:val="auto"/>
                      <w:szCs w:val="21"/>
                      <w:highlight w:val="none"/>
                    </w:rPr>
                    <w:t>83.1</w:t>
                  </w:r>
                </w:p>
              </w:tc>
              <w:tc>
                <w:tcPr>
                  <w:tcW w:w="621" w:type="pct"/>
                  <w:vAlign w:val="center"/>
                </w:tcPr>
                <w:p w14:paraId="5277D582">
                  <w:pPr>
                    <w:jc w:val="center"/>
                    <w:rPr>
                      <w:color w:val="auto"/>
                      <w:szCs w:val="21"/>
                      <w:highlight w:val="none"/>
                    </w:rPr>
                  </w:pPr>
                  <w:r>
                    <w:rPr>
                      <w:color w:val="auto"/>
                      <w:szCs w:val="21"/>
                      <w:highlight w:val="none"/>
                    </w:rPr>
                    <w:t>达标</w:t>
                  </w:r>
                </w:p>
              </w:tc>
            </w:tr>
          </w:tbl>
          <w:p w14:paraId="68D9F848">
            <w:pPr>
              <w:adjustRightInd w:val="0"/>
              <w:snapToGrid w:val="0"/>
              <w:spacing w:line="360" w:lineRule="auto"/>
              <w:ind w:firstLine="480" w:firstLineChars="200"/>
              <w:rPr>
                <w:color w:val="auto"/>
                <w:sz w:val="24"/>
                <w:highlight w:val="none"/>
              </w:rPr>
            </w:pPr>
          </w:p>
          <w:p w14:paraId="0D16CD28">
            <w:pPr>
              <w:adjustRightInd w:val="0"/>
              <w:snapToGrid w:val="0"/>
              <w:spacing w:line="360" w:lineRule="auto"/>
              <w:ind w:firstLine="480" w:firstLineChars="200"/>
              <w:rPr>
                <w:bCs/>
                <w:color w:val="auto"/>
                <w:sz w:val="24"/>
                <w:highlight w:val="none"/>
              </w:rPr>
            </w:pPr>
            <w:r>
              <w:rPr>
                <w:rFonts w:hint="eastAsia"/>
                <w:color w:val="auto"/>
                <w:sz w:val="24"/>
                <w:highlight w:val="none"/>
              </w:rPr>
              <w:t>由表3-1可知，</w:t>
            </w:r>
            <w:r>
              <w:rPr>
                <w:color w:val="auto"/>
                <w:sz w:val="24"/>
                <w:highlight w:val="none"/>
              </w:rPr>
              <w:t>20</w:t>
            </w:r>
            <w:r>
              <w:rPr>
                <w:rFonts w:hint="eastAsia"/>
                <w:color w:val="auto"/>
                <w:sz w:val="24"/>
                <w:highlight w:val="none"/>
              </w:rPr>
              <w:t>23</w:t>
            </w:r>
            <w:r>
              <w:rPr>
                <w:color w:val="auto"/>
                <w:sz w:val="24"/>
                <w:highlight w:val="none"/>
              </w:rPr>
              <w:t>年长春市空气环境中PM</w:t>
            </w:r>
            <w:r>
              <w:rPr>
                <w:color w:val="auto"/>
                <w:sz w:val="24"/>
                <w:highlight w:val="none"/>
                <w:vertAlign w:val="subscript"/>
              </w:rPr>
              <w:t>2.5</w:t>
            </w:r>
            <w:r>
              <w:rPr>
                <w:color w:val="auto"/>
                <w:sz w:val="24"/>
                <w:highlight w:val="none"/>
              </w:rPr>
              <w:t>、PM</w:t>
            </w:r>
            <w:r>
              <w:rPr>
                <w:color w:val="auto"/>
                <w:sz w:val="24"/>
                <w:highlight w:val="none"/>
                <w:vertAlign w:val="subscript"/>
              </w:rPr>
              <w:t>10</w:t>
            </w:r>
            <w:r>
              <w:rPr>
                <w:color w:val="auto"/>
                <w:sz w:val="24"/>
                <w:highlight w:val="none"/>
              </w:rPr>
              <w:t>、SO</w:t>
            </w:r>
            <w:r>
              <w:rPr>
                <w:color w:val="auto"/>
                <w:sz w:val="24"/>
                <w:highlight w:val="none"/>
                <w:vertAlign w:val="subscript"/>
              </w:rPr>
              <w:t>2</w:t>
            </w:r>
            <w:r>
              <w:rPr>
                <w:color w:val="auto"/>
                <w:sz w:val="24"/>
                <w:highlight w:val="none"/>
              </w:rPr>
              <w:t>和NO</w:t>
            </w:r>
            <w:r>
              <w:rPr>
                <w:color w:val="auto"/>
                <w:sz w:val="24"/>
                <w:highlight w:val="none"/>
                <w:vertAlign w:val="subscript"/>
              </w:rPr>
              <w:t>2</w:t>
            </w:r>
            <w:r>
              <w:rPr>
                <w:color w:val="auto"/>
                <w:sz w:val="24"/>
                <w:highlight w:val="none"/>
              </w:rPr>
              <w:t>四项主要污染物年均值分别为</w:t>
            </w:r>
            <w:r>
              <w:rPr>
                <w:rFonts w:hint="eastAsia"/>
                <w:color w:val="auto"/>
                <w:sz w:val="24"/>
                <w:highlight w:val="none"/>
              </w:rPr>
              <w:t>26.5</w:t>
            </w:r>
            <w:r>
              <w:rPr>
                <w:color w:val="auto"/>
                <w:sz w:val="24"/>
                <w:highlight w:val="none"/>
              </w:rPr>
              <w:t>μg/m</w:t>
            </w:r>
            <w:r>
              <w:rPr>
                <w:color w:val="auto"/>
                <w:sz w:val="24"/>
                <w:highlight w:val="none"/>
                <w:vertAlign w:val="superscript"/>
              </w:rPr>
              <w:t>3</w:t>
            </w:r>
            <w:r>
              <w:rPr>
                <w:color w:val="auto"/>
                <w:sz w:val="24"/>
                <w:highlight w:val="none"/>
              </w:rPr>
              <w:t>、</w:t>
            </w:r>
            <w:r>
              <w:rPr>
                <w:rFonts w:hint="eastAsia"/>
                <w:color w:val="auto"/>
                <w:sz w:val="24"/>
                <w:highlight w:val="none"/>
              </w:rPr>
              <w:t>47</w:t>
            </w:r>
            <w:r>
              <w:rPr>
                <w:color w:val="auto"/>
                <w:sz w:val="24"/>
                <w:highlight w:val="none"/>
              </w:rPr>
              <w:t>μg/m</w:t>
            </w:r>
            <w:r>
              <w:rPr>
                <w:color w:val="auto"/>
                <w:sz w:val="24"/>
                <w:highlight w:val="none"/>
                <w:vertAlign w:val="superscript"/>
              </w:rPr>
              <w:t>3</w:t>
            </w:r>
            <w:r>
              <w:rPr>
                <w:color w:val="auto"/>
                <w:sz w:val="24"/>
                <w:highlight w:val="none"/>
              </w:rPr>
              <w:t>、</w:t>
            </w:r>
            <w:r>
              <w:rPr>
                <w:rFonts w:hint="eastAsia"/>
                <w:color w:val="auto"/>
                <w:sz w:val="24"/>
                <w:highlight w:val="none"/>
              </w:rPr>
              <w:t>9</w:t>
            </w:r>
            <w:r>
              <w:rPr>
                <w:color w:val="auto"/>
                <w:sz w:val="24"/>
                <w:highlight w:val="none"/>
              </w:rPr>
              <w:t>μg/m</w:t>
            </w:r>
            <w:r>
              <w:rPr>
                <w:color w:val="auto"/>
                <w:sz w:val="24"/>
                <w:highlight w:val="none"/>
                <w:vertAlign w:val="superscript"/>
              </w:rPr>
              <w:t>3</w:t>
            </w:r>
            <w:r>
              <w:rPr>
                <w:color w:val="auto"/>
                <w:sz w:val="24"/>
                <w:highlight w:val="none"/>
              </w:rPr>
              <w:t>和</w:t>
            </w:r>
            <w:r>
              <w:rPr>
                <w:rFonts w:hint="eastAsia"/>
                <w:color w:val="auto"/>
                <w:sz w:val="24"/>
                <w:highlight w:val="none"/>
              </w:rPr>
              <w:t>22</w:t>
            </w:r>
            <w:r>
              <w:rPr>
                <w:color w:val="auto"/>
                <w:sz w:val="24"/>
                <w:highlight w:val="none"/>
              </w:rPr>
              <w:t>μg/m</w:t>
            </w:r>
            <w:r>
              <w:rPr>
                <w:color w:val="auto"/>
                <w:sz w:val="24"/>
                <w:highlight w:val="none"/>
                <w:vertAlign w:val="superscript"/>
              </w:rPr>
              <w:t>3</w:t>
            </w:r>
            <w:r>
              <w:rPr>
                <w:color w:val="auto"/>
                <w:sz w:val="24"/>
                <w:highlight w:val="none"/>
              </w:rPr>
              <w:t>；CO年24h平均第95百分位数为1.</w:t>
            </w:r>
            <w:r>
              <w:rPr>
                <w:rFonts w:hint="eastAsia"/>
                <w:color w:val="auto"/>
                <w:sz w:val="24"/>
                <w:highlight w:val="none"/>
              </w:rPr>
              <w:t>0</w:t>
            </w:r>
            <w:r>
              <w:rPr>
                <w:color w:val="auto"/>
                <w:sz w:val="24"/>
                <w:highlight w:val="none"/>
              </w:rPr>
              <w:t>mg/m</w:t>
            </w:r>
            <w:r>
              <w:rPr>
                <w:color w:val="auto"/>
                <w:sz w:val="24"/>
                <w:highlight w:val="none"/>
                <w:vertAlign w:val="superscript"/>
              </w:rPr>
              <w:t>3</w:t>
            </w:r>
            <w:r>
              <w:rPr>
                <w:color w:val="auto"/>
                <w:sz w:val="24"/>
                <w:highlight w:val="none"/>
              </w:rPr>
              <w:t>；O</w:t>
            </w:r>
            <w:r>
              <w:rPr>
                <w:color w:val="auto"/>
                <w:sz w:val="24"/>
                <w:highlight w:val="none"/>
                <w:vertAlign w:val="subscript"/>
              </w:rPr>
              <w:t>3</w:t>
            </w:r>
            <w:r>
              <w:rPr>
                <w:color w:val="auto"/>
                <w:sz w:val="24"/>
                <w:highlight w:val="none"/>
              </w:rPr>
              <w:t>年日最大8h平均第90百分位数为1</w:t>
            </w:r>
            <w:r>
              <w:rPr>
                <w:rFonts w:hint="eastAsia"/>
                <w:color w:val="auto"/>
                <w:sz w:val="24"/>
                <w:highlight w:val="none"/>
              </w:rPr>
              <w:t>33</w:t>
            </w:r>
            <w:r>
              <w:rPr>
                <w:color w:val="auto"/>
                <w:sz w:val="24"/>
                <w:highlight w:val="none"/>
              </w:rPr>
              <w:t>μg/m</w:t>
            </w:r>
            <w:r>
              <w:rPr>
                <w:color w:val="auto"/>
                <w:sz w:val="24"/>
                <w:highlight w:val="none"/>
                <w:vertAlign w:val="superscript"/>
              </w:rPr>
              <w:t>3</w:t>
            </w:r>
            <w:r>
              <w:rPr>
                <w:color w:val="auto"/>
                <w:sz w:val="24"/>
                <w:highlight w:val="none"/>
              </w:rPr>
              <w:t>。六项指标中PM</w:t>
            </w:r>
            <w:r>
              <w:rPr>
                <w:color w:val="auto"/>
                <w:sz w:val="24"/>
                <w:highlight w:val="none"/>
                <w:vertAlign w:val="subscript"/>
              </w:rPr>
              <w:t>2.5</w:t>
            </w:r>
            <w:r>
              <w:rPr>
                <w:rFonts w:hint="eastAsia"/>
                <w:color w:val="auto"/>
                <w:sz w:val="24"/>
                <w:highlight w:val="none"/>
              </w:rPr>
              <w:t>、</w:t>
            </w:r>
            <w:r>
              <w:rPr>
                <w:color w:val="auto"/>
                <w:sz w:val="24"/>
                <w:highlight w:val="none"/>
              </w:rPr>
              <w:t>PM</w:t>
            </w:r>
            <w:r>
              <w:rPr>
                <w:color w:val="auto"/>
                <w:sz w:val="24"/>
                <w:highlight w:val="none"/>
                <w:vertAlign w:val="subscript"/>
              </w:rPr>
              <w:t>10</w:t>
            </w:r>
            <w:r>
              <w:rPr>
                <w:color w:val="auto"/>
                <w:sz w:val="24"/>
                <w:highlight w:val="none"/>
              </w:rPr>
              <w:t>、NO</w:t>
            </w:r>
            <w:r>
              <w:rPr>
                <w:color w:val="auto"/>
                <w:sz w:val="24"/>
                <w:highlight w:val="none"/>
                <w:vertAlign w:val="subscript"/>
              </w:rPr>
              <w:t>2</w:t>
            </w:r>
            <w:r>
              <w:rPr>
                <w:color w:val="auto"/>
                <w:sz w:val="24"/>
                <w:highlight w:val="none"/>
              </w:rPr>
              <w:t>和SO</w:t>
            </w:r>
            <w:r>
              <w:rPr>
                <w:color w:val="auto"/>
                <w:sz w:val="24"/>
                <w:highlight w:val="none"/>
                <w:vertAlign w:val="subscript"/>
              </w:rPr>
              <w:t>2</w:t>
            </w:r>
            <w:r>
              <w:rPr>
                <w:color w:val="auto"/>
                <w:sz w:val="24"/>
                <w:highlight w:val="none"/>
              </w:rPr>
              <w:t>年均值符合《环境空气质量标准》（GB3095-2012）中年均二级标准的要求；CO年24h平均第95百分位数符合24h平均的二级标准要求；O</w:t>
            </w:r>
            <w:r>
              <w:rPr>
                <w:color w:val="auto"/>
                <w:sz w:val="24"/>
                <w:highlight w:val="none"/>
                <w:vertAlign w:val="subscript"/>
              </w:rPr>
              <w:t>3</w:t>
            </w:r>
            <w:r>
              <w:rPr>
                <w:color w:val="auto"/>
                <w:sz w:val="24"/>
                <w:highlight w:val="none"/>
              </w:rPr>
              <w:t>年日最大8h平均第90百分位数符合日最大8h平均的二级标准要求，综上长春市环境空气质量属于达标区</w:t>
            </w:r>
            <w:r>
              <w:rPr>
                <w:rFonts w:hint="eastAsia"/>
                <w:color w:val="auto"/>
                <w:sz w:val="24"/>
                <w:highlight w:val="none"/>
              </w:rPr>
              <w:t>。</w:t>
            </w:r>
          </w:p>
          <w:p w14:paraId="3EC939B1">
            <w:pPr>
              <w:spacing w:line="360" w:lineRule="auto"/>
              <w:ind w:firstLine="482" w:firstLineChars="200"/>
              <w:rPr>
                <w:b/>
                <w:bCs/>
                <w:color w:val="auto"/>
                <w:sz w:val="24"/>
                <w:highlight w:val="none"/>
              </w:rPr>
            </w:pPr>
            <w:r>
              <w:rPr>
                <w:b/>
                <w:bCs/>
                <w:color w:val="auto"/>
                <w:sz w:val="24"/>
                <w:highlight w:val="none"/>
              </w:rPr>
              <w:t>2、</w:t>
            </w:r>
            <w:r>
              <w:rPr>
                <w:b/>
                <w:bCs/>
                <w:color w:val="auto"/>
                <w:sz w:val="24"/>
                <w:highlight w:val="none"/>
                <w:lang w:val="zh-CN"/>
              </w:rPr>
              <w:t>地表水环境质量</w:t>
            </w:r>
            <w:r>
              <w:rPr>
                <w:b/>
                <w:bCs/>
                <w:color w:val="auto"/>
                <w:sz w:val="24"/>
                <w:highlight w:val="none"/>
              </w:rPr>
              <w:t>现状与评价</w:t>
            </w:r>
          </w:p>
          <w:p w14:paraId="48B7240D">
            <w:pPr>
              <w:adjustRightInd w:val="0"/>
              <w:snapToGrid w:val="0"/>
              <w:spacing w:line="360" w:lineRule="auto"/>
              <w:ind w:firstLine="480" w:firstLineChars="200"/>
              <w:jc w:val="left"/>
              <w:rPr>
                <w:color w:val="auto"/>
                <w:sz w:val="24"/>
                <w:highlight w:val="none"/>
              </w:rPr>
            </w:pPr>
            <w:r>
              <w:rPr>
                <w:color w:val="auto"/>
                <w:sz w:val="24"/>
                <w:highlight w:val="none"/>
              </w:rPr>
              <w:t>根据建设项目环境影响报告表编制技术指南（污染影响类）（试行）：地表水环境引用与建设项目距离近的有效数据，包括近3年的规划环境影响评价的监测数据，所在流域控制单元内国家、地方控制断面监测数据，生态环境主管部门发布的水环境质量数据或地表水达标情况的结论。</w:t>
            </w:r>
          </w:p>
          <w:p w14:paraId="34EEDE04">
            <w:pPr>
              <w:autoSpaceDE w:val="0"/>
              <w:spacing w:line="360" w:lineRule="auto"/>
              <w:ind w:firstLine="480" w:firstLineChars="200"/>
              <w:rPr>
                <w:color w:val="auto"/>
                <w:kern w:val="0"/>
                <w:sz w:val="24"/>
                <w:szCs w:val="20"/>
                <w:highlight w:val="none"/>
              </w:rPr>
            </w:pPr>
            <w:bookmarkStart w:id="7" w:name="_Toc51772336"/>
            <w:bookmarkStart w:id="8" w:name="_Toc34116837"/>
            <w:bookmarkStart w:id="9" w:name="_Toc33794245"/>
            <w:bookmarkStart w:id="10" w:name="_Toc34552097"/>
            <w:bookmarkStart w:id="11" w:name="_Toc51728877"/>
            <w:r>
              <w:rPr>
                <w:color w:val="auto"/>
                <w:kern w:val="0"/>
                <w:sz w:val="24"/>
                <w:szCs w:val="20"/>
                <w:highlight w:val="none"/>
              </w:rPr>
              <w:t>距本项目</w:t>
            </w:r>
            <w:r>
              <w:rPr>
                <w:rFonts w:hint="eastAsia"/>
                <w:color w:val="auto"/>
                <w:kern w:val="0"/>
                <w:sz w:val="24"/>
                <w:szCs w:val="20"/>
                <w:highlight w:val="none"/>
              </w:rPr>
              <w:t>受纳水体为永春河</w:t>
            </w:r>
            <w:r>
              <w:rPr>
                <w:color w:val="auto"/>
                <w:kern w:val="0"/>
                <w:sz w:val="24"/>
                <w:szCs w:val="20"/>
                <w:highlight w:val="none"/>
              </w:rPr>
              <w:t>，属于</w:t>
            </w:r>
            <w:r>
              <w:rPr>
                <w:rFonts w:hint="eastAsia"/>
                <w:color w:val="auto"/>
                <w:kern w:val="0"/>
                <w:sz w:val="24"/>
                <w:szCs w:val="20"/>
                <w:highlight w:val="none"/>
              </w:rPr>
              <w:t>新凯河</w:t>
            </w:r>
            <w:r>
              <w:rPr>
                <w:color w:val="auto"/>
                <w:kern w:val="0"/>
                <w:sz w:val="24"/>
                <w:szCs w:val="20"/>
                <w:highlight w:val="none"/>
              </w:rPr>
              <w:t>一级支流，根据《吉林省地表水功能区划》（DB22/388-2004），</w:t>
            </w:r>
            <w:r>
              <w:rPr>
                <w:rFonts w:hint="eastAsia"/>
                <w:color w:val="auto"/>
                <w:kern w:val="0"/>
                <w:sz w:val="24"/>
                <w:szCs w:val="20"/>
                <w:highlight w:val="none"/>
              </w:rPr>
              <w:t>新凯河</w:t>
            </w:r>
            <w:r>
              <w:rPr>
                <w:color w:val="auto"/>
                <w:kern w:val="0"/>
                <w:sz w:val="24"/>
                <w:szCs w:val="20"/>
                <w:highlight w:val="none"/>
              </w:rPr>
              <w:t>的</w:t>
            </w:r>
            <w:r>
              <w:rPr>
                <w:rFonts w:hint="eastAsia"/>
                <w:color w:val="auto"/>
                <w:kern w:val="0"/>
                <w:sz w:val="24"/>
                <w:szCs w:val="20"/>
                <w:highlight w:val="none"/>
              </w:rPr>
              <w:t>永春河口</w:t>
            </w:r>
            <w:r>
              <w:rPr>
                <w:color w:val="auto"/>
                <w:kern w:val="0"/>
                <w:sz w:val="24"/>
                <w:szCs w:val="20"/>
                <w:highlight w:val="none"/>
              </w:rPr>
              <w:t>断面</w:t>
            </w:r>
            <w:r>
              <w:rPr>
                <w:rFonts w:hint="eastAsia"/>
                <w:color w:val="auto"/>
                <w:kern w:val="0"/>
                <w:sz w:val="24"/>
                <w:szCs w:val="20"/>
                <w:highlight w:val="none"/>
                <w:lang w:eastAsia="zh-CN"/>
              </w:rPr>
              <w:t>－</w:t>
            </w:r>
            <w:r>
              <w:rPr>
                <w:color w:val="auto"/>
                <w:kern w:val="0"/>
                <w:sz w:val="24"/>
                <w:szCs w:val="20"/>
                <w:highlight w:val="none"/>
              </w:rPr>
              <w:t>河口断面为V类水质功能区，执行《地表水环境质量标准》（GB3838-2002）中V类标准。</w:t>
            </w:r>
            <w:r>
              <w:rPr>
                <w:color w:val="auto"/>
                <w:sz w:val="24"/>
                <w:szCs w:val="28"/>
                <w:highlight w:val="none"/>
              </w:rPr>
              <w:t>本次采用吉林省生态环境厅发布的2023年1月</w:t>
            </w:r>
            <w:r>
              <w:rPr>
                <w:rFonts w:hint="eastAsia"/>
                <w:color w:val="auto"/>
                <w:sz w:val="24"/>
                <w:szCs w:val="28"/>
                <w:highlight w:val="none"/>
                <w:lang w:eastAsia="zh-CN"/>
              </w:rPr>
              <w:t>—</w:t>
            </w:r>
            <w:r>
              <w:rPr>
                <w:color w:val="auto"/>
                <w:sz w:val="24"/>
                <w:szCs w:val="28"/>
                <w:highlight w:val="none"/>
              </w:rPr>
              <w:t>12月吉林省江河国控断面水质月报，</w:t>
            </w:r>
            <w:r>
              <w:rPr>
                <w:color w:val="auto"/>
                <w:kern w:val="0"/>
                <w:sz w:val="24"/>
                <w:szCs w:val="20"/>
                <w:highlight w:val="none"/>
              </w:rPr>
              <w:t>具体水质</w:t>
            </w:r>
            <w:r>
              <w:rPr>
                <w:rFonts w:hint="eastAsia"/>
                <w:color w:val="auto"/>
                <w:kern w:val="0"/>
                <w:sz w:val="24"/>
                <w:szCs w:val="20"/>
                <w:highlight w:val="none"/>
              </w:rPr>
              <w:t>监测结果</w:t>
            </w:r>
            <w:r>
              <w:rPr>
                <w:color w:val="auto"/>
                <w:kern w:val="0"/>
                <w:sz w:val="24"/>
                <w:szCs w:val="20"/>
                <w:highlight w:val="none"/>
              </w:rPr>
              <w:t>见下表。</w:t>
            </w:r>
          </w:p>
          <w:p w14:paraId="4AC80A62">
            <w:pPr>
              <w:jc w:val="center"/>
              <w:rPr>
                <w:b/>
                <w:bCs/>
                <w:color w:val="auto"/>
                <w:sz w:val="24"/>
                <w:highlight w:val="none"/>
              </w:rPr>
            </w:pPr>
            <w:r>
              <w:rPr>
                <w:rFonts w:hint="eastAsia"/>
                <w:b/>
                <w:bCs/>
                <w:color w:val="auto"/>
                <w:sz w:val="24"/>
                <w:highlight w:val="none"/>
              </w:rPr>
              <w:t xml:space="preserve">表3-2 </w:t>
            </w:r>
            <w:r>
              <w:rPr>
                <w:b/>
                <w:bCs/>
                <w:color w:val="auto"/>
                <w:sz w:val="24"/>
                <w:highlight w:val="none"/>
              </w:rPr>
              <w:t xml:space="preserve">  202</w:t>
            </w:r>
            <w:r>
              <w:rPr>
                <w:rFonts w:hint="eastAsia"/>
                <w:b/>
                <w:bCs/>
                <w:color w:val="auto"/>
                <w:sz w:val="24"/>
                <w:highlight w:val="none"/>
              </w:rPr>
              <w:t>3年新凯河水质现状状况评价结果</w:t>
            </w:r>
          </w:p>
          <w:tbl>
            <w:tblPr>
              <w:tblStyle w:val="28"/>
              <w:tblW w:w="8250" w:type="dxa"/>
              <w:jc w:val="center"/>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2058"/>
              <w:gridCol w:w="1287"/>
              <w:gridCol w:w="2124"/>
              <w:gridCol w:w="1495"/>
            </w:tblGrid>
            <w:tr w14:paraId="4F5E71FB">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tcBorders>
                    <w:top w:val="single" w:color="auto" w:sz="12" w:space="0"/>
                    <w:left w:val="nil"/>
                    <w:bottom w:val="single" w:color="auto" w:sz="4" w:space="0"/>
                    <w:right w:val="single" w:color="auto" w:sz="4" w:space="0"/>
                  </w:tcBorders>
                  <w:vAlign w:val="center"/>
                </w:tcPr>
                <w:p w14:paraId="77431DA7">
                  <w:pPr>
                    <w:widowControl/>
                    <w:autoSpaceDE w:val="0"/>
                    <w:snapToGrid w:val="0"/>
                    <w:jc w:val="center"/>
                    <w:rPr>
                      <w:color w:val="auto"/>
                      <w:highlight w:val="none"/>
                    </w:rPr>
                  </w:pPr>
                  <w:r>
                    <w:rPr>
                      <w:color w:val="auto"/>
                      <w:highlight w:val="none"/>
                    </w:rPr>
                    <w:t>河流名称</w:t>
                  </w:r>
                </w:p>
              </w:tc>
              <w:tc>
                <w:tcPr>
                  <w:tcW w:w="2058" w:type="dxa"/>
                  <w:tcBorders>
                    <w:top w:val="single" w:color="auto" w:sz="12" w:space="0"/>
                    <w:left w:val="single" w:color="auto" w:sz="4" w:space="0"/>
                    <w:bottom w:val="single" w:color="auto" w:sz="4" w:space="0"/>
                    <w:right w:val="single" w:color="auto" w:sz="4" w:space="0"/>
                  </w:tcBorders>
                  <w:vAlign w:val="center"/>
                </w:tcPr>
                <w:p w14:paraId="64D57784">
                  <w:pPr>
                    <w:widowControl/>
                    <w:autoSpaceDE w:val="0"/>
                    <w:snapToGrid w:val="0"/>
                    <w:jc w:val="center"/>
                    <w:rPr>
                      <w:color w:val="auto"/>
                      <w:highlight w:val="none"/>
                    </w:rPr>
                  </w:pPr>
                  <w:r>
                    <w:rPr>
                      <w:color w:val="auto"/>
                      <w:highlight w:val="none"/>
                    </w:rPr>
                    <w:t>断面名称</w:t>
                  </w:r>
                </w:p>
              </w:tc>
              <w:tc>
                <w:tcPr>
                  <w:tcW w:w="1287" w:type="dxa"/>
                  <w:tcBorders>
                    <w:top w:val="single" w:color="auto" w:sz="12" w:space="0"/>
                    <w:left w:val="single" w:color="auto" w:sz="4" w:space="0"/>
                    <w:bottom w:val="single" w:color="auto" w:sz="4" w:space="0"/>
                    <w:right w:val="single" w:color="auto" w:sz="4" w:space="0"/>
                  </w:tcBorders>
                  <w:vAlign w:val="center"/>
                </w:tcPr>
                <w:p w14:paraId="6C56F9DD">
                  <w:pPr>
                    <w:widowControl/>
                    <w:autoSpaceDE w:val="0"/>
                    <w:snapToGrid w:val="0"/>
                    <w:jc w:val="center"/>
                    <w:rPr>
                      <w:color w:val="auto"/>
                      <w:highlight w:val="none"/>
                    </w:rPr>
                  </w:pPr>
                  <w:r>
                    <w:rPr>
                      <w:color w:val="auto"/>
                      <w:highlight w:val="none"/>
                    </w:rPr>
                    <w:t>水体功能</w:t>
                  </w:r>
                </w:p>
              </w:tc>
              <w:tc>
                <w:tcPr>
                  <w:tcW w:w="2124" w:type="dxa"/>
                  <w:tcBorders>
                    <w:top w:val="single" w:color="auto" w:sz="12" w:space="0"/>
                    <w:left w:val="single" w:color="auto" w:sz="4" w:space="0"/>
                    <w:bottom w:val="single" w:color="auto" w:sz="4" w:space="0"/>
                    <w:right w:val="single" w:color="auto" w:sz="4" w:space="0"/>
                  </w:tcBorders>
                  <w:vAlign w:val="center"/>
                </w:tcPr>
                <w:p w14:paraId="5FBC773D">
                  <w:pPr>
                    <w:widowControl/>
                    <w:autoSpaceDE w:val="0"/>
                    <w:snapToGrid w:val="0"/>
                    <w:jc w:val="center"/>
                    <w:rPr>
                      <w:color w:val="auto"/>
                      <w:highlight w:val="none"/>
                    </w:rPr>
                  </w:pPr>
                  <w:r>
                    <w:rPr>
                      <w:color w:val="auto"/>
                      <w:highlight w:val="none"/>
                    </w:rPr>
                    <w:t>水质状况</w:t>
                  </w:r>
                </w:p>
              </w:tc>
              <w:tc>
                <w:tcPr>
                  <w:tcW w:w="1495" w:type="dxa"/>
                  <w:tcBorders>
                    <w:top w:val="single" w:color="auto" w:sz="12" w:space="0"/>
                    <w:left w:val="single" w:color="auto" w:sz="4" w:space="0"/>
                    <w:right w:val="nil"/>
                  </w:tcBorders>
                  <w:vAlign w:val="center"/>
                </w:tcPr>
                <w:p w14:paraId="5C3744FC">
                  <w:pPr>
                    <w:widowControl/>
                    <w:autoSpaceDE w:val="0"/>
                    <w:snapToGrid w:val="0"/>
                    <w:jc w:val="center"/>
                    <w:rPr>
                      <w:color w:val="auto"/>
                      <w:highlight w:val="none"/>
                    </w:rPr>
                  </w:pPr>
                  <w:r>
                    <w:rPr>
                      <w:color w:val="auto"/>
                      <w:highlight w:val="none"/>
                    </w:rPr>
                    <w:t>月份</w:t>
                  </w:r>
                </w:p>
              </w:tc>
            </w:tr>
            <w:tr w14:paraId="5EDAEE1A">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86" w:type="dxa"/>
                  <w:vMerge w:val="restart"/>
                  <w:tcBorders>
                    <w:top w:val="single" w:color="auto" w:sz="4" w:space="0"/>
                    <w:left w:val="nil"/>
                    <w:right w:val="single" w:color="auto" w:sz="4" w:space="0"/>
                  </w:tcBorders>
                  <w:vAlign w:val="center"/>
                </w:tcPr>
                <w:p w14:paraId="75477C61">
                  <w:pPr>
                    <w:widowControl/>
                    <w:autoSpaceDE w:val="0"/>
                    <w:snapToGrid w:val="0"/>
                    <w:jc w:val="center"/>
                    <w:rPr>
                      <w:color w:val="auto"/>
                      <w:highlight w:val="none"/>
                    </w:rPr>
                  </w:pPr>
                  <w:r>
                    <w:rPr>
                      <w:rFonts w:hint="eastAsia"/>
                      <w:color w:val="auto"/>
                      <w:highlight w:val="none"/>
                    </w:rPr>
                    <w:t>新凯河</w:t>
                  </w:r>
                </w:p>
              </w:tc>
              <w:tc>
                <w:tcPr>
                  <w:tcW w:w="2058" w:type="dxa"/>
                  <w:vMerge w:val="restart"/>
                  <w:tcBorders>
                    <w:top w:val="single" w:color="auto" w:sz="4" w:space="0"/>
                    <w:left w:val="single" w:color="auto" w:sz="4" w:space="0"/>
                    <w:right w:val="single" w:color="auto" w:sz="4" w:space="0"/>
                  </w:tcBorders>
                  <w:vAlign w:val="center"/>
                </w:tcPr>
                <w:p w14:paraId="527B790B">
                  <w:pPr>
                    <w:jc w:val="center"/>
                    <w:rPr>
                      <w:color w:val="auto"/>
                      <w:highlight w:val="none"/>
                    </w:rPr>
                  </w:pPr>
                  <w:r>
                    <w:rPr>
                      <w:rFonts w:hint="eastAsia"/>
                      <w:color w:val="auto"/>
                      <w:highlight w:val="none"/>
                    </w:rPr>
                    <w:t>新凯河公主岭市</w:t>
                  </w:r>
                </w:p>
              </w:tc>
              <w:tc>
                <w:tcPr>
                  <w:tcW w:w="1287" w:type="dxa"/>
                  <w:vMerge w:val="restart"/>
                  <w:tcBorders>
                    <w:top w:val="single" w:color="auto" w:sz="4" w:space="0"/>
                    <w:left w:val="single" w:color="auto" w:sz="4" w:space="0"/>
                    <w:right w:val="single" w:color="auto" w:sz="4" w:space="0"/>
                  </w:tcBorders>
                  <w:vAlign w:val="center"/>
                </w:tcPr>
                <w:p w14:paraId="65DF72BC">
                  <w:pPr>
                    <w:widowControl/>
                    <w:autoSpaceDE w:val="0"/>
                    <w:snapToGrid w:val="0"/>
                    <w:jc w:val="center"/>
                    <w:rPr>
                      <w:color w:val="auto"/>
                      <w:highlight w:val="none"/>
                    </w:rPr>
                  </w:pPr>
                  <w:r>
                    <w:rPr>
                      <w:color w:val="auto"/>
                      <w:highlight w:val="none"/>
                    </w:rPr>
                    <w:t>V类</w:t>
                  </w:r>
                </w:p>
              </w:tc>
              <w:tc>
                <w:tcPr>
                  <w:tcW w:w="2124" w:type="dxa"/>
                  <w:tcBorders>
                    <w:top w:val="single" w:color="auto" w:sz="4" w:space="0"/>
                    <w:left w:val="single" w:color="auto" w:sz="4" w:space="0"/>
                    <w:bottom w:val="single" w:color="auto" w:sz="4" w:space="0"/>
                    <w:right w:val="single" w:color="auto" w:sz="4" w:space="0"/>
                  </w:tcBorders>
                  <w:vAlign w:val="center"/>
                </w:tcPr>
                <w:p w14:paraId="48418B09">
                  <w:pPr>
                    <w:widowControl/>
                    <w:autoSpaceDE w:val="0"/>
                    <w:snapToGrid w:val="0"/>
                    <w:jc w:val="center"/>
                    <w:rPr>
                      <w:color w:val="auto"/>
                      <w:highlight w:val="none"/>
                    </w:rPr>
                  </w:pPr>
                  <w:r>
                    <w:rPr>
                      <w:color w:val="auto"/>
                      <w:highlight w:val="none"/>
                    </w:rPr>
                    <w:t>Ⅳ类</w:t>
                  </w:r>
                </w:p>
              </w:tc>
              <w:tc>
                <w:tcPr>
                  <w:tcW w:w="1495" w:type="dxa"/>
                  <w:tcBorders>
                    <w:left w:val="single" w:color="auto" w:sz="4" w:space="0"/>
                    <w:bottom w:val="single" w:color="auto" w:sz="4" w:space="0"/>
                    <w:right w:val="nil"/>
                  </w:tcBorders>
                  <w:vAlign w:val="center"/>
                </w:tcPr>
                <w:p w14:paraId="157FB1F6">
                  <w:pPr>
                    <w:widowControl/>
                    <w:autoSpaceDE w:val="0"/>
                    <w:snapToGrid w:val="0"/>
                    <w:jc w:val="center"/>
                    <w:rPr>
                      <w:color w:val="auto"/>
                      <w:highlight w:val="none"/>
                    </w:rPr>
                  </w:pPr>
                  <w:r>
                    <w:rPr>
                      <w:color w:val="auto"/>
                      <w:highlight w:val="none"/>
                    </w:rPr>
                    <w:t>1</w:t>
                  </w:r>
                </w:p>
              </w:tc>
            </w:tr>
            <w:tr w14:paraId="794113DA">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86" w:type="dxa"/>
                  <w:vMerge w:val="continue"/>
                  <w:tcBorders>
                    <w:left w:val="nil"/>
                    <w:right w:val="single" w:color="auto" w:sz="4" w:space="0"/>
                  </w:tcBorders>
                  <w:vAlign w:val="center"/>
                </w:tcPr>
                <w:p w14:paraId="0FED3D15">
                  <w:pPr>
                    <w:widowControl/>
                    <w:autoSpaceDE w:val="0"/>
                    <w:snapToGrid w:val="0"/>
                    <w:jc w:val="center"/>
                    <w:rPr>
                      <w:color w:val="auto"/>
                      <w:highlight w:val="none"/>
                    </w:rPr>
                  </w:pPr>
                </w:p>
              </w:tc>
              <w:tc>
                <w:tcPr>
                  <w:tcW w:w="2058" w:type="dxa"/>
                  <w:vMerge w:val="continue"/>
                  <w:tcBorders>
                    <w:left w:val="single" w:color="auto" w:sz="4" w:space="0"/>
                    <w:right w:val="single" w:color="auto" w:sz="4" w:space="0"/>
                  </w:tcBorders>
                  <w:vAlign w:val="center"/>
                </w:tcPr>
                <w:p w14:paraId="1B4CF5BE">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727C4CD1">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59BE31E">
                  <w:pPr>
                    <w:widowControl/>
                    <w:autoSpaceDE w:val="0"/>
                    <w:snapToGrid w:val="0"/>
                    <w:jc w:val="center"/>
                    <w:rPr>
                      <w:color w:val="auto"/>
                      <w:highlight w:val="none"/>
                    </w:rPr>
                  </w:pPr>
                  <w:r>
                    <w:rPr>
                      <w:color w:val="auto"/>
                      <w:highlight w:val="none"/>
                    </w:rPr>
                    <w:t>Ⅳ类</w:t>
                  </w:r>
                </w:p>
              </w:tc>
              <w:tc>
                <w:tcPr>
                  <w:tcW w:w="1495" w:type="dxa"/>
                  <w:tcBorders>
                    <w:left w:val="single" w:color="auto" w:sz="4" w:space="0"/>
                    <w:bottom w:val="single" w:color="auto" w:sz="4" w:space="0"/>
                    <w:right w:val="nil"/>
                  </w:tcBorders>
                  <w:vAlign w:val="center"/>
                </w:tcPr>
                <w:p w14:paraId="6864ACAB">
                  <w:pPr>
                    <w:widowControl/>
                    <w:autoSpaceDE w:val="0"/>
                    <w:snapToGrid w:val="0"/>
                    <w:jc w:val="center"/>
                    <w:rPr>
                      <w:color w:val="auto"/>
                      <w:highlight w:val="none"/>
                    </w:rPr>
                  </w:pPr>
                  <w:r>
                    <w:rPr>
                      <w:color w:val="auto"/>
                      <w:highlight w:val="none"/>
                    </w:rPr>
                    <w:t>2</w:t>
                  </w:r>
                </w:p>
              </w:tc>
            </w:tr>
            <w:tr w14:paraId="77C94243">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50A39C70">
                  <w:pPr>
                    <w:jc w:val="center"/>
                    <w:rPr>
                      <w:color w:val="auto"/>
                      <w:highlight w:val="none"/>
                    </w:rPr>
                  </w:pPr>
                </w:p>
              </w:tc>
              <w:tc>
                <w:tcPr>
                  <w:tcW w:w="2058" w:type="dxa"/>
                  <w:vMerge w:val="continue"/>
                  <w:tcBorders>
                    <w:left w:val="single" w:color="auto" w:sz="4" w:space="0"/>
                    <w:right w:val="single" w:color="auto" w:sz="4" w:space="0"/>
                  </w:tcBorders>
                  <w:vAlign w:val="center"/>
                </w:tcPr>
                <w:p w14:paraId="2FB55379">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5A501A2E">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E092CA7">
                  <w:pPr>
                    <w:widowControl/>
                    <w:autoSpaceDE w:val="0"/>
                    <w:snapToGrid w:val="0"/>
                    <w:jc w:val="center"/>
                    <w:rPr>
                      <w:color w:val="auto"/>
                      <w:highlight w:val="none"/>
                    </w:rPr>
                  </w:pPr>
                  <w:r>
                    <w:rPr>
                      <w:color w:val="auto"/>
                      <w:highlight w:val="none"/>
                    </w:rPr>
                    <w:t>Ⅲ类</w:t>
                  </w:r>
                </w:p>
              </w:tc>
              <w:tc>
                <w:tcPr>
                  <w:tcW w:w="1495" w:type="dxa"/>
                  <w:tcBorders>
                    <w:top w:val="single" w:color="auto" w:sz="4" w:space="0"/>
                    <w:left w:val="single" w:color="auto" w:sz="4" w:space="0"/>
                    <w:bottom w:val="single" w:color="auto" w:sz="4" w:space="0"/>
                    <w:right w:val="nil"/>
                  </w:tcBorders>
                  <w:vAlign w:val="center"/>
                </w:tcPr>
                <w:p w14:paraId="5102E99E">
                  <w:pPr>
                    <w:widowControl/>
                    <w:autoSpaceDE w:val="0"/>
                    <w:snapToGrid w:val="0"/>
                    <w:jc w:val="center"/>
                    <w:rPr>
                      <w:color w:val="auto"/>
                      <w:highlight w:val="none"/>
                    </w:rPr>
                  </w:pPr>
                  <w:r>
                    <w:rPr>
                      <w:color w:val="auto"/>
                      <w:highlight w:val="none"/>
                    </w:rPr>
                    <w:t>3</w:t>
                  </w:r>
                </w:p>
              </w:tc>
            </w:tr>
            <w:tr w14:paraId="4741A78F">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7F000BCF">
                  <w:pPr>
                    <w:jc w:val="center"/>
                    <w:rPr>
                      <w:color w:val="auto"/>
                      <w:highlight w:val="none"/>
                    </w:rPr>
                  </w:pPr>
                </w:p>
              </w:tc>
              <w:tc>
                <w:tcPr>
                  <w:tcW w:w="2058" w:type="dxa"/>
                  <w:vMerge w:val="continue"/>
                  <w:tcBorders>
                    <w:left w:val="single" w:color="auto" w:sz="4" w:space="0"/>
                    <w:right w:val="single" w:color="auto" w:sz="4" w:space="0"/>
                  </w:tcBorders>
                  <w:vAlign w:val="center"/>
                </w:tcPr>
                <w:p w14:paraId="3FD1EDA0">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7395DC7A">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7382DDA">
                  <w:pPr>
                    <w:widowControl/>
                    <w:autoSpaceDE w:val="0"/>
                    <w:snapToGrid w:val="0"/>
                    <w:jc w:val="center"/>
                    <w:rPr>
                      <w:color w:val="auto"/>
                      <w:highlight w:val="none"/>
                    </w:rPr>
                  </w:pPr>
                  <w:r>
                    <w:rPr>
                      <w:color w:val="auto"/>
                      <w:highlight w:val="none"/>
                    </w:rPr>
                    <w:t>Ⅳ类</w:t>
                  </w:r>
                </w:p>
              </w:tc>
              <w:tc>
                <w:tcPr>
                  <w:tcW w:w="1495" w:type="dxa"/>
                  <w:tcBorders>
                    <w:top w:val="single" w:color="auto" w:sz="4" w:space="0"/>
                    <w:left w:val="single" w:color="auto" w:sz="4" w:space="0"/>
                    <w:bottom w:val="single" w:color="auto" w:sz="4" w:space="0"/>
                    <w:right w:val="nil"/>
                  </w:tcBorders>
                  <w:vAlign w:val="center"/>
                </w:tcPr>
                <w:p w14:paraId="2143F603">
                  <w:pPr>
                    <w:widowControl/>
                    <w:autoSpaceDE w:val="0"/>
                    <w:snapToGrid w:val="0"/>
                    <w:jc w:val="center"/>
                    <w:rPr>
                      <w:color w:val="auto"/>
                      <w:highlight w:val="none"/>
                    </w:rPr>
                  </w:pPr>
                  <w:r>
                    <w:rPr>
                      <w:color w:val="auto"/>
                      <w:highlight w:val="none"/>
                    </w:rPr>
                    <w:t>4</w:t>
                  </w:r>
                </w:p>
              </w:tc>
            </w:tr>
            <w:tr w14:paraId="4F241247">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3CC5E3F4">
                  <w:pPr>
                    <w:jc w:val="center"/>
                    <w:rPr>
                      <w:color w:val="auto"/>
                      <w:highlight w:val="none"/>
                    </w:rPr>
                  </w:pPr>
                </w:p>
              </w:tc>
              <w:tc>
                <w:tcPr>
                  <w:tcW w:w="2058" w:type="dxa"/>
                  <w:vMerge w:val="continue"/>
                  <w:tcBorders>
                    <w:left w:val="single" w:color="auto" w:sz="4" w:space="0"/>
                    <w:right w:val="single" w:color="auto" w:sz="4" w:space="0"/>
                  </w:tcBorders>
                  <w:vAlign w:val="center"/>
                </w:tcPr>
                <w:p w14:paraId="0EC6DAAA">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7DBF691F">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330C166">
                  <w:pPr>
                    <w:widowControl/>
                    <w:autoSpaceDE w:val="0"/>
                    <w:snapToGrid w:val="0"/>
                    <w:jc w:val="center"/>
                    <w:rPr>
                      <w:color w:val="auto"/>
                      <w:highlight w:val="none"/>
                    </w:rPr>
                  </w:pPr>
                  <w:r>
                    <w:rPr>
                      <w:color w:val="auto"/>
                      <w:highlight w:val="none"/>
                    </w:rPr>
                    <w:t>Ⅲ类</w:t>
                  </w:r>
                </w:p>
              </w:tc>
              <w:tc>
                <w:tcPr>
                  <w:tcW w:w="1495" w:type="dxa"/>
                  <w:tcBorders>
                    <w:top w:val="single" w:color="auto" w:sz="4" w:space="0"/>
                    <w:left w:val="single" w:color="auto" w:sz="4" w:space="0"/>
                    <w:bottom w:val="single" w:color="auto" w:sz="4" w:space="0"/>
                    <w:right w:val="nil"/>
                  </w:tcBorders>
                  <w:vAlign w:val="center"/>
                </w:tcPr>
                <w:p w14:paraId="707838B3">
                  <w:pPr>
                    <w:widowControl/>
                    <w:autoSpaceDE w:val="0"/>
                    <w:snapToGrid w:val="0"/>
                    <w:jc w:val="center"/>
                    <w:rPr>
                      <w:color w:val="auto"/>
                      <w:highlight w:val="none"/>
                    </w:rPr>
                  </w:pPr>
                  <w:r>
                    <w:rPr>
                      <w:color w:val="auto"/>
                      <w:highlight w:val="none"/>
                    </w:rPr>
                    <w:t>5</w:t>
                  </w:r>
                </w:p>
              </w:tc>
            </w:tr>
            <w:tr w14:paraId="39F0C363">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35DE1352">
                  <w:pPr>
                    <w:jc w:val="center"/>
                    <w:rPr>
                      <w:color w:val="auto"/>
                      <w:highlight w:val="none"/>
                    </w:rPr>
                  </w:pPr>
                </w:p>
              </w:tc>
              <w:tc>
                <w:tcPr>
                  <w:tcW w:w="2058" w:type="dxa"/>
                  <w:vMerge w:val="continue"/>
                  <w:tcBorders>
                    <w:left w:val="single" w:color="auto" w:sz="4" w:space="0"/>
                    <w:right w:val="single" w:color="auto" w:sz="4" w:space="0"/>
                  </w:tcBorders>
                  <w:vAlign w:val="center"/>
                </w:tcPr>
                <w:p w14:paraId="23980F5A">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1B91AC04">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E80D165">
                  <w:pPr>
                    <w:widowControl/>
                    <w:autoSpaceDE w:val="0"/>
                    <w:snapToGrid w:val="0"/>
                    <w:jc w:val="center"/>
                    <w:rPr>
                      <w:color w:val="auto"/>
                      <w:highlight w:val="none"/>
                    </w:rPr>
                  </w:pPr>
                  <w:r>
                    <w:rPr>
                      <w:color w:val="auto"/>
                      <w:highlight w:val="none"/>
                    </w:rPr>
                    <w:t>V类</w:t>
                  </w:r>
                </w:p>
              </w:tc>
              <w:tc>
                <w:tcPr>
                  <w:tcW w:w="1495" w:type="dxa"/>
                  <w:tcBorders>
                    <w:top w:val="single" w:color="auto" w:sz="4" w:space="0"/>
                    <w:left w:val="single" w:color="auto" w:sz="4" w:space="0"/>
                    <w:bottom w:val="single" w:color="auto" w:sz="4" w:space="0"/>
                    <w:right w:val="nil"/>
                  </w:tcBorders>
                  <w:vAlign w:val="center"/>
                </w:tcPr>
                <w:p w14:paraId="6EEDF584">
                  <w:pPr>
                    <w:widowControl/>
                    <w:autoSpaceDE w:val="0"/>
                    <w:snapToGrid w:val="0"/>
                    <w:jc w:val="center"/>
                    <w:rPr>
                      <w:color w:val="auto"/>
                      <w:highlight w:val="none"/>
                    </w:rPr>
                  </w:pPr>
                  <w:r>
                    <w:rPr>
                      <w:color w:val="auto"/>
                      <w:highlight w:val="none"/>
                    </w:rPr>
                    <w:t>6</w:t>
                  </w:r>
                </w:p>
              </w:tc>
            </w:tr>
            <w:tr w14:paraId="651DE712">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64847F4F">
                  <w:pPr>
                    <w:jc w:val="center"/>
                    <w:rPr>
                      <w:color w:val="auto"/>
                      <w:highlight w:val="none"/>
                    </w:rPr>
                  </w:pPr>
                </w:p>
              </w:tc>
              <w:tc>
                <w:tcPr>
                  <w:tcW w:w="2058" w:type="dxa"/>
                  <w:vMerge w:val="continue"/>
                  <w:tcBorders>
                    <w:left w:val="single" w:color="auto" w:sz="4" w:space="0"/>
                    <w:right w:val="single" w:color="auto" w:sz="4" w:space="0"/>
                  </w:tcBorders>
                  <w:vAlign w:val="center"/>
                </w:tcPr>
                <w:p w14:paraId="4A14EB71">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1F991D8D">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00F7959">
                  <w:pPr>
                    <w:widowControl/>
                    <w:autoSpaceDE w:val="0"/>
                    <w:snapToGrid w:val="0"/>
                    <w:jc w:val="center"/>
                    <w:rPr>
                      <w:color w:val="auto"/>
                      <w:highlight w:val="none"/>
                    </w:rPr>
                  </w:pPr>
                  <w:r>
                    <w:rPr>
                      <w:color w:val="auto"/>
                      <w:highlight w:val="none"/>
                    </w:rPr>
                    <w:t>V类</w:t>
                  </w:r>
                </w:p>
              </w:tc>
              <w:tc>
                <w:tcPr>
                  <w:tcW w:w="1495" w:type="dxa"/>
                  <w:tcBorders>
                    <w:top w:val="single" w:color="auto" w:sz="4" w:space="0"/>
                    <w:left w:val="single" w:color="auto" w:sz="4" w:space="0"/>
                    <w:bottom w:val="single" w:color="auto" w:sz="4" w:space="0"/>
                    <w:right w:val="nil"/>
                  </w:tcBorders>
                  <w:vAlign w:val="center"/>
                </w:tcPr>
                <w:p w14:paraId="7CAF1DF9">
                  <w:pPr>
                    <w:widowControl/>
                    <w:autoSpaceDE w:val="0"/>
                    <w:snapToGrid w:val="0"/>
                    <w:jc w:val="center"/>
                    <w:rPr>
                      <w:color w:val="auto"/>
                      <w:highlight w:val="none"/>
                    </w:rPr>
                  </w:pPr>
                  <w:r>
                    <w:rPr>
                      <w:color w:val="auto"/>
                      <w:highlight w:val="none"/>
                    </w:rPr>
                    <w:t>7</w:t>
                  </w:r>
                </w:p>
              </w:tc>
            </w:tr>
            <w:tr w14:paraId="2DB27B36">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47368311">
                  <w:pPr>
                    <w:jc w:val="center"/>
                    <w:rPr>
                      <w:color w:val="auto"/>
                      <w:highlight w:val="none"/>
                    </w:rPr>
                  </w:pPr>
                </w:p>
              </w:tc>
              <w:tc>
                <w:tcPr>
                  <w:tcW w:w="2058" w:type="dxa"/>
                  <w:vMerge w:val="continue"/>
                  <w:tcBorders>
                    <w:left w:val="single" w:color="auto" w:sz="4" w:space="0"/>
                    <w:right w:val="single" w:color="auto" w:sz="4" w:space="0"/>
                  </w:tcBorders>
                  <w:vAlign w:val="center"/>
                </w:tcPr>
                <w:p w14:paraId="114F01BD">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1F026BFB">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AF53820">
                  <w:pPr>
                    <w:widowControl/>
                    <w:autoSpaceDE w:val="0"/>
                    <w:snapToGrid w:val="0"/>
                    <w:jc w:val="center"/>
                    <w:rPr>
                      <w:color w:val="auto"/>
                      <w:highlight w:val="none"/>
                    </w:rPr>
                  </w:pPr>
                  <w:r>
                    <w:rPr>
                      <w:color w:val="auto"/>
                      <w:highlight w:val="none"/>
                    </w:rPr>
                    <w:t>Ⅳ类</w:t>
                  </w:r>
                </w:p>
              </w:tc>
              <w:tc>
                <w:tcPr>
                  <w:tcW w:w="1495" w:type="dxa"/>
                  <w:tcBorders>
                    <w:top w:val="single" w:color="auto" w:sz="4" w:space="0"/>
                    <w:left w:val="single" w:color="auto" w:sz="4" w:space="0"/>
                    <w:bottom w:val="single" w:color="auto" w:sz="4" w:space="0"/>
                    <w:right w:val="nil"/>
                  </w:tcBorders>
                  <w:vAlign w:val="center"/>
                </w:tcPr>
                <w:p w14:paraId="6C770973">
                  <w:pPr>
                    <w:widowControl/>
                    <w:autoSpaceDE w:val="0"/>
                    <w:snapToGrid w:val="0"/>
                    <w:jc w:val="center"/>
                    <w:rPr>
                      <w:color w:val="auto"/>
                      <w:highlight w:val="none"/>
                    </w:rPr>
                  </w:pPr>
                  <w:r>
                    <w:rPr>
                      <w:color w:val="auto"/>
                      <w:highlight w:val="none"/>
                    </w:rPr>
                    <w:t>8</w:t>
                  </w:r>
                </w:p>
              </w:tc>
            </w:tr>
            <w:tr w14:paraId="2B49B492">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332D98F7">
                  <w:pPr>
                    <w:jc w:val="center"/>
                    <w:rPr>
                      <w:color w:val="auto"/>
                      <w:highlight w:val="none"/>
                    </w:rPr>
                  </w:pPr>
                </w:p>
              </w:tc>
              <w:tc>
                <w:tcPr>
                  <w:tcW w:w="2058" w:type="dxa"/>
                  <w:vMerge w:val="continue"/>
                  <w:tcBorders>
                    <w:left w:val="single" w:color="auto" w:sz="4" w:space="0"/>
                    <w:right w:val="single" w:color="auto" w:sz="4" w:space="0"/>
                  </w:tcBorders>
                  <w:vAlign w:val="center"/>
                </w:tcPr>
                <w:p w14:paraId="7752071B">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20E78CAC">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E0C71AE">
                  <w:pPr>
                    <w:widowControl/>
                    <w:autoSpaceDE w:val="0"/>
                    <w:snapToGrid w:val="0"/>
                    <w:jc w:val="center"/>
                    <w:rPr>
                      <w:color w:val="auto"/>
                      <w:highlight w:val="none"/>
                    </w:rPr>
                  </w:pPr>
                  <w:r>
                    <w:rPr>
                      <w:color w:val="auto"/>
                      <w:highlight w:val="none"/>
                    </w:rPr>
                    <w:t>Ⅳ类</w:t>
                  </w:r>
                </w:p>
              </w:tc>
              <w:tc>
                <w:tcPr>
                  <w:tcW w:w="1495" w:type="dxa"/>
                  <w:tcBorders>
                    <w:top w:val="single" w:color="auto" w:sz="4" w:space="0"/>
                    <w:left w:val="single" w:color="auto" w:sz="4" w:space="0"/>
                    <w:bottom w:val="single" w:color="auto" w:sz="4" w:space="0"/>
                    <w:right w:val="nil"/>
                  </w:tcBorders>
                  <w:vAlign w:val="center"/>
                </w:tcPr>
                <w:p w14:paraId="6E722030">
                  <w:pPr>
                    <w:widowControl/>
                    <w:autoSpaceDE w:val="0"/>
                    <w:snapToGrid w:val="0"/>
                    <w:jc w:val="center"/>
                    <w:rPr>
                      <w:color w:val="auto"/>
                      <w:highlight w:val="none"/>
                    </w:rPr>
                  </w:pPr>
                  <w:r>
                    <w:rPr>
                      <w:color w:val="auto"/>
                      <w:highlight w:val="none"/>
                    </w:rPr>
                    <w:t>9</w:t>
                  </w:r>
                </w:p>
              </w:tc>
            </w:tr>
            <w:tr w14:paraId="3784C83D">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45A10481">
                  <w:pPr>
                    <w:jc w:val="center"/>
                    <w:rPr>
                      <w:color w:val="auto"/>
                      <w:highlight w:val="none"/>
                    </w:rPr>
                  </w:pPr>
                </w:p>
              </w:tc>
              <w:tc>
                <w:tcPr>
                  <w:tcW w:w="2058" w:type="dxa"/>
                  <w:vMerge w:val="continue"/>
                  <w:tcBorders>
                    <w:left w:val="single" w:color="auto" w:sz="4" w:space="0"/>
                    <w:right w:val="single" w:color="auto" w:sz="4" w:space="0"/>
                  </w:tcBorders>
                  <w:vAlign w:val="center"/>
                </w:tcPr>
                <w:p w14:paraId="4D369CEF">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432F4F05">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8F756A0">
                  <w:pPr>
                    <w:widowControl/>
                    <w:autoSpaceDE w:val="0"/>
                    <w:snapToGrid w:val="0"/>
                    <w:jc w:val="center"/>
                    <w:rPr>
                      <w:color w:val="auto"/>
                      <w:highlight w:val="none"/>
                    </w:rPr>
                  </w:pPr>
                  <w:r>
                    <w:rPr>
                      <w:color w:val="auto"/>
                      <w:highlight w:val="none"/>
                    </w:rPr>
                    <w:t>V类</w:t>
                  </w:r>
                </w:p>
              </w:tc>
              <w:tc>
                <w:tcPr>
                  <w:tcW w:w="1495" w:type="dxa"/>
                  <w:tcBorders>
                    <w:top w:val="single" w:color="auto" w:sz="4" w:space="0"/>
                    <w:left w:val="single" w:color="auto" w:sz="4" w:space="0"/>
                    <w:bottom w:val="single" w:color="auto" w:sz="4" w:space="0"/>
                    <w:right w:val="nil"/>
                  </w:tcBorders>
                  <w:vAlign w:val="center"/>
                </w:tcPr>
                <w:p w14:paraId="13C2E981">
                  <w:pPr>
                    <w:widowControl/>
                    <w:autoSpaceDE w:val="0"/>
                    <w:snapToGrid w:val="0"/>
                    <w:jc w:val="center"/>
                    <w:rPr>
                      <w:color w:val="auto"/>
                      <w:highlight w:val="none"/>
                    </w:rPr>
                  </w:pPr>
                  <w:r>
                    <w:rPr>
                      <w:color w:val="auto"/>
                      <w:highlight w:val="none"/>
                    </w:rPr>
                    <w:t>10</w:t>
                  </w:r>
                </w:p>
              </w:tc>
            </w:tr>
            <w:tr w14:paraId="60EB1D31">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7C02A5D9">
                  <w:pPr>
                    <w:jc w:val="center"/>
                    <w:rPr>
                      <w:color w:val="auto"/>
                      <w:highlight w:val="none"/>
                    </w:rPr>
                  </w:pPr>
                </w:p>
              </w:tc>
              <w:tc>
                <w:tcPr>
                  <w:tcW w:w="2058" w:type="dxa"/>
                  <w:vMerge w:val="continue"/>
                  <w:tcBorders>
                    <w:left w:val="single" w:color="auto" w:sz="4" w:space="0"/>
                    <w:right w:val="single" w:color="auto" w:sz="4" w:space="0"/>
                  </w:tcBorders>
                  <w:vAlign w:val="center"/>
                </w:tcPr>
                <w:p w14:paraId="0CA15FEF">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25EA0F18">
                  <w:pPr>
                    <w:widowControl/>
                    <w:autoSpaceDE w:val="0"/>
                    <w:snapToGrid w:val="0"/>
                    <w:jc w:val="center"/>
                    <w:rPr>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F51D932">
                  <w:pPr>
                    <w:widowControl/>
                    <w:autoSpaceDE w:val="0"/>
                    <w:snapToGrid w:val="0"/>
                    <w:jc w:val="center"/>
                    <w:rPr>
                      <w:color w:val="auto"/>
                      <w:highlight w:val="none"/>
                    </w:rPr>
                  </w:pPr>
                  <w:r>
                    <w:rPr>
                      <w:color w:val="auto"/>
                      <w:highlight w:val="none"/>
                    </w:rPr>
                    <w:t>Ⅳ类</w:t>
                  </w:r>
                </w:p>
              </w:tc>
              <w:tc>
                <w:tcPr>
                  <w:tcW w:w="1495" w:type="dxa"/>
                  <w:tcBorders>
                    <w:top w:val="single" w:color="auto" w:sz="4" w:space="0"/>
                    <w:left w:val="single" w:color="auto" w:sz="4" w:space="0"/>
                    <w:bottom w:val="single" w:color="auto" w:sz="4" w:space="0"/>
                    <w:right w:val="nil"/>
                  </w:tcBorders>
                  <w:vAlign w:val="center"/>
                </w:tcPr>
                <w:p w14:paraId="220625F6">
                  <w:pPr>
                    <w:widowControl/>
                    <w:autoSpaceDE w:val="0"/>
                    <w:snapToGrid w:val="0"/>
                    <w:jc w:val="center"/>
                    <w:rPr>
                      <w:color w:val="auto"/>
                      <w:highlight w:val="none"/>
                    </w:rPr>
                  </w:pPr>
                  <w:r>
                    <w:rPr>
                      <w:color w:val="auto"/>
                      <w:highlight w:val="none"/>
                    </w:rPr>
                    <w:t>11</w:t>
                  </w:r>
                </w:p>
              </w:tc>
            </w:tr>
            <w:tr w14:paraId="2613AEB8">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nil"/>
                    <w:right w:val="single" w:color="auto" w:sz="4" w:space="0"/>
                  </w:tcBorders>
                  <w:vAlign w:val="center"/>
                </w:tcPr>
                <w:p w14:paraId="36CBBDF0">
                  <w:pPr>
                    <w:jc w:val="center"/>
                    <w:rPr>
                      <w:color w:val="auto"/>
                      <w:highlight w:val="none"/>
                    </w:rPr>
                  </w:pPr>
                </w:p>
              </w:tc>
              <w:tc>
                <w:tcPr>
                  <w:tcW w:w="2058" w:type="dxa"/>
                  <w:vMerge w:val="continue"/>
                  <w:tcBorders>
                    <w:left w:val="single" w:color="auto" w:sz="4" w:space="0"/>
                    <w:right w:val="single" w:color="auto" w:sz="4" w:space="0"/>
                  </w:tcBorders>
                  <w:vAlign w:val="center"/>
                </w:tcPr>
                <w:p w14:paraId="4142718F">
                  <w:pPr>
                    <w:widowControl/>
                    <w:autoSpaceDE w:val="0"/>
                    <w:snapToGrid w:val="0"/>
                    <w:jc w:val="center"/>
                    <w:rPr>
                      <w:color w:val="auto"/>
                      <w:highlight w:val="none"/>
                    </w:rPr>
                  </w:pPr>
                </w:p>
              </w:tc>
              <w:tc>
                <w:tcPr>
                  <w:tcW w:w="1287" w:type="dxa"/>
                  <w:vMerge w:val="continue"/>
                  <w:tcBorders>
                    <w:left w:val="single" w:color="auto" w:sz="4" w:space="0"/>
                    <w:right w:val="single" w:color="auto" w:sz="4" w:space="0"/>
                  </w:tcBorders>
                  <w:vAlign w:val="center"/>
                </w:tcPr>
                <w:p w14:paraId="2D0B5ED5">
                  <w:pPr>
                    <w:widowControl/>
                    <w:autoSpaceDE w:val="0"/>
                    <w:snapToGrid w:val="0"/>
                    <w:jc w:val="center"/>
                    <w:rPr>
                      <w:color w:val="auto"/>
                      <w:highlight w:val="none"/>
                    </w:rPr>
                  </w:pPr>
                </w:p>
              </w:tc>
              <w:tc>
                <w:tcPr>
                  <w:tcW w:w="2124" w:type="dxa"/>
                  <w:tcBorders>
                    <w:top w:val="single" w:color="auto" w:sz="4" w:space="0"/>
                    <w:left w:val="single" w:color="auto" w:sz="4" w:space="0"/>
                    <w:right w:val="single" w:color="auto" w:sz="4" w:space="0"/>
                  </w:tcBorders>
                  <w:vAlign w:val="center"/>
                </w:tcPr>
                <w:p w14:paraId="2841C9BA">
                  <w:pPr>
                    <w:widowControl/>
                    <w:autoSpaceDE w:val="0"/>
                    <w:snapToGrid w:val="0"/>
                    <w:jc w:val="center"/>
                    <w:rPr>
                      <w:color w:val="auto"/>
                      <w:highlight w:val="none"/>
                    </w:rPr>
                  </w:pPr>
                  <w:r>
                    <w:rPr>
                      <w:color w:val="auto"/>
                      <w:highlight w:val="none"/>
                    </w:rPr>
                    <w:t>Ⅳ类</w:t>
                  </w:r>
                </w:p>
              </w:tc>
              <w:tc>
                <w:tcPr>
                  <w:tcW w:w="1495" w:type="dxa"/>
                  <w:tcBorders>
                    <w:top w:val="single" w:color="auto" w:sz="4" w:space="0"/>
                    <w:left w:val="single" w:color="auto" w:sz="4" w:space="0"/>
                    <w:right w:val="nil"/>
                  </w:tcBorders>
                  <w:vAlign w:val="center"/>
                </w:tcPr>
                <w:p w14:paraId="7EE4AED2">
                  <w:pPr>
                    <w:widowControl/>
                    <w:autoSpaceDE w:val="0"/>
                    <w:snapToGrid w:val="0"/>
                    <w:jc w:val="center"/>
                    <w:rPr>
                      <w:color w:val="auto"/>
                      <w:highlight w:val="none"/>
                    </w:rPr>
                  </w:pPr>
                  <w:r>
                    <w:rPr>
                      <w:color w:val="auto"/>
                      <w:highlight w:val="none"/>
                    </w:rPr>
                    <w:t>12</w:t>
                  </w:r>
                </w:p>
              </w:tc>
            </w:tr>
          </w:tbl>
          <w:p w14:paraId="5C228935">
            <w:pPr>
              <w:autoSpaceDE w:val="0"/>
              <w:spacing w:line="360" w:lineRule="auto"/>
              <w:ind w:firstLine="480" w:firstLineChars="200"/>
              <w:rPr>
                <w:color w:val="auto"/>
                <w:sz w:val="24"/>
                <w:highlight w:val="none"/>
              </w:rPr>
            </w:pPr>
          </w:p>
          <w:p w14:paraId="33F69138">
            <w:pPr>
              <w:adjustRightInd w:val="0"/>
              <w:snapToGrid w:val="0"/>
              <w:spacing w:line="360" w:lineRule="auto"/>
              <w:ind w:firstLine="480" w:firstLineChars="200"/>
              <w:jc w:val="left"/>
              <w:rPr>
                <w:color w:val="auto"/>
                <w:sz w:val="24"/>
                <w:szCs w:val="28"/>
                <w:highlight w:val="none"/>
              </w:rPr>
            </w:pPr>
            <w:r>
              <w:rPr>
                <w:color w:val="auto"/>
                <w:sz w:val="24"/>
                <w:highlight w:val="none"/>
              </w:rPr>
              <w:t>根据评价结果可知，202</w:t>
            </w:r>
            <w:r>
              <w:rPr>
                <w:rFonts w:hint="eastAsia"/>
                <w:color w:val="auto"/>
                <w:sz w:val="24"/>
                <w:highlight w:val="none"/>
              </w:rPr>
              <w:t>3</w:t>
            </w:r>
            <w:r>
              <w:rPr>
                <w:color w:val="auto"/>
                <w:sz w:val="24"/>
                <w:highlight w:val="none"/>
              </w:rPr>
              <w:t>年期间，</w:t>
            </w:r>
            <w:r>
              <w:rPr>
                <w:rFonts w:hint="eastAsia"/>
                <w:color w:val="auto"/>
                <w:sz w:val="24"/>
                <w:highlight w:val="none"/>
              </w:rPr>
              <w:t>新凯河公主岭市断面</w:t>
            </w:r>
            <w:r>
              <w:rPr>
                <w:color w:val="auto"/>
                <w:sz w:val="24"/>
                <w:highlight w:val="none"/>
              </w:rPr>
              <w:t>满足</w:t>
            </w:r>
            <w:r>
              <w:rPr>
                <w:color w:val="auto"/>
                <w:kern w:val="0"/>
                <w:sz w:val="24"/>
                <w:szCs w:val="20"/>
                <w:highlight w:val="none"/>
              </w:rPr>
              <w:t>《地表水环境质量标准》（GB3838-2002）中V类标准</w:t>
            </w:r>
            <w:r>
              <w:rPr>
                <w:rFonts w:hint="eastAsia"/>
                <w:color w:val="auto"/>
                <w:kern w:val="0"/>
                <w:sz w:val="24"/>
                <w:szCs w:val="20"/>
                <w:highlight w:val="none"/>
              </w:rPr>
              <w:t>，区域地表水环境质量较好</w:t>
            </w:r>
            <w:r>
              <w:rPr>
                <w:color w:val="auto"/>
                <w:sz w:val="24"/>
                <w:highlight w:val="none"/>
              </w:rPr>
              <w:t>。</w:t>
            </w:r>
          </w:p>
          <w:bookmarkEnd w:id="7"/>
          <w:bookmarkEnd w:id="8"/>
          <w:bookmarkEnd w:id="9"/>
          <w:bookmarkEnd w:id="10"/>
          <w:bookmarkEnd w:id="11"/>
          <w:p w14:paraId="152DD874">
            <w:pPr>
              <w:spacing w:line="360" w:lineRule="auto"/>
              <w:ind w:firstLine="482" w:firstLineChars="200"/>
              <w:rPr>
                <w:b/>
                <w:bCs/>
                <w:color w:val="auto"/>
                <w:sz w:val="24"/>
                <w:highlight w:val="none"/>
              </w:rPr>
            </w:pPr>
            <w:r>
              <w:rPr>
                <w:b/>
                <w:bCs/>
                <w:color w:val="auto"/>
                <w:sz w:val="24"/>
                <w:highlight w:val="none"/>
              </w:rPr>
              <w:t>3、声环境质量现状调查与评价</w:t>
            </w:r>
          </w:p>
          <w:p w14:paraId="1AD59C15">
            <w:pPr>
              <w:adjustRightInd w:val="0"/>
              <w:snapToGrid w:val="0"/>
              <w:spacing w:line="360" w:lineRule="auto"/>
              <w:ind w:firstLine="480" w:firstLineChars="200"/>
              <w:jc w:val="left"/>
              <w:rPr>
                <w:i/>
                <w:iCs/>
                <w:color w:val="auto"/>
                <w:sz w:val="24"/>
                <w:highlight w:val="none"/>
                <w:u w:val="single"/>
              </w:rPr>
            </w:pPr>
            <w:r>
              <w:rPr>
                <w:rFonts w:hint="eastAsia"/>
                <w:i/>
                <w:iCs/>
                <w:color w:val="auto"/>
                <w:sz w:val="24"/>
                <w:highlight w:val="none"/>
                <w:u w:val="single"/>
              </w:rPr>
              <w:t>根据《建设项目环境影响报告表编制技术指南（污染影响类）（试行）》中相关要求</w:t>
            </w:r>
            <w:r>
              <w:rPr>
                <w:rFonts w:hint="eastAsia"/>
                <w:i/>
                <w:iCs/>
                <w:color w:val="auto"/>
                <w:sz w:val="24"/>
                <w:highlight w:val="none"/>
                <w:u w:val="single"/>
              </w:rPr>
              <w:t>，本项目厂界外50m范围内无声环境保护目标，</w:t>
            </w:r>
            <w:r>
              <w:rPr>
                <w:rFonts w:hint="eastAsia"/>
                <w:i/>
                <w:iCs/>
                <w:color w:val="auto"/>
                <w:sz w:val="24"/>
                <w:highlight w:val="none"/>
                <w:u w:val="single"/>
              </w:rPr>
              <w:t>无需对声环境</w:t>
            </w:r>
            <w:r>
              <w:rPr>
                <w:rFonts w:hint="eastAsia"/>
                <w:i/>
                <w:iCs/>
                <w:color w:val="auto"/>
                <w:sz w:val="24"/>
                <w:highlight w:val="none"/>
                <w:u w:val="single"/>
                <w:lang w:eastAsia="zh-CN"/>
              </w:rPr>
              <w:t>质量</w:t>
            </w:r>
            <w:r>
              <w:rPr>
                <w:rFonts w:hint="eastAsia"/>
                <w:i/>
                <w:iCs/>
                <w:color w:val="auto"/>
                <w:sz w:val="24"/>
                <w:highlight w:val="none"/>
                <w:u w:val="single"/>
              </w:rPr>
              <w:t>进行监测。</w:t>
            </w:r>
          </w:p>
          <w:p w14:paraId="0FD17F1D">
            <w:pPr>
              <w:spacing w:line="360" w:lineRule="auto"/>
              <w:ind w:firstLine="482" w:firstLineChars="200"/>
              <w:rPr>
                <w:b/>
                <w:bCs/>
                <w:color w:val="auto"/>
                <w:sz w:val="24"/>
                <w:highlight w:val="none"/>
              </w:rPr>
            </w:pPr>
            <w:r>
              <w:rPr>
                <w:b/>
                <w:bCs/>
                <w:color w:val="auto"/>
                <w:sz w:val="24"/>
                <w:highlight w:val="none"/>
              </w:rPr>
              <w:t>4、地下水、土壤环境质量现状调查与评价</w:t>
            </w:r>
          </w:p>
          <w:p w14:paraId="730638D3">
            <w:pPr>
              <w:adjustRightInd w:val="0"/>
              <w:snapToGrid w:val="0"/>
              <w:spacing w:line="360" w:lineRule="auto"/>
              <w:ind w:firstLine="480" w:firstLineChars="200"/>
              <w:jc w:val="left"/>
              <w:rPr>
                <w:color w:val="auto"/>
                <w:sz w:val="24"/>
                <w:highlight w:val="none"/>
              </w:rPr>
            </w:pPr>
            <w:r>
              <w:rPr>
                <w:color w:val="auto"/>
                <w:sz w:val="24"/>
                <w:highlight w:val="none"/>
              </w:rPr>
              <w:t>根据《建设项目环境影响报告表编制技术指南（污染影响类）（试行）》，地下水、土壤环境原则上不开展环境质量现状评价。建设项目存在地下水、土壤环境污染途径的，应结合污染源、保护目标分布情况开展现状调查以留作背景值。本项目位于长春市高新开发区光谷大街866号1号办公楼，项目地理位置详见附图</w:t>
            </w:r>
            <w:r>
              <w:rPr>
                <w:rFonts w:hint="eastAsia"/>
                <w:color w:val="auto"/>
                <w:sz w:val="24"/>
                <w:highlight w:val="none"/>
                <w:lang w:val="en-US" w:eastAsia="zh-CN"/>
              </w:rPr>
              <w:t>1</w:t>
            </w:r>
            <w:r>
              <w:rPr>
                <w:color w:val="auto"/>
                <w:sz w:val="24"/>
                <w:highlight w:val="none"/>
              </w:rPr>
              <w:t>。项目采取分区防渗措施，</w:t>
            </w:r>
            <w:r>
              <w:rPr>
                <w:rFonts w:hint="eastAsia"/>
                <w:color w:val="auto"/>
                <w:sz w:val="24"/>
                <w:highlight w:val="none"/>
                <w:lang w:eastAsia="zh-CN"/>
              </w:rPr>
              <w:t>危废贮存点</w:t>
            </w:r>
            <w:r>
              <w:rPr>
                <w:rFonts w:hint="eastAsia"/>
                <w:color w:val="auto"/>
                <w:sz w:val="24"/>
                <w:highlight w:val="none"/>
              </w:rPr>
              <w:t>及医疗废物暂存间</w:t>
            </w:r>
            <w:r>
              <w:rPr>
                <w:color w:val="auto"/>
                <w:sz w:val="24"/>
                <w:highlight w:val="none"/>
              </w:rPr>
              <w:t>进行重点防渗，路面进行硬化处理。运营期废气采取措施有效可行，固体废物均得到妥善处置。无地下水、土壤环境污染途径，故本次不对地下水、土壤进行现状评价。</w:t>
            </w:r>
          </w:p>
          <w:p w14:paraId="50BEE6D2">
            <w:pPr>
              <w:spacing w:line="360" w:lineRule="auto"/>
              <w:ind w:firstLine="482" w:firstLineChars="200"/>
              <w:rPr>
                <w:b/>
                <w:bCs/>
                <w:color w:val="auto"/>
                <w:sz w:val="24"/>
                <w:highlight w:val="none"/>
              </w:rPr>
            </w:pPr>
            <w:r>
              <w:rPr>
                <w:b/>
                <w:bCs/>
                <w:color w:val="auto"/>
                <w:sz w:val="24"/>
                <w:highlight w:val="none"/>
              </w:rPr>
              <w:t>5、生态环境质量现状</w:t>
            </w:r>
          </w:p>
          <w:p w14:paraId="46A9DCFB">
            <w:pPr>
              <w:pStyle w:val="33"/>
              <w:adjustRightInd w:val="0"/>
              <w:snapToGrid w:val="0"/>
              <w:spacing w:before="0" w:after="0" w:line="360" w:lineRule="auto"/>
              <w:ind w:firstLine="480" w:firstLineChars="200"/>
              <w:rPr>
                <w:rFonts w:ascii="Times New Roman" w:hAnsi="Times New Roman" w:cs="Times New Roman"/>
                <w:b w:val="0"/>
                <w:color w:val="auto"/>
                <w:sz w:val="24"/>
                <w:szCs w:val="24"/>
                <w:highlight w:val="none"/>
              </w:rPr>
            </w:pPr>
            <w:r>
              <w:rPr>
                <w:rFonts w:ascii="Times New Roman" w:hAnsi="Times New Roman" w:cs="Times New Roman"/>
                <w:b w:val="0"/>
                <w:color w:val="auto"/>
                <w:sz w:val="24"/>
                <w:szCs w:val="24"/>
                <w:highlight w:val="none"/>
              </w:rPr>
              <w:t>根据《建设项目环境影响报告表编制技术指南（污染影响类）（试行）》，本项目位于长春市高新开发区光谷大街866号1号办公楼，</w:t>
            </w:r>
            <w:r>
              <w:rPr>
                <w:rFonts w:hint="eastAsia" w:ascii="Times New Roman" w:hAnsi="Times New Roman" w:cs="Times New Roman"/>
                <w:b w:val="0"/>
                <w:color w:val="auto"/>
                <w:sz w:val="24"/>
                <w:szCs w:val="24"/>
                <w:highlight w:val="none"/>
              </w:rPr>
              <w:t>无新增占地，且用地范围内无</w:t>
            </w:r>
            <w:r>
              <w:rPr>
                <w:rFonts w:ascii="Times New Roman" w:hAnsi="Times New Roman" w:cs="Times New Roman"/>
                <w:b w:val="0"/>
                <w:color w:val="auto"/>
                <w:sz w:val="24"/>
                <w:szCs w:val="24"/>
                <w:highlight w:val="none"/>
              </w:rPr>
              <w:t>生态环境保护目标，故无需进行生态环境现状调查。</w:t>
            </w:r>
          </w:p>
        </w:tc>
      </w:tr>
      <w:tr w14:paraId="15402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6" w:hRule="atLeast"/>
          <w:jc w:val="center"/>
        </w:trPr>
        <w:tc>
          <w:tcPr>
            <w:tcW w:w="800" w:type="dxa"/>
            <w:vAlign w:val="center"/>
          </w:tcPr>
          <w:p w14:paraId="01BF8461">
            <w:pPr>
              <w:adjustRightInd w:val="0"/>
              <w:snapToGrid w:val="0"/>
              <w:jc w:val="center"/>
              <w:rPr>
                <w:color w:val="auto"/>
                <w:kern w:val="0"/>
                <w:sz w:val="24"/>
                <w:highlight w:val="none"/>
              </w:rPr>
            </w:pPr>
            <w:r>
              <w:rPr>
                <w:color w:val="auto"/>
                <w:kern w:val="0"/>
                <w:sz w:val="24"/>
                <w:highlight w:val="none"/>
              </w:rPr>
              <w:t>环境</w:t>
            </w:r>
          </w:p>
          <w:p w14:paraId="2B463BCE">
            <w:pPr>
              <w:adjustRightInd w:val="0"/>
              <w:snapToGrid w:val="0"/>
              <w:jc w:val="center"/>
              <w:rPr>
                <w:color w:val="auto"/>
                <w:kern w:val="0"/>
                <w:sz w:val="24"/>
                <w:highlight w:val="none"/>
              </w:rPr>
            </w:pPr>
            <w:r>
              <w:rPr>
                <w:color w:val="auto"/>
                <w:kern w:val="0"/>
                <w:sz w:val="24"/>
                <w:highlight w:val="none"/>
              </w:rPr>
              <w:t>保护</w:t>
            </w:r>
          </w:p>
          <w:p w14:paraId="40711B04">
            <w:pPr>
              <w:adjustRightInd w:val="0"/>
              <w:snapToGrid w:val="0"/>
              <w:jc w:val="center"/>
              <w:rPr>
                <w:color w:val="auto"/>
                <w:kern w:val="0"/>
                <w:sz w:val="24"/>
                <w:highlight w:val="none"/>
              </w:rPr>
            </w:pPr>
            <w:r>
              <w:rPr>
                <w:color w:val="auto"/>
                <w:kern w:val="0"/>
                <w:sz w:val="24"/>
                <w:highlight w:val="none"/>
              </w:rPr>
              <w:t>目标</w:t>
            </w:r>
          </w:p>
        </w:tc>
        <w:tc>
          <w:tcPr>
            <w:tcW w:w="8190" w:type="dxa"/>
          </w:tcPr>
          <w:p w14:paraId="4E263661">
            <w:pPr>
              <w:spacing w:line="360" w:lineRule="auto"/>
              <w:ind w:firstLine="480"/>
              <w:jc w:val="left"/>
              <w:rPr>
                <w:color w:val="auto"/>
                <w:sz w:val="24"/>
                <w:highlight w:val="none"/>
              </w:rPr>
            </w:pPr>
            <w:r>
              <w:rPr>
                <w:color w:val="auto"/>
                <w:sz w:val="24"/>
                <w:highlight w:val="none"/>
              </w:rPr>
              <w:t>本项目位于长春市高新开发区光谷大街866号1号办公楼，东经：125度</w:t>
            </w:r>
            <w:r>
              <w:rPr>
                <w:rFonts w:hint="eastAsia"/>
                <w:color w:val="auto"/>
                <w:sz w:val="24"/>
                <w:highlight w:val="none"/>
              </w:rPr>
              <w:t>15</w:t>
            </w:r>
            <w:r>
              <w:rPr>
                <w:color w:val="auto"/>
                <w:sz w:val="24"/>
                <w:highlight w:val="none"/>
              </w:rPr>
              <w:t>分</w:t>
            </w:r>
            <w:r>
              <w:rPr>
                <w:rFonts w:hint="eastAsia"/>
                <w:color w:val="auto"/>
                <w:sz w:val="24"/>
                <w:highlight w:val="none"/>
              </w:rPr>
              <w:t>12.221</w:t>
            </w:r>
            <w:r>
              <w:rPr>
                <w:color w:val="auto"/>
                <w:sz w:val="24"/>
                <w:highlight w:val="none"/>
              </w:rPr>
              <w:t>秒，北纬：4</w:t>
            </w:r>
            <w:r>
              <w:rPr>
                <w:rFonts w:hint="eastAsia"/>
                <w:color w:val="auto"/>
                <w:sz w:val="24"/>
                <w:highlight w:val="none"/>
              </w:rPr>
              <w:t>4</w:t>
            </w:r>
            <w:r>
              <w:rPr>
                <w:color w:val="auto"/>
                <w:sz w:val="24"/>
                <w:highlight w:val="none"/>
              </w:rPr>
              <w:t>度</w:t>
            </w:r>
            <w:r>
              <w:rPr>
                <w:rFonts w:hint="eastAsia"/>
                <w:color w:val="auto"/>
                <w:sz w:val="24"/>
                <w:highlight w:val="none"/>
              </w:rPr>
              <w:t>50</w:t>
            </w:r>
            <w:r>
              <w:rPr>
                <w:color w:val="auto"/>
                <w:sz w:val="24"/>
                <w:highlight w:val="none"/>
              </w:rPr>
              <w:t>分</w:t>
            </w:r>
            <w:r>
              <w:rPr>
                <w:rFonts w:hint="eastAsia"/>
                <w:color w:val="auto"/>
                <w:sz w:val="24"/>
                <w:highlight w:val="none"/>
              </w:rPr>
              <w:t>12.753</w:t>
            </w:r>
            <w:r>
              <w:rPr>
                <w:color w:val="auto"/>
                <w:sz w:val="24"/>
                <w:highlight w:val="none"/>
              </w:rPr>
              <w:t>秒。</w:t>
            </w:r>
            <w:r>
              <w:rPr>
                <w:rFonts w:hint="eastAsia"/>
                <w:color w:val="auto"/>
                <w:sz w:val="24"/>
                <w:highlight w:val="none"/>
              </w:rPr>
              <w:t>距本项目最近的大气环境保护目标为东侧60m的富康花园小区</w:t>
            </w:r>
            <w:r>
              <w:rPr>
                <w:color w:val="auto"/>
                <w:sz w:val="24"/>
                <w:highlight w:val="none"/>
              </w:rPr>
              <w:t>，</w:t>
            </w:r>
            <w:r>
              <w:rPr>
                <w:color w:val="auto"/>
                <w:sz w:val="24"/>
                <w:highlight w:val="none"/>
                <w:lang w:val="zh-CN"/>
              </w:rPr>
              <w:t>无</w:t>
            </w:r>
            <w:r>
              <w:rPr>
                <w:rFonts w:hint="eastAsia"/>
                <w:color w:val="auto"/>
                <w:sz w:val="24"/>
                <w:highlight w:val="none"/>
                <w:lang w:val="zh-CN"/>
              </w:rPr>
              <w:t>噪声、</w:t>
            </w:r>
            <w:r>
              <w:rPr>
                <w:color w:val="auto"/>
                <w:sz w:val="24"/>
                <w:highlight w:val="none"/>
                <w:lang w:val="zh-CN"/>
              </w:rPr>
              <w:t>土壤及地下水</w:t>
            </w:r>
            <w:r>
              <w:rPr>
                <w:rFonts w:hint="eastAsia"/>
                <w:color w:val="auto"/>
                <w:sz w:val="24"/>
                <w:highlight w:val="none"/>
                <w:lang w:val="zh-CN"/>
              </w:rPr>
              <w:t>环境</w:t>
            </w:r>
            <w:r>
              <w:rPr>
                <w:color w:val="auto"/>
                <w:sz w:val="24"/>
                <w:highlight w:val="none"/>
                <w:lang w:val="zh-CN"/>
              </w:rPr>
              <w:t>保</w:t>
            </w:r>
            <w:r>
              <w:rPr>
                <w:color w:val="auto"/>
                <w:kern w:val="0"/>
                <w:sz w:val="24"/>
                <w:highlight w:val="none"/>
              </w:rPr>
              <w:t>护目标。</w:t>
            </w:r>
            <w:r>
              <w:rPr>
                <w:rStyle w:val="46"/>
                <w:rFonts w:eastAsia="宋体"/>
                <w:color w:val="auto"/>
                <w:szCs w:val="24"/>
                <w:highlight w:val="none"/>
                <w:lang w:val="zh-CN"/>
              </w:rPr>
              <w:t>环境保护目标详见</w:t>
            </w:r>
            <w:r>
              <w:rPr>
                <w:rStyle w:val="46"/>
                <w:rFonts w:eastAsia="宋体"/>
                <w:color w:val="auto"/>
                <w:szCs w:val="24"/>
                <w:highlight w:val="none"/>
              </w:rPr>
              <w:t>下表</w:t>
            </w:r>
            <w:r>
              <w:rPr>
                <w:rStyle w:val="46"/>
                <w:rFonts w:eastAsia="宋体"/>
                <w:color w:val="auto"/>
                <w:szCs w:val="24"/>
                <w:highlight w:val="none"/>
                <w:lang w:val="zh-CN"/>
              </w:rPr>
              <w:t>。</w:t>
            </w:r>
          </w:p>
          <w:p w14:paraId="2B00FD7B">
            <w:pPr>
              <w:pStyle w:val="14"/>
              <w:snapToGrid w:val="0"/>
              <w:jc w:val="center"/>
              <w:rPr>
                <w:rFonts w:ascii="Times New Roman" w:hAnsi="Times New Roman"/>
                <w:b/>
                <w:color w:val="auto"/>
                <w:sz w:val="24"/>
                <w:szCs w:val="24"/>
                <w:highlight w:val="none"/>
                <w:lang w:val="zh-CN"/>
              </w:rPr>
            </w:pPr>
            <w:r>
              <w:rPr>
                <w:rFonts w:ascii="Times New Roman" w:hAnsi="Times New Roman"/>
                <w:b/>
                <w:color w:val="auto"/>
                <w:sz w:val="24"/>
                <w:szCs w:val="24"/>
                <w:highlight w:val="none"/>
              </w:rPr>
              <w:t>表3-</w:t>
            </w:r>
            <w:r>
              <w:rPr>
                <w:rFonts w:hint="eastAsia" w:ascii="Times New Roman" w:hAnsi="Times New Roman"/>
                <w:b/>
                <w:color w:val="auto"/>
                <w:sz w:val="24"/>
                <w:szCs w:val="24"/>
                <w:highlight w:val="none"/>
              </w:rPr>
              <w:t>3</w:t>
            </w:r>
            <w:r>
              <w:rPr>
                <w:rFonts w:ascii="Times New Roman" w:hAnsi="Times New Roman"/>
                <w:b/>
                <w:color w:val="auto"/>
                <w:sz w:val="24"/>
                <w:szCs w:val="24"/>
                <w:highlight w:val="none"/>
              </w:rPr>
              <w:t xml:space="preserve"> 环境保护目标一览表</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6"/>
              <w:gridCol w:w="705"/>
              <w:gridCol w:w="623"/>
              <w:gridCol w:w="824"/>
              <w:gridCol w:w="1793"/>
              <w:gridCol w:w="837"/>
              <w:gridCol w:w="781"/>
              <w:gridCol w:w="1065"/>
            </w:tblGrid>
            <w:tr w14:paraId="49869E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5" w:type="pct"/>
                  <w:vMerge w:val="restart"/>
                  <w:tcBorders>
                    <w:top w:val="single" w:color="auto" w:sz="12" w:space="0"/>
                  </w:tcBorders>
                  <w:vAlign w:val="center"/>
                </w:tcPr>
                <w:p w14:paraId="60093425">
                  <w:pPr>
                    <w:adjustRightInd w:val="0"/>
                    <w:snapToGrid w:val="0"/>
                    <w:jc w:val="center"/>
                    <w:rPr>
                      <w:color w:val="auto"/>
                      <w:spacing w:val="-3"/>
                      <w:kern w:val="0"/>
                      <w:szCs w:val="21"/>
                      <w:highlight w:val="none"/>
                    </w:rPr>
                  </w:pPr>
                  <w:r>
                    <w:rPr>
                      <w:color w:val="auto"/>
                      <w:spacing w:val="-3"/>
                      <w:kern w:val="0"/>
                      <w:szCs w:val="21"/>
                      <w:highlight w:val="none"/>
                    </w:rPr>
                    <w:t>环境</w:t>
                  </w:r>
                </w:p>
                <w:p w14:paraId="5C224ED3">
                  <w:pPr>
                    <w:adjustRightInd w:val="0"/>
                    <w:snapToGrid w:val="0"/>
                    <w:jc w:val="center"/>
                    <w:rPr>
                      <w:color w:val="auto"/>
                      <w:spacing w:val="-3"/>
                      <w:kern w:val="0"/>
                      <w:szCs w:val="21"/>
                      <w:highlight w:val="none"/>
                    </w:rPr>
                  </w:pPr>
                  <w:r>
                    <w:rPr>
                      <w:color w:val="auto"/>
                      <w:spacing w:val="-3"/>
                      <w:kern w:val="0"/>
                      <w:szCs w:val="21"/>
                      <w:highlight w:val="none"/>
                    </w:rPr>
                    <w:t>要素</w:t>
                  </w:r>
                </w:p>
              </w:tc>
              <w:tc>
                <w:tcPr>
                  <w:tcW w:w="798" w:type="pct"/>
                  <w:vMerge w:val="restart"/>
                  <w:tcBorders>
                    <w:top w:val="single" w:color="auto" w:sz="12" w:space="0"/>
                  </w:tcBorders>
                  <w:vAlign w:val="center"/>
                </w:tcPr>
                <w:p w14:paraId="2B36D742">
                  <w:pPr>
                    <w:adjustRightInd w:val="0"/>
                    <w:snapToGrid w:val="0"/>
                    <w:jc w:val="center"/>
                    <w:rPr>
                      <w:color w:val="auto"/>
                      <w:spacing w:val="-3"/>
                      <w:kern w:val="0"/>
                      <w:szCs w:val="21"/>
                      <w:highlight w:val="none"/>
                    </w:rPr>
                  </w:pPr>
                  <w:r>
                    <w:rPr>
                      <w:color w:val="auto"/>
                      <w:spacing w:val="-3"/>
                      <w:kern w:val="0"/>
                      <w:szCs w:val="21"/>
                      <w:highlight w:val="none"/>
                    </w:rPr>
                    <w:t>保护目标名称</w:t>
                  </w:r>
                </w:p>
              </w:tc>
              <w:tc>
                <w:tcPr>
                  <w:tcW w:w="937" w:type="pct"/>
                  <w:gridSpan w:val="2"/>
                  <w:tcBorders>
                    <w:top w:val="single" w:color="auto" w:sz="12" w:space="0"/>
                    <w:bottom w:val="single" w:color="auto" w:sz="4" w:space="0"/>
                  </w:tcBorders>
                  <w:vAlign w:val="center"/>
                </w:tcPr>
                <w:p w14:paraId="71ECDA50">
                  <w:pPr>
                    <w:adjustRightInd w:val="0"/>
                    <w:snapToGrid w:val="0"/>
                    <w:jc w:val="center"/>
                    <w:rPr>
                      <w:color w:val="auto"/>
                      <w:spacing w:val="-3"/>
                      <w:kern w:val="0"/>
                      <w:szCs w:val="21"/>
                      <w:highlight w:val="none"/>
                    </w:rPr>
                  </w:pPr>
                  <w:r>
                    <w:rPr>
                      <w:color w:val="auto"/>
                      <w:spacing w:val="-3"/>
                      <w:kern w:val="0"/>
                      <w:szCs w:val="21"/>
                      <w:highlight w:val="none"/>
                    </w:rPr>
                    <w:t>坐标/m</w:t>
                  </w:r>
                </w:p>
              </w:tc>
              <w:tc>
                <w:tcPr>
                  <w:tcW w:w="564" w:type="pct"/>
                  <w:vMerge w:val="restart"/>
                  <w:tcBorders>
                    <w:top w:val="single" w:color="auto" w:sz="12" w:space="0"/>
                    <w:right w:val="single" w:color="000000" w:sz="4" w:space="0"/>
                  </w:tcBorders>
                  <w:vAlign w:val="center"/>
                </w:tcPr>
                <w:p w14:paraId="26801903">
                  <w:pPr>
                    <w:adjustRightInd w:val="0"/>
                    <w:snapToGrid w:val="0"/>
                    <w:jc w:val="center"/>
                    <w:rPr>
                      <w:color w:val="auto"/>
                      <w:spacing w:val="-3"/>
                      <w:kern w:val="0"/>
                      <w:szCs w:val="21"/>
                      <w:highlight w:val="none"/>
                    </w:rPr>
                  </w:pPr>
                  <w:r>
                    <w:rPr>
                      <w:color w:val="auto"/>
                      <w:spacing w:val="-3"/>
                      <w:kern w:val="0"/>
                      <w:szCs w:val="21"/>
                      <w:highlight w:val="none"/>
                    </w:rPr>
                    <w:t>保护</w:t>
                  </w:r>
                </w:p>
                <w:p w14:paraId="1B4C5BF0">
                  <w:pPr>
                    <w:adjustRightInd w:val="0"/>
                    <w:snapToGrid w:val="0"/>
                    <w:jc w:val="center"/>
                    <w:rPr>
                      <w:color w:val="auto"/>
                      <w:spacing w:val="-3"/>
                      <w:kern w:val="0"/>
                      <w:szCs w:val="21"/>
                      <w:highlight w:val="none"/>
                    </w:rPr>
                  </w:pPr>
                  <w:r>
                    <w:rPr>
                      <w:color w:val="auto"/>
                      <w:spacing w:val="-3"/>
                      <w:kern w:val="0"/>
                      <w:szCs w:val="21"/>
                      <w:highlight w:val="none"/>
                    </w:rPr>
                    <w:t>对象</w:t>
                  </w:r>
                </w:p>
              </w:tc>
              <w:tc>
                <w:tcPr>
                  <w:tcW w:w="488" w:type="pct"/>
                  <w:vMerge w:val="restart"/>
                  <w:tcBorders>
                    <w:top w:val="single" w:color="auto" w:sz="12" w:space="0"/>
                  </w:tcBorders>
                  <w:vAlign w:val="center"/>
                </w:tcPr>
                <w:p w14:paraId="5B6FC37A">
                  <w:pPr>
                    <w:adjustRightInd w:val="0"/>
                    <w:snapToGrid w:val="0"/>
                    <w:jc w:val="center"/>
                    <w:rPr>
                      <w:color w:val="auto"/>
                      <w:spacing w:val="-3"/>
                      <w:kern w:val="0"/>
                      <w:szCs w:val="21"/>
                      <w:highlight w:val="none"/>
                    </w:rPr>
                  </w:pPr>
                  <w:r>
                    <w:rPr>
                      <w:color w:val="auto"/>
                      <w:spacing w:val="-3"/>
                      <w:kern w:val="0"/>
                      <w:szCs w:val="21"/>
                      <w:highlight w:val="none"/>
                    </w:rPr>
                    <w:t>保护</w:t>
                  </w:r>
                </w:p>
                <w:p w14:paraId="69AB0F7C">
                  <w:pPr>
                    <w:adjustRightInd w:val="0"/>
                    <w:snapToGrid w:val="0"/>
                    <w:jc w:val="center"/>
                    <w:rPr>
                      <w:color w:val="auto"/>
                      <w:spacing w:val="-3"/>
                      <w:kern w:val="0"/>
                      <w:szCs w:val="21"/>
                      <w:highlight w:val="none"/>
                    </w:rPr>
                  </w:pPr>
                  <w:r>
                    <w:rPr>
                      <w:color w:val="auto"/>
                      <w:spacing w:val="-3"/>
                      <w:kern w:val="0"/>
                      <w:szCs w:val="21"/>
                      <w:highlight w:val="none"/>
                    </w:rPr>
                    <w:t>内容</w:t>
                  </w:r>
                </w:p>
              </w:tc>
              <w:tc>
                <w:tcPr>
                  <w:tcW w:w="572" w:type="pct"/>
                  <w:vMerge w:val="restart"/>
                  <w:tcBorders>
                    <w:top w:val="single" w:color="auto" w:sz="12" w:space="0"/>
                  </w:tcBorders>
                  <w:vAlign w:val="center"/>
                </w:tcPr>
                <w:p w14:paraId="627E0507">
                  <w:pPr>
                    <w:adjustRightInd w:val="0"/>
                    <w:snapToGrid w:val="0"/>
                    <w:jc w:val="center"/>
                    <w:rPr>
                      <w:color w:val="auto"/>
                      <w:spacing w:val="-3"/>
                      <w:kern w:val="0"/>
                      <w:szCs w:val="21"/>
                      <w:highlight w:val="none"/>
                    </w:rPr>
                  </w:pPr>
                  <w:r>
                    <w:rPr>
                      <w:color w:val="auto"/>
                      <w:spacing w:val="-3"/>
                      <w:kern w:val="0"/>
                      <w:szCs w:val="21"/>
                      <w:highlight w:val="none"/>
                    </w:rPr>
                    <w:t>环境</w:t>
                  </w:r>
                </w:p>
                <w:p w14:paraId="1793B67C">
                  <w:pPr>
                    <w:adjustRightInd w:val="0"/>
                    <w:snapToGrid w:val="0"/>
                    <w:jc w:val="center"/>
                    <w:rPr>
                      <w:color w:val="auto"/>
                      <w:spacing w:val="-3"/>
                      <w:kern w:val="0"/>
                      <w:szCs w:val="21"/>
                      <w:highlight w:val="none"/>
                    </w:rPr>
                  </w:pPr>
                  <w:r>
                    <w:rPr>
                      <w:color w:val="auto"/>
                      <w:spacing w:val="-3"/>
                      <w:kern w:val="0"/>
                      <w:szCs w:val="21"/>
                      <w:highlight w:val="none"/>
                    </w:rPr>
                    <w:t>功能区</w:t>
                  </w:r>
                </w:p>
              </w:tc>
              <w:tc>
                <w:tcPr>
                  <w:tcW w:w="538" w:type="pct"/>
                  <w:vMerge w:val="restart"/>
                  <w:tcBorders>
                    <w:top w:val="single" w:color="auto" w:sz="12" w:space="0"/>
                  </w:tcBorders>
                  <w:vAlign w:val="center"/>
                </w:tcPr>
                <w:p w14:paraId="18CC7DD4">
                  <w:pPr>
                    <w:adjustRightInd w:val="0"/>
                    <w:snapToGrid w:val="0"/>
                    <w:jc w:val="center"/>
                    <w:rPr>
                      <w:color w:val="auto"/>
                      <w:spacing w:val="-3"/>
                      <w:kern w:val="0"/>
                      <w:szCs w:val="21"/>
                      <w:highlight w:val="none"/>
                    </w:rPr>
                  </w:pPr>
                  <w:r>
                    <w:rPr>
                      <w:color w:val="auto"/>
                      <w:spacing w:val="-3"/>
                      <w:kern w:val="0"/>
                      <w:szCs w:val="21"/>
                      <w:highlight w:val="none"/>
                    </w:rPr>
                    <w:t>相对厂址方位</w:t>
                  </w:r>
                </w:p>
              </w:tc>
              <w:tc>
                <w:tcPr>
                  <w:tcW w:w="703" w:type="pct"/>
                  <w:vMerge w:val="restart"/>
                  <w:tcBorders>
                    <w:top w:val="single" w:color="auto" w:sz="12" w:space="0"/>
                  </w:tcBorders>
                  <w:vAlign w:val="center"/>
                </w:tcPr>
                <w:p w14:paraId="7803EC21">
                  <w:pPr>
                    <w:adjustRightInd w:val="0"/>
                    <w:snapToGrid w:val="0"/>
                    <w:jc w:val="center"/>
                    <w:rPr>
                      <w:color w:val="auto"/>
                      <w:spacing w:val="-3"/>
                      <w:kern w:val="0"/>
                      <w:szCs w:val="21"/>
                      <w:highlight w:val="none"/>
                    </w:rPr>
                  </w:pPr>
                  <w:r>
                    <w:rPr>
                      <w:color w:val="auto"/>
                      <w:spacing w:val="-3"/>
                      <w:kern w:val="0"/>
                      <w:szCs w:val="21"/>
                      <w:highlight w:val="none"/>
                    </w:rPr>
                    <w:t>相对边界距离/m</w:t>
                  </w:r>
                </w:p>
              </w:tc>
            </w:tr>
            <w:tr w14:paraId="5277E9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95" w:type="pct"/>
                  <w:vMerge w:val="continue"/>
                  <w:tcBorders>
                    <w:bottom w:val="single" w:color="auto" w:sz="4" w:space="0"/>
                  </w:tcBorders>
                  <w:vAlign w:val="center"/>
                </w:tcPr>
                <w:p w14:paraId="4C6B5B47">
                  <w:pPr>
                    <w:adjustRightInd w:val="0"/>
                    <w:snapToGrid w:val="0"/>
                    <w:jc w:val="center"/>
                    <w:rPr>
                      <w:color w:val="auto"/>
                      <w:spacing w:val="-3"/>
                      <w:kern w:val="0"/>
                      <w:szCs w:val="21"/>
                      <w:highlight w:val="none"/>
                    </w:rPr>
                  </w:pPr>
                </w:p>
              </w:tc>
              <w:tc>
                <w:tcPr>
                  <w:tcW w:w="798" w:type="pct"/>
                  <w:vMerge w:val="continue"/>
                  <w:tcBorders>
                    <w:bottom w:val="single" w:color="auto" w:sz="4" w:space="0"/>
                  </w:tcBorders>
                  <w:vAlign w:val="center"/>
                </w:tcPr>
                <w:p w14:paraId="4D998FDA">
                  <w:pPr>
                    <w:adjustRightInd w:val="0"/>
                    <w:snapToGrid w:val="0"/>
                    <w:jc w:val="center"/>
                    <w:rPr>
                      <w:color w:val="auto"/>
                      <w:spacing w:val="-3"/>
                      <w:kern w:val="0"/>
                      <w:szCs w:val="21"/>
                      <w:highlight w:val="none"/>
                    </w:rPr>
                  </w:pPr>
                </w:p>
              </w:tc>
              <w:tc>
                <w:tcPr>
                  <w:tcW w:w="493" w:type="pct"/>
                  <w:tcBorders>
                    <w:top w:val="single" w:color="auto" w:sz="4" w:space="0"/>
                    <w:bottom w:val="single" w:color="auto" w:sz="4" w:space="0"/>
                  </w:tcBorders>
                  <w:vAlign w:val="center"/>
                </w:tcPr>
                <w:p w14:paraId="17308EF7">
                  <w:pPr>
                    <w:adjustRightInd w:val="0"/>
                    <w:snapToGrid w:val="0"/>
                    <w:jc w:val="center"/>
                    <w:rPr>
                      <w:color w:val="auto"/>
                      <w:spacing w:val="-3"/>
                      <w:kern w:val="0"/>
                      <w:szCs w:val="21"/>
                      <w:highlight w:val="none"/>
                    </w:rPr>
                  </w:pPr>
                  <w:r>
                    <w:rPr>
                      <w:color w:val="auto"/>
                      <w:spacing w:val="-3"/>
                      <w:kern w:val="0"/>
                      <w:szCs w:val="21"/>
                      <w:highlight w:val="none"/>
                    </w:rPr>
                    <w:t>X</w:t>
                  </w:r>
                </w:p>
              </w:tc>
              <w:tc>
                <w:tcPr>
                  <w:tcW w:w="444" w:type="pct"/>
                  <w:tcBorders>
                    <w:top w:val="single" w:color="auto" w:sz="4" w:space="0"/>
                    <w:bottom w:val="single" w:color="auto" w:sz="4" w:space="0"/>
                  </w:tcBorders>
                  <w:vAlign w:val="center"/>
                </w:tcPr>
                <w:p w14:paraId="3CE95B5E">
                  <w:pPr>
                    <w:adjustRightInd w:val="0"/>
                    <w:snapToGrid w:val="0"/>
                    <w:jc w:val="center"/>
                    <w:rPr>
                      <w:color w:val="auto"/>
                      <w:spacing w:val="-3"/>
                      <w:kern w:val="0"/>
                      <w:szCs w:val="21"/>
                      <w:highlight w:val="none"/>
                    </w:rPr>
                  </w:pPr>
                  <w:r>
                    <w:rPr>
                      <w:color w:val="auto"/>
                      <w:spacing w:val="-3"/>
                      <w:kern w:val="0"/>
                      <w:szCs w:val="21"/>
                      <w:highlight w:val="none"/>
                    </w:rPr>
                    <w:t>Y</w:t>
                  </w:r>
                </w:p>
              </w:tc>
              <w:tc>
                <w:tcPr>
                  <w:tcW w:w="564" w:type="pct"/>
                  <w:vMerge w:val="continue"/>
                  <w:tcBorders>
                    <w:bottom w:val="single" w:color="auto" w:sz="4" w:space="0"/>
                    <w:right w:val="single" w:color="000000" w:sz="4" w:space="0"/>
                  </w:tcBorders>
                  <w:vAlign w:val="center"/>
                </w:tcPr>
                <w:p w14:paraId="5F63037B">
                  <w:pPr>
                    <w:adjustRightInd w:val="0"/>
                    <w:snapToGrid w:val="0"/>
                    <w:jc w:val="center"/>
                    <w:rPr>
                      <w:color w:val="auto"/>
                      <w:spacing w:val="-3"/>
                      <w:kern w:val="0"/>
                      <w:szCs w:val="21"/>
                      <w:highlight w:val="none"/>
                    </w:rPr>
                  </w:pPr>
                </w:p>
              </w:tc>
              <w:tc>
                <w:tcPr>
                  <w:tcW w:w="488" w:type="pct"/>
                  <w:vMerge w:val="continue"/>
                  <w:vAlign w:val="center"/>
                </w:tcPr>
                <w:p w14:paraId="748979D2">
                  <w:pPr>
                    <w:adjustRightInd w:val="0"/>
                    <w:snapToGrid w:val="0"/>
                    <w:jc w:val="center"/>
                    <w:rPr>
                      <w:color w:val="auto"/>
                      <w:spacing w:val="-3"/>
                      <w:kern w:val="0"/>
                      <w:szCs w:val="21"/>
                      <w:highlight w:val="none"/>
                    </w:rPr>
                  </w:pPr>
                </w:p>
              </w:tc>
              <w:tc>
                <w:tcPr>
                  <w:tcW w:w="572" w:type="pct"/>
                  <w:vMerge w:val="continue"/>
                  <w:vAlign w:val="center"/>
                </w:tcPr>
                <w:p w14:paraId="59135BF5">
                  <w:pPr>
                    <w:adjustRightInd w:val="0"/>
                    <w:snapToGrid w:val="0"/>
                    <w:jc w:val="center"/>
                    <w:rPr>
                      <w:color w:val="auto"/>
                      <w:spacing w:val="-3"/>
                      <w:kern w:val="0"/>
                      <w:szCs w:val="21"/>
                      <w:highlight w:val="none"/>
                    </w:rPr>
                  </w:pPr>
                </w:p>
              </w:tc>
              <w:tc>
                <w:tcPr>
                  <w:tcW w:w="538" w:type="pct"/>
                  <w:vMerge w:val="continue"/>
                  <w:vAlign w:val="center"/>
                </w:tcPr>
                <w:p w14:paraId="56BBAAC8">
                  <w:pPr>
                    <w:adjustRightInd w:val="0"/>
                    <w:snapToGrid w:val="0"/>
                    <w:jc w:val="center"/>
                    <w:rPr>
                      <w:color w:val="auto"/>
                      <w:spacing w:val="-3"/>
                      <w:kern w:val="0"/>
                      <w:szCs w:val="21"/>
                      <w:highlight w:val="none"/>
                    </w:rPr>
                  </w:pPr>
                </w:p>
              </w:tc>
              <w:tc>
                <w:tcPr>
                  <w:tcW w:w="703" w:type="pct"/>
                  <w:vMerge w:val="continue"/>
                  <w:vAlign w:val="center"/>
                </w:tcPr>
                <w:p w14:paraId="7893A042">
                  <w:pPr>
                    <w:adjustRightInd w:val="0"/>
                    <w:snapToGrid w:val="0"/>
                    <w:jc w:val="center"/>
                    <w:rPr>
                      <w:color w:val="auto"/>
                      <w:spacing w:val="-3"/>
                      <w:kern w:val="0"/>
                      <w:szCs w:val="21"/>
                      <w:highlight w:val="none"/>
                    </w:rPr>
                  </w:pPr>
                </w:p>
              </w:tc>
            </w:tr>
            <w:tr w14:paraId="203989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5" w:type="pct"/>
                  <w:vMerge w:val="restart"/>
                  <w:vAlign w:val="center"/>
                </w:tcPr>
                <w:p w14:paraId="5D45D87F">
                  <w:pPr>
                    <w:adjustRightInd w:val="0"/>
                    <w:snapToGrid w:val="0"/>
                    <w:jc w:val="center"/>
                    <w:rPr>
                      <w:color w:val="auto"/>
                      <w:spacing w:val="-3"/>
                      <w:kern w:val="0"/>
                      <w:szCs w:val="21"/>
                      <w:highlight w:val="none"/>
                    </w:rPr>
                  </w:pPr>
                  <w:r>
                    <w:rPr>
                      <w:color w:val="auto"/>
                      <w:spacing w:val="-3"/>
                      <w:kern w:val="0"/>
                      <w:szCs w:val="21"/>
                      <w:highlight w:val="none"/>
                    </w:rPr>
                    <w:t>大气环境</w:t>
                  </w:r>
                </w:p>
              </w:tc>
              <w:tc>
                <w:tcPr>
                  <w:tcW w:w="798" w:type="pct"/>
                  <w:vAlign w:val="center"/>
                </w:tcPr>
                <w:p w14:paraId="5B8F69C9">
                  <w:pPr>
                    <w:adjustRightInd w:val="0"/>
                    <w:snapToGrid w:val="0"/>
                    <w:jc w:val="center"/>
                    <w:rPr>
                      <w:color w:val="auto"/>
                      <w:spacing w:val="-3"/>
                      <w:kern w:val="0"/>
                      <w:szCs w:val="21"/>
                      <w:highlight w:val="none"/>
                    </w:rPr>
                  </w:pPr>
                  <w:r>
                    <w:rPr>
                      <w:rFonts w:hint="eastAsia"/>
                      <w:color w:val="auto"/>
                      <w:spacing w:val="-3"/>
                      <w:kern w:val="0"/>
                      <w:szCs w:val="21"/>
                      <w:highlight w:val="none"/>
                    </w:rPr>
                    <w:t>富康花园</w:t>
                  </w:r>
                </w:p>
              </w:tc>
              <w:tc>
                <w:tcPr>
                  <w:tcW w:w="493" w:type="pct"/>
                  <w:vAlign w:val="center"/>
                </w:tcPr>
                <w:p w14:paraId="27DA2235">
                  <w:pPr>
                    <w:adjustRightInd w:val="0"/>
                    <w:snapToGrid w:val="0"/>
                    <w:jc w:val="center"/>
                    <w:rPr>
                      <w:color w:val="auto"/>
                      <w:spacing w:val="-3"/>
                      <w:kern w:val="0"/>
                      <w:szCs w:val="21"/>
                      <w:highlight w:val="none"/>
                    </w:rPr>
                  </w:pPr>
                  <w:r>
                    <w:rPr>
                      <w:rFonts w:hint="eastAsia"/>
                      <w:color w:val="auto"/>
                      <w:spacing w:val="-3"/>
                      <w:kern w:val="0"/>
                      <w:szCs w:val="21"/>
                      <w:highlight w:val="none"/>
                    </w:rPr>
                    <w:t>60</w:t>
                  </w:r>
                </w:p>
              </w:tc>
              <w:tc>
                <w:tcPr>
                  <w:tcW w:w="444" w:type="pct"/>
                  <w:vAlign w:val="center"/>
                </w:tcPr>
                <w:p w14:paraId="765F0B17">
                  <w:pPr>
                    <w:adjustRightInd w:val="0"/>
                    <w:snapToGrid w:val="0"/>
                    <w:jc w:val="center"/>
                    <w:rPr>
                      <w:color w:val="auto"/>
                      <w:spacing w:val="-3"/>
                      <w:kern w:val="0"/>
                      <w:szCs w:val="21"/>
                      <w:highlight w:val="none"/>
                    </w:rPr>
                  </w:pPr>
                  <w:r>
                    <w:rPr>
                      <w:rFonts w:hint="eastAsia"/>
                      <w:color w:val="auto"/>
                      <w:spacing w:val="-3"/>
                      <w:kern w:val="0"/>
                      <w:szCs w:val="21"/>
                      <w:highlight w:val="none"/>
                    </w:rPr>
                    <w:t>0</w:t>
                  </w:r>
                </w:p>
              </w:tc>
              <w:tc>
                <w:tcPr>
                  <w:tcW w:w="564" w:type="pct"/>
                  <w:vAlign w:val="center"/>
                </w:tcPr>
                <w:p w14:paraId="37396844">
                  <w:pPr>
                    <w:adjustRightInd w:val="0"/>
                    <w:snapToGrid w:val="0"/>
                    <w:jc w:val="center"/>
                    <w:rPr>
                      <w:color w:val="auto"/>
                      <w:spacing w:val="-3"/>
                      <w:kern w:val="0"/>
                      <w:szCs w:val="21"/>
                      <w:highlight w:val="none"/>
                    </w:rPr>
                  </w:pPr>
                  <w:r>
                    <w:rPr>
                      <w:color w:val="auto"/>
                      <w:spacing w:val="-3"/>
                      <w:kern w:val="0"/>
                      <w:szCs w:val="21"/>
                      <w:highlight w:val="none"/>
                    </w:rPr>
                    <w:t>居民</w:t>
                  </w:r>
                </w:p>
              </w:tc>
              <w:tc>
                <w:tcPr>
                  <w:tcW w:w="488" w:type="pct"/>
                  <w:vMerge w:val="restart"/>
                  <w:vAlign w:val="center"/>
                </w:tcPr>
                <w:p w14:paraId="3061DCBC">
                  <w:pPr>
                    <w:adjustRightInd w:val="0"/>
                    <w:snapToGrid w:val="0"/>
                    <w:jc w:val="center"/>
                    <w:rPr>
                      <w:color w:val="auto"/>
                      <w:spacing w:val="-3"/>
                      <w:kern w:val="0"/>
                      <w:szCs w:val="21"/>
                      <w:highlight w:val="none"/>
                    </w:rPr>
                  </w:pPr>
                  <w:r>
                    <w:rPr>
                      <w:color w:val="auto"/>
                      <w:spacing w:val="-3"/>
                      <w:kern w:val="0"/>
                      <w:szCs w:val="21"/>
                      <w:highlight w:val="none"/>
                    </w:rPr>
                    <w:t>满足《环境空气质量标准》（GB3095-2012）中二级标准</w:t>
                  </w:r>
                </w:p>
              </w:tc>
              <w:tc>
                <w:tcPr>
                  <w:tcW w:w="572" w:type="pct"/>
                  <w:vMerge w:val="restart"/>
                  <w:vAlign w:val="center"/>
                </w:tcPr>
                <w:p w14:paraId="355DDE95">
                  <w:pPr>
                    <w:adjustRightInd w:val="0"/>
                    <w:snapToGrid w:val="0"/>
                    <w:jc w:val="center"/>
                    <w:rPr>
                      <w:color w:val="auto"/>
                      <w:spacing w:val="-3"/>
                      <w:kern w:val="0"/>
                      <w:szCs w:val="21"/>
                      <w:highlight w:val="none"/>
                    </w:rPr>
                  </w:pPr>
                  <w:r>
                    <w:rPr>
                      <w:color w:val="auto"/>
                      <w:spacing w:val="-3"/>
                      <w:kern w:val="0"/>
                      <w:szCs w:val="21"/>
                      <w:highlight w:val="none"/>
                    </w:rPr>
                    <w:t>二类区</w:t>
                  </w:r>
                </w:p>
              </w:tc>
              <w:tc>
                <w:tcPr>
                  <w:tcW w:w="538" w:type="pct"/>
                  <w:vAlign w:val="center"/>
                </w:tcPr>
                <w:p w14:paraId="6D30BC23">
                  <w:pPr>
                    <w:adjustRightInd w:val="0"/>
                    <w:snapToGrid w:val="0"/>
                    <w:jc w:val="center"/>
                    <w:rPr>
                      <w:color w:val="auto"/>
                      <w:spacing w:val="-3"/>
                      <w:kern w:val="0"/>
                      <w:szCs w:val="21"/>
                      <w:highlight w:val="none"/>
                    </w:rPr>
                  </w:pPr>
                  <w:r>
                    <w:rPr>
                      <w:rFonts w:hint="eastAsia"/>
                      <w:color w:val="auto"/>
                      <w:spacing w:val="-3"/>
                      <w:kern w:val="0"/>
                      <w:szCs w:val="21"/>
                      <w:highlight w:val="none"/>
                    </w:rPr>
                    <w:t>东侧</w:t>
                  </w:r>
                </w:p>
              </w:tc>
              <w:tc>
                <w:tcPr>
                  <w:tcW w:w="703" w:type="pct"/>
                  <w:vAlign w:val="center"/>
                </w:tcPr>
                <w:p w14:paraId="01AE8BE5">
                  <w:pPr>
                    <w:adjustRightInd w:val="0"/>
                    <w:snapToGrid w:val="0"/>
                    <w:jc w:val="center"/>
                    <w:rPr>
                      <w:color w:val="auto"/>
                      <w:spacing w:val="-3"/>
                      <w:kern w:val="0"/>
                      <w:szCs w:val="21"/>
                      <w:highlight w:val="none"/>
                    </w:rPr>
                  </w:pPr>
                  <w:r>
                    <w:rPr>
                      <w:rFonts w:hint="eastAsia"/>
                      <w:color w:val="auto"/>
                      <w:spacing w:val="-3"/>
                      <w:kern w:val="0"/>
                      <w:szCs w:val="21"/>
                      <w:highlight w:val="none"/>
                    </w:rPr>
                    <w:t>60</w:t>
                  </w:r>
                </w:p>
              </w:tc>
            </w:tr>
            <w:tr w14:paraId="023023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5" w:type="pct"/>
                  <w:vMerge w:val="continue"/>
                  <w:vAlign w:val="center"/>
                </w:tcPr>
                <w:p w14:paraId="5A577EF7">
                  <w:pPr>
                    <w:adjustRightInd w:val="0"/>
                    <w:snapToGrid w:val="0"/>
                    <w:jc w:val="center"/>
                    <w:rPr>
                      <w:color w:val="auto"/>
                      <w:spacing w:val="-3"/>
                      <w:kern w:val="0"/>
                      <w:szCs w:val="21"/>
                      <w:highlight w:val="none"/>
                    </w:rPr>
                  </w:pPr>
                </w:p>
              </w:tc>
              <w:tc>
                <w:tcPr>
                  <w:tcW w:w="798" w:type="pct"/>
                  <w:vAlign w:val="center"/>
                </w:tcPr>
                <w:p w14:paraId="69AEB3D4">
                  <w:pPr>
                    <w:adjustRightInd w:val="0"/>
                    <w:snapToGrid w:val="0"/>
                    <w:jc w:val="center"/>
                    <w:rPr>
                      <w:color w:val="auto"/>
                      <w:spacing w:val="-3"/>
                      <w:kern w:val="0"/>
                      <w:szCs w:val="21"/>
                      <w:highlight w:val="none"/>
                    </w:rPr>
                  </w:pPr>
                  <w:r>
                    <w:rPr>
                      <w:rFonts w:hint="eastAsia"/>
                      <w:color w:val="auto"/>
                      <w:spacing w:val="-3"/>
                      <w:kern w:val="0"/>
                      <w:szCs w:val="21"/>
                      <w:highlight w:val="none"/>
                    </w:rPr>
                    <w:t>福祥小区</w:t>
                  </w:r>
                </w:p>
              </w:tc>
              <w:tc>
                <w:tcPr>
                  <w:tcW w:w="493" w:type="pct"/>
                  <w:vAlign w:val="center"/>
                </w:tcPr>
                <w:p w14:paraId="6E35ADA5">
                  <w:pPr>
                    <w:adjustRightInd w:val="0"/>
                    <w:snapToGrid w:val="0"/>
                    <w:jc w:val="center"/>
                    <w:rPr>
                      <w:color w:val="auto"/>
                      <w:spacing w:val="-3"/>
                      <w:kern w:val="0"/>
                      <w:szCs w:val="21"/>
                      <w:highlight w:val="none"/>
                    </w:rPr>
                  </w:pPr>
                  <w:r>
                    <w:rPr>
                      <w:rFonts w:hint="eastAsia"/>
                      <w:color w:val="auto"/>
                      <w:spacing w:val="-3"/>
                      <w:kern w:val="0"/>
                      <w:szCs w:val="21"/>
                      <w:highlight w:val="none"/>
                    </w:rPr>
                    <w:t>370</w:t>
                  </w:r>
                </w:p>
              </w:tc>
              <w:tc>
                <w:tcPr>
                  <w:tcW w:w="444" w:type="pct"/>
                  <w:vAlign w:val="center"/>
                </w:tcPr>
                <w:p w14:paraId="1C5386C8">
                  <w:pPr>
                    <w:adjustRightInd w:val="0"/>
                    <w:snapToGrid w:val="0"/>
                    <w:jc w:val="center"/>
                    <w:rPr>
                      <w:color w:val="auto"/>
                      <w:spacing w:val="-3"/>
                      <w:kern w:val="0"/>
                      <w:szCs w:val="21"/>
                      <w:highlight w:val="none"/>
                    </w:rPr>
                  </w:pPr>
                  <w:r>
                    <w:rPr>
                      <w:rFonts w:hint="eastAsia"/>
                      <w:color w:val="auto"/>
                      <w:spacing w:val="-3"/>
                      <w:kern w:val="0"/>
                      <w:szCs w:val="21"/>
                      <w:highlight w:val="none"/>
                    </w:rPr>
                    <w:t>210</w:t>
                  </w:r>
                </w:p>
              </w:tc>
              <w:tc>
                <w:tcPr>
                  <w:tcW w:w="564" w:type="pct"/>
                  <w:vAlign w:val="center"/>
                </w:tcPr>
                <w:p w14:paraId="4B66799A">
                  <w:pPr>
                    <w:adjustRightInd w:val="0"/>
                    <w:snapToGrid w:val="0"/>
                    <w:jc w:val="center"/>
                    <w:rPr>
                      <w:color w:val="auto"/>
                      <w:spacing w:val="-3"/>
                      <w:kern w:val="0"/>
                      <w:szCs w:val="21"/>
                      <w:highlight w:val="none"/>
                    </w:rPr>
                  </w:pPr>
                  <w:r>
                    <w:rPr>
                      <w:color w:val="auto"/>
                      <w:spacing w:val="-3"/>
                      <w:kern w:val="0"/>
                      <w:szCs w:val="21"/>
                      <w:highlight w:val="none"/>
                    </w:rPr>
                    <w:t>居民</w:t>
                  </w:r>
                </w:p>
              </w:tc>
              <w:tc>
                <w:tcPr>
                  <w:tcW w:w="488" w:type="pct"/>
                  <w:vMerge w:val="continue"/>
                  <w:vAlign w:val="center"/>
                </w:tcPr>
                <w:p w14:paraId="3553E5B5">
                  <w:pPr>
                    <w:adjustRightInd w:val="0"/>
                    <w:snapToGrid w:val="0"/>
                    <w:jc w:val="center"/>
                    <w:rPr>
                      <w:color w:val="auto"/>
                      <w:spacing w:val="-3"/>
                      <w:kern w:val="0"/>
                      <w:szCs w:val="21"/>
                      <w:highlight w:val="none"/>
                    </w:rPr>
                  </w:pPr>
                </w:p>
              </w:tc>
              <w:tc>
                <w:tcPr>
                  <w:tcW w:w="572" w:type="pct"/>
                  <w:vMerge w:val="continue"/>
                  <w:vAlign w:val="center"/>
                </w:tcPr>
                <w:p w14:paraId="6EA025A5">
                  <w:pPr>
                    <w:adjustRightInd w:val="0"/>
                    <w:snapToGrid w:val="0"/>
                    <w:jc w:val="center"/>
                    <w:rPr>
                      <w:color w:val="auto"/>
                      <w:spacing w:val="-3"/>
                      <w:kern w:val="0"/>
                      <w:szCs w:val="21"/>
                      <w:highlight w:val="none"/>
                    </w:rPr>
                  </w:pPr>
                </w:p>
              </w:tc>
              <w:tc>
                <w:tcPr>
                  <w:tcW w:w="538" w:type="pct"/>
                  <w:vAlign w:val="center"/>
                </w:tcPr>
                <w:p w14:paraId="10D1236E">
                  <w:pPr>
                    <w:adjustRightInd w:val="0"/>
                    <w:snapToGrid w:val="0"/>
                    <w:jc w:val="center"/>
                    <w:rPr>
                      <w:color w:val="auto"/>
                      <w:spacing w:val="-3"/>
                      <w:kern w:val="0"/>
                      <w:szCs w:val="21"/>
                      <w:highlight w:val="none"/>
                    </w:rPr>
                  </w:pPr>
                  <w:r>
                    <w:rPr>
                      <w:rFonts w:hint="eastAsia"/>
                      <w:color w:val="auto"/>
                      <w:spacing w:val="-3"/>
                      <w:kern w:val="0"/>
                      <w:szCs w:val="21"/>
                      <w:highlight w:val="none"/>
                    </w:rPr>
                    <w:t>东侧</w:t>
                  </w:r>
                </w:p>
              </w:tc>
              <w:tc>
                <w:tcPr>
                  <w:tcW w:w="703" w:type="pct"/>
                  <w:vAlign w:val="center"/>
                </w:tcPr>
                <w:p w14:paraId="4248E96F">
                  <w:pPr>
                    <w:adjustRightInd w:val="0"/>
                    <w:snapToGrid w:val="0"/>
                    <w:jc w:val="center"/>
                    <w:rPr>
                      <w:color w:val="auto"/>
                      <w:spacing w:val="-3"/>
                      <w:kern w:val="0"/>
                      <w:szCs w:val="21"/>
                      <w:highlight w:val="none"/>
                    </w:rPr>
                  </w:pPr>
                  <w:r>
                    <w:rPr>
                      <w:rFonts w:hint="eastAsia"/>
                      <w:color w:val="auto"/>
                      <w:spacing w:val="-3"/>
                      <w:kern w:val="0"/>
                      <w:szCs w:val="21"/>
                      <w:highlight w:val="none"/>
                    </w:rPr>
                    <w:t>390</w:t>
                  </w:r>
                </w:p>
              </w:tc>
            </w:tr>
            <w:tr w14:paraId="6778C7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5" w:type="pct"/>
                  <w:vMerge w:val="continue"/>
                  <w:vAlign w:val="center"/>
                </w:tcPr>
                <w:p w14:paraId="0BC2B671">
                  <w:pPr>
                    <w:adjustRightInd w:val="0"/>
                    <w:snapToGrid w:val="0"/>
                    <w:jc w:val="center"/>
                    <w:rPr>
                      <w:color w:val="auto"/>
                      <w:spacing w:val="-3"/>
                      <w:kern w:val="0"/>
                      <w:szCs w:val="21"/>
                      <w:highlight w:val="none"/>
                    </w:rPr>
                  </w:pPr>
                </w:p>
              </w:tc>
              <w:tc>
                <w:tcPr>
                  <w:tcW w:w="798" w:type="pct"/>
                  <w:vAlign w:val="center"/>
                </w:tcPr>
                <w:p w14:paraId="47DDC3E7">
                  <w:pPr>
                    <w:adjustRightInd w:val="0"/>
                    <w:snapToGrid w:val="0"/>
                    <w:jc w:val="center"/>
                    <w:rPr>
                      <w:color w:val="auto"/>
                      <w:spacing w:val="-3"/>
                      <w:kern w:val="0"/>
                      <w:szCs w:val="21"/>
                      <w:highlight w:val="none"/>
                    </w:rPr>
                  </w:pPr>
                  <w:r>
                    <w:rPr>
                      <w:rFonts w:hint="eastAsia"/>
                      <w:color w:val="auto"/>
                      <w:spacing w:val="-3"/>
                      <w:kern w:val="0"/>
                      <w:szCs w:val="21"/>
                      <w:highlight w:val="none"/>
                    </w:rPr>
                    <w:t>吉林交通职业技术学院</w:t>
                  </w:r>
                </w:p>
              </w:tc>
              <w:tc>
                <w:tcPr>
                  <w:tcW w:w="493" w:type="pct"/>
                  <w:vAlign w:val="center"/>
                </w:tcPr>
                <w:p w14:paraId="21B13DE4">
                  <w:pPr>
                    <w:adjustRightInd w:val="0"/>
                    <w:snapToGrid w:val="0"/>
                    <w:jc w:val="center"/>
                    <w:rPr>
                      <w:color w:val="auto"/>
                      <w:spacing w:val="-3"/>
                      <w:kern w:val="0"/>
                      <w:szCs w:val="21"/>
                      <w:highlight w:val="none"/>
                    </w:rPr>
                  </w:pPr>
                  <w:r>
                    <w:rPr>
                      <w:rFonts w:hint="eastAsia"/>
                      <w:color w:val="auto"/>
                      <w:spacing w:val="-3"/>
                      <w:kern w:val="0"/>
                      <w:szCs w:val="21"/>
                      <w:highlight w:val="none"/>
                    </w:rPr>
                    <w:t>340</w:t>
                  </w:r>
                </w:p>
              </w:tc>
              <w:tc>
                <w:tcPr>
                  <w:tcW w:w="444" w:type="pct"/>
                  <w:vAlign w:val="center"/>
                </w:tcPr>
                <w:p w14:paraId="27A01B3D">
                  <w:pPr>
                    <w:adjustRightInd w:val="0"/>
                    <w:snapToGrid w:val="0"/>
                    <w:jc w:val="center"/>
                    <w:rPr>
                      <w:color w:val="auto"/>
                      <w:spacing w:val="-3"/>
                      <w:kern w:val="0"/>
                      <w:szCs w:val="21"/>
                      <w:highlight w:val="none"/>
                    </w:rPr>
                  </w:pPr>
                  <w:r>
                    <w:rPr>
                      <w:rFonts w:hint="eastAsia"/>
                      <w:color w:val="auto"/>
                      <w:spacing w:val="-3"/>
                      <w:kern w:val="0"/>
                      <w:szCs w:val="21"/>
                      <w:highlight w:val="none"/>
                    </w:rPr>
                    <w:t>0</w:t>
                  </w:r>
                </w:p>
              </w:tc>
              <w:tc>
                <w:tcPr>
                  <w:tcW w:w="564" w:type="pct"/>
                  <w:vAlign w:val="center"/>
                </w:tcPr>
                <w:p w14:paraId="4441AA9B">
                  <w:pPr>
                    <w:adjustRightInd w:val="0"/>
                    <w:snapToGrid w:val="0"/>
                    <w:jc w:val="center"/>
                    <w:rPr>
                      <w:color w:val="auto"/>
                      <w:spacing w:val="-3"/>
                      <w:kern w:val="0"/>
                      <w:szCs w:val="21"/>
                      <w:highlight w:val="none"/>
                    </w:rPr>
                  </w:pPr>
                  <w:r>
                    <w:rPr>
                      <w:rFonts w:hint="eastAsia"/>
                      <w:color w:val="auto"/>
                      <w:spacing w:val="-3"/>
                      <w:kern w:val="0"/>
                      <w:szCs w:val="21"/>
                      <w:highlight w:val="none"/>
                    </w:rPr>
                    <w:t>学生</w:t>
                  </w:r>
                </w:p>
              </w:tc>
              <w:tc>
                <w:tcPr>
                  <w:tcW w:w="488" w:type="pct"/>
                  <w:vMerge w:val="continue"/>
                  <w:vAlign w:val="center"/>
                </w:tcPr>
                <w:p w14:paraId="263AE609">
                  <w:pPr>
                    <w:adjustRightInd w:val="0"/>
                    <w:snapToGrid w:val="0"/>
                    <w:jc w:val="center"/>
                    <w:rPr>
                      <w:color w:val="auto"/>
                      <w:spacing w:val="-3"/>
                      <w:kern w:val="0"/>
                      <w:szCs w:val="21"/>
                      <w:highlight w:val="none"/>
                    </w:rPr>
                  </w:pPr>
                </w:p>
              </w:tc>
              <w:tc>
                <w:tcPr>
                  <w:tcW w:w="572" w:type="pct"/>
                  <w:vMerge w:val="continue"/>
                  <w:vAlign w:val="center"/>
                </w:tcPr>
                <w:p w14:paraId="3C97A60F">
                  <w:pPr>
                    <w:adjustRightInd w:val="0"/>
                    <w:snapToGrid w:val="0"/>
                    <w:jc w:val="center"/>
                    <w:rPr>
                      <w:color w:val="auto"/>
                      <w:spacing w:val="-3"/>
                      <w:kern w:val="0"/>
                      <w:szCs w:val="21"/>
                      <w:highlight w:val="none"/>
                    </w:rPr>
                  </w:pPr>
                </w:p>
              </w:tc>
              <w:tc>
                <w:tcPr>
                  <w:tcW w:w="538" w:type="pct"/>
                  <w:vAlign w:val="center"/>
                </w:tcPr>
                <w:p w14:paraId="20CA6F88">
                  <w:pPr>
                    <w:adjustRightInd w:val="0"/>
                    <w:snapToGrid w:val="0"/>
                    <w:jc w:val="center"/>
                    <w:rPr>
                      <w:color w:val="auto"/>
                      <w:spacing w:val="-3"/>
                      <w:kern w:val="0"/>
                      <w:szCs w:val="21"/>
                      <w:highlight w:val="none"/>
                    </w:rPr>
                  </w:pPr>
                  <w:r>
                    <w:rPr>
                      <w:rFonts w:hint="eastAsia"/>
                      <w:color w:val="auto"/>
                      <w:spacing w:val="-3"/>
                      <w:kern w:val="0"/>
                      <w:szCs w:val="21"/>
                      <w:highlight w:val="none"/>
                    </w:rPr>
                    <w:t>东侧</w:t>
                  </w:r>
                </w:p>
              </w:tc>
              <w:tc>
                <w:tcPr>
                  <w:tcW w:w="703" w:type="pct"/>
                  <w:vAlign w:val="center"/>
                </w:tcPr>
                <w:p w14:paraId="11258555">
                  <w:pPr>
                    <w:adjustRightInd w:val="0"/>
                    <w:snapToGrid w:val="0"/>
                    <w:jc w:val="center"/>
                    <w:rPr>
                      <w:color w:val="auto"/>
                      <w:spacing w:val="-3"/>
                      <w:kern w:val="0"/>
                      <w:szCs w:val="21"/>
                      <w:highlight w:val="none"/>
                    </w:rPr>
                  </w:pPr>
                  <w:r>
                    <w:rPr>
                      <w:rFonts w:hint="eastAsia"/>
                      <w:color w:val="auto"/>
                      <w:spacing w:val="-3"/>
                      <w:kern w:val="0"/>
                      <w:szCs w:val="21"/>
                      <w:highlight w:val="none"/>
                    </w:rPr>
                    <w:t>320</w:t>
                  </w:r>
                </w:p>
              </w:tc>
            </w:tr>
            <w:tr w14:paraId="09C8D5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5" w:type="pct"/>
                  <w:vMerge w:val="continue"/>
                  <w:vAlign w:val="center"/>
                </w:tcPr>
                <w:p w14:paraId="1F9B865A">
                  <w:pPr>
                    <w:adjustRightInd w:val="0"/>
                    <w:snapToGrid w:val="0"/>
                    <w:jc w:val="center"/>
                    <w:rPr>
                      <w:color w:val="auto"/>
                      <w:spacing w:val="-3"/>
                      <w:kern w:val="0"/>
                      <w:szCs w:val="21"/>
                      <w:highlight w:val="none"/>
                    </w:rPr>
                  </w:pPr>
                </w:p>
              </w:tc>
              <w:tc>
                <w:tcPr>
                  <w:tcW w:w="798" w:type="pct"/>
                  <w:vAlign w:val="center"/>
                </w:tcPr>
                <w:p w14:paraId="2C7DF2B4">
                  <w:pPr>
                    <w:adjustRightInd w:val="0"/>
                    <w:snapToGrid w:val="0"/>
                    <w:jc w:val="center"/>
                    <w:rPr>
                      <w:color w:val="auto"/>
                      <w:spacing w:val="-3"/>
                      <w:kern w:val="0"/>
                      <w:szCs w:val="21"/>
                      <w:highlight w:val="none"/>
                    </w:rPr>
                  </w:pPr>
                  <w:r>
                    <w:rPr>
                      <w:rFonts w:hint="eastAsia"/>
                      <w:color w:val="auto"/>
                      <w:spacing w:val="-3"/>
                      <w:kern w:val="0"/>
                      <w:szCs w:val="21"/>
                      <w:highlight w:val="none"/>
                    </w:rPr>
                    <w:t>高新区人民法院</w:t>
                  </w:r>
                </w:p>
              </w:tc>
              <w:tc>
                <w:tcPr>
                  <w:tcW w:w="493" w:type="pct"/>
                  <w:vAlign w:val="center"/>
                </w:tcPr>
                <w:p w14:paraId="76D4AC38">
                  <w:pPr>
                    <w:adjustRightInd w:val="0"/>
                    <w:snapToGrid w:val="0"/>
                    <w:jc w:val="center"/>
                    <w:rPr>
                      <w:color w:val="auto"/>
                      <w:spacing w:val="-3"/>
                      <w:kern w:val="0"/>
                      <w:szCs w:val="21"/>
                      <w:highlight w:val="none"/>
                    </w:rPr>
                  </w:pPr>
                  <w:r>
                    <w:rPr>
                      <w:rFonts w:hint="eastAsia"/>
                      <w:color w:val="auto"/>
                      <w:spacing w:val="-3"/>
                      <w:kern w:val="0"/>
                      <w:szCs w:val="21"/>
                      <w:highlight w:val="none"/>
                    </w:rPr>
                    <w:t>180</w:t>
                  </w:r>
                </w:p>
              </w:tc>
              <w:tc>
                <w:tcPr>
                  <w:tcW w:w="444" w:type="pct"/>
                  <w:vAlign w:val="center"/>
                </w:tcPr>
                <w:p w14:paraId="57DFCF76">
                  <w:pPr>
                    <w:adjustRightInd w:val="0"/>
                    <w:snapToGrid w:val="0"/>
                    <w:jc w:val="center"/>
                    <w:rPr>
                      <w:color w:val="auto"/>
                      <w:spacing w:val="-3"/>
                      <w:kern w:val="0"/>
                      <w:szCs w:val="21"/>
                      <w:highlight w:val="none"/>
                    </w:rPr>
                  </w:pPr>
                  <w:r>
                    <w:rPr>
                      <w:rFonts w:hint="eastAsia"/>
                      <w:color w:val="auto"/>
                      <w:spacing w:val="-3"/>
                      <w:kern w:val="0"/>
                      <w:szCs w:val="21"/>
                      <w:highlight w:val="none"/>
                    </w:rPr>
                    <w:t>300</w:t>
                  </w:r>
                </w:p>
              </w:tc>
              <w:tc>
                <w:tcPr>
                  <w:tcW w:w="564" w:type="pct"/>
                  <w:vAlign w:val="center"/>
                </w:tcPr>
                <w:p w14:paraId="4026CA18">
                  <w:pPr>
                    <w:adjustRightInd w:val="0"/>
                    <w:snapToGrid w:val="0"/>
                    <w:jc w:val="center"/>
                    <w:rPr>
                      <w:color w:val="auto"/>
                      <w:spacing w:val="-3"/>
                      <w:kern w:val="0"/>
                      <w:szCs w:val="21"/>
                      <w:highlight w:val="none"/>
                    </w:rPr>
                  </w:pPr>
                  <w:r>
                    <w:rPr>
                      <w:rFonts w:hint="eastAsia"/>
                      <w:color w:val="auto"/>
                      <w:spacing w:val="-3"/>
                      <w:kern w:val="0"/>
                      <w:szCs w:val="21"/>
                      <w:highlight w:val="none"/>
                    </w:rPr>
                    <w:t>职工</w:t>
                  </w:r>
                </w:p>
              </w:tc>
              <w:tc>
                <w:tcPr>
                  <w:tcW w:w="488" w:type="pct"/>
                  <w:vMerge w:val="continue"/>
                  <w:vAlign w:val="center"/>
                </w:tcPr>
                <w:p w14:paraId="2B23C799">
                  <w:pPr>
                    <w:adjustRightInd w:val="0"/>
                    <w:snapToGrid w:val="0"/>
                    <w:jc w:val="center"/>
                    <w:rPr>
                      <w:color w:val="auto"/>
                      <w:spacing w:val="-3"/>
                      <w:kern w:val="0"/>
                      <w:szCs w:val="21"/>
                      <w:highlight w:val="none"/>
                    </w:rPr>
                  </w:pPr>
                </w:p>
              </w:tc>
              <w:tc>
                <w:tcPr>
                  <w:tcW w:w="572" w:type="pct"/>
                  <w:vMerge w:val="continue"/>
                  <w:vAlign w:val="center"/>
                </w:tcPr>
                <w:p w14:paraId="16ACF9FF">
                  <w:pPr>
                    <w:adjustRightInd w:val="0"/>
                    <w:snapToGrid w:val="0"/>
                    <w:jc w:val="center"/>
                    <w:rPr>
                      <w:color w:val="auto"/>
                      <w:spacing w:val="-3"/>
                      <w:kern w:val="0"/>
                      <w:szCs w:val="21"/>
                      <w:highlight w:val="none"/>
                    </w:rPr>
                  </w:pPr>
                </w:p>
              </w:tc>
              <w:tc>
                <w:tcPr>
                  <w:tcW w:w="538" w:type="pct"/>
                  <w:vAlign w:val="center"/>
                </w:tcPr>
                <w:p w14:paraId="04FF7512">
                  <w:pPr>
                    <w:adjustRightInd w:val="0"/>
                    <w:snapToGrid w:val="0"/>
                    <w:jc w:val="center"/>
                    <w:rPr>
                      <w:color w:val="auto"/>
                      <w:spacing w:val="-3"/>
                      <w:kern w:val="0"/>
                      <w:szCs w:val="21"/>
                      <w:highlight w:val="none"/>
                    </w:rPr>
                  </w:pPr>
                  <w:r>
                    <w:rPr>
                      <w:rFonts w:hint="eastAsia"/>
                      <w:color w:val="auto"/>
                      <w:spacing w:val="-3"/>
                      <w:kern w:val="0"/>
                      <w:szCs w:val="21"/>
                      <w:highlight w:val="none"/>
                    </w:rPr>
                    <w:t>东北</w:t>
                  </w:r>
                </w:p>
              </w:tc>
              <w:tc>
                <w:tcPr>
                  <w:tcW w:w="703" w:type="pct"/>
                  <w:vAlign w:val="center"/>
                </w:tcPr>
                <w:p w14:paraId="573AE750">
                  <w:pPr>
                    <w:adjustRightInd w:val="0"/>
                    <w:snapToGrid w:val="0"/>
                    <w:jc w:val="center"/>
                    <w:rPr>
                      <w:color w:val="auto"/>
                      <w:spacing w:val="-3"/>
                      <w:kern w:val="0"/>
                      <w:szCs w:val="21"/>
                      <w:highlight w:val="none"/>
                    </w:rPr>
                  </w:pPr>
                  <w:r>
                    <w:rPr>
                      <w:rFonts w:hint="eastAsia"/>
                      <w:color w:val="auto"/>
                      <w:spacing w:val="-3"/>
                      <w:kern w:val="0"/>
                      <w:szCs w:val="21"/>
                      <w:highlight w:val="none"/>
                    </w:rPr>
                    <w:t>330</w:t>
                  </w:r>
                </w:p>
              </w:tc>
            </w:tr>
            <w:tr w14:paraId="79AAC4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5" w:type="pct"/>
                  <w:vMerge w:val="continue"/>
                  <w:vAlign w:val="center"/>
                </w:tcPr>
                <w:p w14:paraId="78B78A93">
                  <w:pPr>
                    <w:adjustRightInd w:val="0"/>
                    <w:snapToGrid w:val="0"/>
                    <w:jc w:val="center"/>
                    <w:rPr>
                      <w:color w:val="auto"/>
                      <w:spacing w:val="-3"/>
                      <w:kern w:val="0"/>
                      <w:szCs w:val="21"/>
                      <w:highlight w:val="none"/>
                    </w:rPr>
                  </w:pPr>
                </w:p>
              </w:tc>
              <w:tc>
                <w:tcPr>
                  <w:tcW w:w="798" w:type="pct"/>
                  <w:vAlign w:val="center"/>
                </w:tcPr>
                <w:p w14:paraId="344C1F7E">
                  <w:pPr>
                    <w:adjustRightInd w:val="0"/>
                    <w:snapToGrid w:val="0"/>
                    <w:jc w:val="center"/>
                    <w:rPr>
                      <w:color w:val="auto"/>
                      <w:spacing w:val="-3"/>
                      <w:kern w:val="0"/>
                      <w:szCs w:val="21"/>
                      <w:highlight w:val="none"/>
                    </w:rPr>
                  </w:pPr>
                  <w:r>
                    <w:rPr>
                      <w:rFonts w:hint="eastAsia"/>
                      <w:color w:val="auto"/>
                      <w:spacing w:val="-3"/>
                      <w:kern w:val="0"/>
                      <w:szCs w:val="21"/>
                      <w:highlight w:val="none"/>
                    </w:rPr>
                    <w:t>高新区交警大队</w:t>
                  </w:r>
                </w:p>
              </w:tc>
              <w:tc>
                <w:tcPr>
                  <w:tcW w:w="493" w:type="pct"/>
                  <w:vAlign w:val="center"/>
                </w:tcPr>
                <w:p w14:paraId="6760E270">
                  <w:pPr>
                    <w:adjustRightInd w:val="0"/>
                    <w:snapToGrid w:val="0"/>
                    <w:jc w:val="center"/>
                    <w:rPr>
                      <w:color w:val="auto"/>
                      <w:spacing w:val="-3"/>
                      <w:kern w:val="0"/>
                      <w:szCs w:val="21"/>
                      <w:highlight w:val="none"/>
                    </w:rPr>
                  </w:pPr>
                  <w:r>
                    <w:rPr>
                      <w:rFonts w:hint="eastAsia"/>
                      <w:color w:val="auto"/>
                      <w:spacing w:val="-3"/>
                      <w:kern w:val="0"/>
                      <w:szCs w:val="21"/>
                      <w:highlight w:val="none"/>
                    </w:rPr>
                    <w:t>0</w:t>
                  </w:r>
                </w:p>
              </w:tc>
              <w:tc>
                <w:tcPr>
                  <w:tcW w:w="444" w:type="pct"/>
                  <w:vAlign w:val="center"/>
                </w:tcPr>
                <w:p w14:paraId="0ADBCF56">
                  <w:pPr>
                    <w:adjustRightInd w:val="0"/>
                    <w:snapToGrid w:val="0"/>
                    <w:jc w:val="center"/>
                    <w:rPr>
                      <w:color w:val="auto"/>
                      <w:spacing w:val="-3"/>
                      <w:kern w:val="0"/>
                      <w:szCs w:val="21"/>
                      <w:highlight w:val="none"/>
                    </w:rPr>
                  </w:pPr>
                  <w:r>
                    <w:rPr>
                      <w:rFonts w:hint="eastAsia"/>
                      <w:color w:val="auto"/>
                      <w:spacing w:val="-3"/>
                      <w:kern w:val="0"/>
                      <w:szCs w:val="21"/>
                      <w:highlight w:val="none"/>
                    </w:rPr>
                    <w:t>150</w:t>
                  </w:r>
                </w:p>
              </w:tc>
              <w:tc>
                <w:tcPr>
                  <w:tcW w:w="564" w:type="pct"/>
                  <w:vAlign w:val="center"/>
                </w:tcPr>
                <w:p w14:paraId="2DADD841">
                  <w:pPr>
                    <w:adjustRightInd w:val="0"/>
                    <w:snapToGrid w:val="0"/>
                    <w:jc w:val="center"/>
                    <w:rPr>
                      <w:color w:val="auto"/>
                      <w:spacing w:val="-3"/>
                      <w:kern w:val="0"/>
                      <w:szCs w:val="21"/>
                      <w:highlight w:val="none"/>
                    </w:rPr>
                  </w:pPr>
                  <w:r>
                    <w:rPr>
                      <w:rFonts w:hint="eastAsia"/>
                      <w:color w:val="auto"/>
                      <w:spacing w:val="-3"/>
                      <w:kern w:val="0"/>
                      <w:szCs w:val="21"/>
                      <w:highlight w:val="none"/>
                    </w:rPr>
                    <w:t>职工</w:t>
                  </w:r>
                </w:p>
              </w:tc>
              <w:tc>
                <w:tcPr>
                  <w:tcW w:w="488" w:type="pct"/>
                  <w:vMerge w:val="continue"/>
                  <w:vAlign w:val="center"/>
                </w:tcPr>
                <w:p w14:paraId="014E106E">
                  <w:pPr>
                    <w:adjustRightInd w:val="0"/>
                    <w:snapToGrid w:val="0"/>
                    <w:jc w:val="center"/>
                    <w:rPr>
                      <w:color w:val="auto"/>
                      <w:spacing w:val="-3"/>
                      <w:kern w:val="0"/>
                      <w:szCs w:val="21"/>
                      <w:highlight w:val="none"/>
                    </w:rPr>
                  </w:pPr>
                </w:p>
              </w:tc>
              <w:tc>
                <w:tcPr>
                  <w:tcW w:w="572" w:type="pct"/>
                  <w:vMerge w:val="continue"/>
                  <w:vAlign w:val="center"/>
                </w:tcPr>
                <w:p w14:paraId="2AD90522">
                  <w:pPr>
                    <w:adjustRightInd w:val="0"/>
                    <w:snapToGrid w:val="0"/>
                    <w:jc w:val="center"/>
                    <w:rPr>
                      <w:color w:val="auto"/>
                      <w:spacing w:val="-3"/>
                      <w:kern w:val="0"/>
                      <w:szCs w:val="21"/>
                      <w:highlight w:val="none"/>
                    </w:rPr>
                  </w:pPr>
                </w:p>
              </w:tc>
              <w:tc>
                <w:tcPr>
                  <w:tcW w:w="538" w:type="pct"/>
                  <w:vAlign w:val="center"/>
                </w:tcPr>
                <w:p w14:paraId="62A6B388">
                  <w:pPr>
                    <w:adjustRightInd w:val="0"/>
                    <w:snapToGrid w:val="0"/>
                    <w:jc w:val="center"/>
                    <w:rPr>
                      <w:color w:val="auto"/>
                      <w:spacing w:val="-3"/>
                      <w:kern w:val="0"/>
                      <w:szCs w:val="21"/>
                      <w:highlight w:val="none"/>
                    </w:rPr>
                  </w:pPr>
                  <w:r>
                    <w:rPr>
                      <w:rFonts w:hint="eastAsia"/>
                      <w:color w:val="auto"/>
                      <w:spacing w:val="-3"/>
                      <w:kern w:val="0"/>
                      <w:szCs w:val="21"/>
                      <w:highlight w:val="none"/>
                    </w:rPr>
                    <w:t>东北</w:t>
                  </w:r>
                </w:p>
              </w:tc>
              <w:tc>
                <w:tcPr>
                  <w:tcW w:w="703" w:type="pct"/>
                  <w:vAlign w:val="center"/>
                </w:tcPr>
                <w:p w14:paraId="30424701">
                  <w:pPr>
                    <w:adjustRightInd w:val="0"/>
                    <w:snapToGrid w:val="0"/>
                    <w:jc w:val="center"/>
                    <w:rPr>
                      <w:color w:val="auto"/>
                      <w:spacing w:val="-3"/>
                      <w:kern w:val="0"/>
                      <w:szCs w:val="21"/>
                      <w:highlight w:val="none"/>
                    </w:rPr>
                  </w:pPr>
                  <w:r>
                    <w:rPr>
                      <w:rFonts w:hint="eastAsia"/>
                      <w:color w:val="auto"/>
                      <w:spacing w:val="-3"/>
                      <w:kern w:val="0"/>
                      <w:szCs w:val="21"/>
                      <w:highlight w:val="none"/>
                    </w:rPr>
                    <w:t>140</w:t>
                  </w:r>
                </w:p>
              </w:tc>
            </w:tr>
            <w:tr w14:paraId="5E8F41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5" w:type="pct"/>
                  <w:vMerge w:val="continue"/>
                  <w:vAlign w:val="center"/>
                </w:tcPr>
                <w:p w14:paraId="273CC755">
                  <w:pPr>
                    <w:adjustRightInd w:val="0"/>
                    <w:snapToGrid w:val="0"/>
                    <w:jc w:val="center"/>
                    <w:rPr>
                      <w:color w:val="auto"/>
                      <w:spacing w:val="-3"/>
                      <w:kern w:val="0"/>
                      <w:szCs w:val="21"/>
                      <w:highlight w:val="none"/>
                    </w:rPr>
                  </w:pPr>
                </w:p>
              </w:tc>
              <w:tc>
                <w:tcPr>
                  <w:tcW w:w="798" w:type="pct"/>
                  <w:vAlign w:val="center"/>
                </w:tcPr>
                <w:p w14:paraId="61B7D8BA">
                  <w:pPr>
                    <w:adjustRightInd w:val="0"/>
                    <w:snapToGrid w:val="0"/>
                    <w:jc w:val="center"/>
                    <w:rPr>
                      <w:color w:val="auto"/>
                      <w:spacing w:val="-3"/>
                      <w:kern w:val="0"/>
                      <w:szCs w:val="21"/>
                      <w:highlight w:val="none"/>
                    </w:rPr>
                  </w:pPr>
                  <w:r>
                    <w:rPr>
                      <w:rFonts w:hint="eastAsia"/>
                      <w:color w:val="auto"/>
                      <w:spacing w:val="-3"/>
                      <w:kern w:val="0"/>
                      <w:szCs w:val="21"/>
                      <w:highlight w:val="none"/>
                    </w:rPr>
                    <w:t>宝莱雅居小区</w:t>
                  </w:r>
                </w:p>
              </w:tc>
              <w:tc>
                <w:tcPr>
                  <w:tcW w:w="493" w:type="pct"/>
                  <w:vAlign w:val="center"/>
                </w:tcPr>
                <w:p w14:paraId="65023108">
                  <w:pPr>
                    <w:adjustRightInd w:val="0"/>
                    <w:snapToGrid w:val="0"/>
                    <w:jc w:val="center"/>
                    <w:rPr>
                      <w:color w:val="auto"/>
                      <w:spacing w:val="-3"/>
                      <w:kern w:val="0"/>
                      <w:szCs w:val="21"/>
                      <w:highlight w:val="none"/>
                    </w:rPr>
                  </w:pPr>
                  <w:r>
                    <w:rPr>
                      <w:rFonts w:hint="eastAsia"/>
                      <w:color w:val="auto"/>
                      <w:spacing w:val="-3"/>
                      <w:kern w:val="0"/>
                      <w:szCs w:val="21"/>
                      <w:highlight w:val="none"/>
                    </w:rPr>
                    <w:t>-79</w:t>
                  </w:r>
                </w:p>
              </w:tc>
              <w:tc>
                <w:tcPr>
                  <w:tcW w:w="444" w:type="pct"/>
                  <w:vAlign w:val="center"/>
                </w:tcPr>
                <w:p w14:paraId="201FFB77">
                  <w:pPr>
                    <w:adjustRightInd w:val="0"/>
                    <w:snapToGrid w:val="0"/>
                    <w:jc w:val="center"/>
                    <w:rPr>
                      <w:color w:val="auto"/>
                      <w:spacing w:val="-3"/>
                      <w:kern w:val="0"/>
                      <w:szCs w:val="21"/>
                      <w:highlight w:val="none"/>
                    </w:rPr>
                  </w:pPr>
                  <w:r>
                    <w:rPr>
                      <w:rFonts w:hint="eastAsia"/>
                      <w:color w:val="auto"/>
                      <w:spacing w:val="-3"/>
                      <w:kern w:val="0"/>
                      <w:szCs w:val="21"/>
                      <w:highlight w:val="none"/>
                    </w:rPr>
                    <w:t>80</w:t>
                  </w:r>
                </w:p>
              </w:tc>
              <w:tc>
                <w:tcPr>
                  <w:tcW w:w="564" w:type="pct"/>
                  <w:vAlign w:val="center"/>
                </w:tcPr>
                <w:p w14:paraId="05FECBDE">
                  <w:pPr>
                    <w:adjustRightInd w:val="0"/>
                    <w:snapToGrid w:val="0"/>
                    <w:jc w:val="center"/>
                    <w:rPr>
                      <w:color w:val="auto"/>
                      <w:spacing w:val="-3"/>
                      <w:kern w:val="0"/>
                      <w:szCs w:val="21"/>
                      <w:highlight w:val="none"/>
                    </w:rPr>
                  </w:pPr>
                  <w:r>
                    <w:rPr>
                      <w:color w:val="auto"/>
                      <w:spacing w:val="-3"/>
                      <w:kern w:val="0"/>
                      <w:szCs w:val="21"/>
                      <w:highlight w:val="none"/>
                    </w:rPr>
                    <w:t>居民</w:t>
                  </w:r>
                </w:p>
              </w:tc>
              <w:tc>
                <w:tcPr>
                  <w:tcW w:w="488" w:type="pct"/>
                  <w:vMerge w:val="continue"/>
                  <w:vAlign w:val="center"/>
                </w:tcPr>
                <w:p w14:paraId="1ADFA9A4">
                  <w:pPr>
                    <w:adjustRightInd w:val="0"/>
                    <w:snapToGrid w:val="0"/>
                    <w:jc w:val="center"/>
                    <w:rPr>
                      <w:color w:val="auto"/>
                      <w:spacing w:val="-3"/>
                      <w:kern w:val="0"/>
                      <w:szCs w:val="21"/>
                      <w:highlight w:val="none"/>
                    </w:rPr>
                  </w:pPr>
                </w:p>
              </w:tc>
              <w:tc>
                <w:tcPr>
                  <w:tcW w:w="572" w:type="pct"/>
                  <w:vMerge w:val="continue"/>
                  <w:vAlign w:val="center"/>
                </w:tcPr>
                <w:p w14:paraId="117BAF94">
                  <w:pPr>
                    <w:adjustRightInd w:val="0"/>
                    <w:snapToGrid w:val="0"/>
                    <w:jc w:val="center"/>
                    <w:rPr>
                      <w:color w:val="auto"/>
                      <w:spacing w:val="-3"/>
                      <w:kern w:val="0"/>
                      <w:szCs w:val="21"/>
                      <w:highlight w:val="none"/>
                    </w:rPr>
                  </w:pPr>
                </w:p>
              </w:tc>
              <w:tc>
                <w:tcPr>
                  <w:tcW w:w="538" w:type="pct"/>
                  <w:vAlign w:val="center"/>
                </w:tcPr>
                <w:p w14:paraId="510B80AE">
                  <w:pPr>
                    <w:adjustRightInd w:val="0"/>
                    <w:snapToGrid w:val="0"/>
                    <w:jc w:val="center"/>
                    <w:rPr>
                      <w:color w:val="auto"/>
                      <w:spacing w:val="-3"/>
                      <w:kern w:val="0"/>
                      <w:szCs w:val="21"/>
                      <w:highlight w:val="none"/>
                    </w:rPr>
                  </w:pPr>
                  <w:r>
                    <w:rPr>
                      <w:rFonts w:hint="eastAsia"/>
                      <w:color w:val="auto"/>
                      <w:spacing w:val="-3"/>
                      <w:kern w:val="0"/>
                      <w:szCs w:val="21"/>
                      <w:highlight w:val="none"/>
                    </w:rPr>
                    <w:t>西侧</w:t>
                  </w:r>
                </w:p>
              </w:tc>
              <w:tc>
                <w:tcPr>
                  <w:tcW w:w="703" w:type="pct"/>
                  <w:vAlign w:val="center"/>
                </w:tcPr>
                <w:p w14:paraId="41546ABA">
                  <w:pPr>
                    <w:adjustRightInd w:val="0"/>
                    <w:snapToGrid w:val="0"/>
                    <w:jc w:val="center"/>
                    <w:rPr>
                      <w:color w:val="auto"/>
                      <w:spacing w:val="-3"/>
                      <w:kern w:val="0"/>
                      <w:szCs w:val="21"/>
                      <w:highlight w:val="none"/>
                    </w:rPr>
                  </w:pPr>
                  <w:r>
                    <w:rPr>
                      <w:rFonts w:hint="eastAsia"/>
                      <w:color w:val="auto"/>
                      <w:spacing w:val="-3"/>
                      <w:kern w:val="0"/>
                      <w:szCs w:val="21"/>
                      <w:highlight w:val="none"/>
                    </w:rPr>
                    <w:t>80</w:t>
                  </w:r>
                </w:p>
              </w:tc>
            </w:tr>
            <w:tr w14:paraId="531707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5" w:type="pct"/>
                  <w:vMerge w:val="continue"/>
                  <w:vAlign w:val="center"/>
                </w:tcPr>
                <w:p w14:paraId="38CCF279">
                  <w:pPr>
                    <w:adjustRightInd w:val="0"/>
                    <w:snapToGrid w:val="0"/>
                    <w:jc w:val="center"/>
                    <w:rPr>
                      <w:color w:val="auto"/>
                      <w:spacing w:val="-3"/>
                      <w:kern w:val="0"/>
                      <w:szCs w:val="21"/>
                      <w:highlight w:val="none"/>
                    </w:rPr>
                  </w:pPr>
                </w:p>
              </w:tc>
              <w:tc>
                <w:tcPr>
                  <w:tcW w:w="798" w:type="pct"/>
                  <w:vAlign w:val="center"/>
                </w:tcPr>
                <w:p w14:paraId="297ECE92">
                  <w:pPr>
                    <w:adjustRightInd w:val="0"/>
                    <w:snapToGrid w:val="0"/>
                    <w:jc w:val="center"/>
                    <w:rPr>
                      <w:color w:val="auto"/>
                      <w:spacing w:val="-3"/>
                      <w:kern w:val="0"/>
                      <w:szCs w:val="21"/>
                      <w:highlight w:val="none"/>
                    </w:rPr>
                  </w:pPr>
                  <w:r>
                    <w:rPr>
                      <w:rFonts w:hint="eastAsia"/>
                      <w:color w:val="auto"/>
                      <w:spacing w:val="-3"/>
                      <w:kern w:val="0"/>
                      <w:szCs w:val="21"/>
                      <w:highlight w:val="none"/>
                    </w:rPr>
                    <w:t>新大光谷里公寓</w:t>
                  </w:r>
                </w:p>
              </w:tc>
              <w:tc>
                <w:tcPr>
                  <w:tcW w:w="493" w:type="pct"/>
                  <w:vAlign w:val="center"/>
                </w:tcPr>
                <w:p w14:paraId="00C77CE0">
                  <w:pPr>
                    <w:adjustRightInd w:val="0"/>
                    <w:snapToGrid w:val="0"/>
                    <w:jc w:val="center"/>
                    <w:rPr>
                      <w:color w:val="auto"/>
                      <w:spacing w:val="-3"/>
                      <w:kern w:val="0"/>
                      <w:szCs w:val="21"/>
                      <w:highlight w:val="none"/>
                    </w:rPr>
                  </w:pPr>
                  <w:r>
                    <w:rPr>
                      <w:rFonts w:hint="eastAsia"/>
                      <w:color w:val="auto"/>
                      <w:spacing w:val="-3"/>
                      <w:kern w:val="0"/>
                      <w:szCs w:val="21"/>
                      <w:highlight w:val="none"/>
                    </w:rPr>
                    <w:t>-110</w:t>
                  </w:r>
                </w:p>
              </w:tc>
              <w:tc>
                <w:tcPr>
                  <w:tcW w:w="444" w:type="pct"/>
                  <w:vAlign w:val="center"/>
                </w:tcPr>
                <w:p w14:paraId="000E5BF2">
                  <w:pPr>
                    <w:adjustRightInd w:val="0"/>
                    <w:snapToGrid w:val="0"/>
                    <w:jc w:val="center"/>
                    <w:rPr>
                      <w:color w:val="auto"/>
                      <w:spacing w:val="-3"/>
                      <w:kern w:val="0"/>
                      <w:szCs w:val="21"/>
                      <w:highlight w:val="none"/>
                    </w:rPr>
                  </w:pPr>
                  <w:r>
                    <w:rPr>
                      <w:rFonts w:hint="eastAsia"/>
                      <w:color w:val="auto"/>
                      <w:spacing w:val="-3"/>
                      <w:kern w:val="0"/>
                      <w:szCs w:val="21"/>
                      <w:highlight w:val="none"/>
                    </w:rPr>
                    <w:t>-120</w:t>
                  </w:r>
                </w:p>
              </w:tc>
              <w:tc>
                <w:tcPr>
                  <w:tcW w:w="564" w:type="pct"/>
                  <w:vAlign w:val="center"/>
                </w:tcPr>
                <w:p w14:paraId="41E9F9BA">
                  <w:pPr>
                    <w:adjustRightInd w:val="0"/>
                    <w:snapToGrid w:val="0"/>
                    <w:jc w:val="center"/>
                    <w:rPr>
                      <w:color w:val="auto"/>
                      <w:spacing w:val="-3"/>
                      <w:kern w:val="0"/>
                      <w:szCs w:val="21"/>
                      <w:highlight w:val="none"/>
                    </w:rPr>
                  </w:pPr>
                  <w:r>
                    <w:rPr>
                      <w:color w:val="auto"/>
                      <w:spacing w:val="-3"/>
                      <w:kern w:val="0"/>
                      <w:szCs w:val="21"/>
                      <w:highlight w:val="none"/>
                    </w:rPr>
                    <w:t>居民</w:t>
                  </w:r>
                </w:p>
              </w:tc>
              <w:tc>
                <w:tcPr>
                  <w:tcW w:w="488" w:type="pct"/>
                  <w:vMerge w:val="continue"/>
                  <w:vAlign w:val="center"/>
                </w:tcPr>
                <w:p w14:paraId="481E3D5B">
                  <w:pPr>
                    <w:adjustRightInd w:val="0"/>
                    <w:snapToGrid w:val="0"/>
                    <w:jc w:val="center"/>
                    <w:rPr>
                      <w:color w:val="auto"/>
                      <w:spacing w:val="-3"/>
                      <w:kern w:val="0"/>
                      <w:szCs w:val="21"/>
                      <w:highlight w:val="none"/>
                    </w:rPr>
                  </w:pPr>
                </w:p>
              </w:tc>
              <w:tc>
                <w:tcPr>
                  <w:tcW w:w="572" w:type="pct"/>
                  <w:vMerge w:val="continue"/>
                  <w:vAlign w:val="center"/>
                </w:tcPr>
                <w:p w14:paraId="4B24A526">
                  <w:pPr>
                    <w:adjustRightInd w:val="0"/>
                    <w:snapToGrid w:val="0"/>
                    <w:jc w:val="center"/>
                    <w:rPr>
                      <w:color w:val="auto"/>
                      <w:spacing w:val="-3"/>
                      <w:kern w:val="0"/>
                      <w:szCs w:val="21"/>
                      <w:highlight w:val="none"/>
                    </w:rPr>
                  </w:pPr>
                </w:p>
              </w:tc>
              <w:tc>
                <w:tcPr>
                  <w:tcW w:w="538" w:type="pct"/>
                  <w:vAlign w:val="center"/>
                </w:tcPr>
                <w:p w14:paraId="57E07B85">
                  <w:pPr>
                    <w:adjustRightInd w:val="0"/>
                    <w:snapToGrid w:val="0"/>
                    <w:jc w:val="center"/>
                    <w:rPr>
                      <w:color w:val="auto"/>
                      <w:spacing w:val="-3"/>
                      <w:kern w:val="0"/>
                      <w:szCs w:val="21"/>
                      <w:highlight w:val="none"/>
                    </w:rPr>
                  </w:pPr>
                  <w:r>
                    <w:rPr>
                      <w:rFonts w:hint="eastAsia"/>
                      <w:color w:val="auto"/>
                      <w:spacing w:val="-3"/>
                      <w:kern w:val="0"/>
                      <w:szCs w:val="21"/>
                      <w:highlight w:val="none"/>
                    </w:rPr>
                    <w:t>西南</w:t>
                  </w:r>
                </w:p>
              </w:tc>
              <w:tc>
                <w:tcPr>
                  <w:tcW w:w="703" w:type="pct"/>
                  <w:vAlign w:val="center"/>
                </w:tcPr>
                <w:p w14:paraId="59EF798D">
                  <w:pPr>
                    <w:adjustRightInd w:val="0"/>
                    <w:snapToGrid w:val="0"/>
                    <w:jc w:val="center"/>
                    <w:rPr>
                      <w:color w:val="auto"/>
                      <w:spacing w:val="-3"/>
                      <w:kern w:val="0"/>
                      <w:szCs w:val="21"/>
                      <w:highlight w:val="none"/>
                    </w:rPr>
                  </w:pPr>
                  <w:r>
                    <w:rPr>
                      <w:rFonts w:hint="eastAsia"/>
                      <w:color w:val="auto"/>
                      <w:spacing w:val="-3"/>
                      <w:kern w:val="0"/>
                      <w:szCs w:val="21"/>
                      <w:highlight w:val="none"/>
                    </w:rPr>
                    <w:t>190</w:t>
                  </w:r>
                </w:p>
              </w:tc>
            </w:tr>
            <w:tr w14:paraId="72E09A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5" w:type="pct"/>
                  <w:vAlign w:val="center"/>
                </w:tcPr>
                <w:p w14:paraId="3576DFC8">
                  <w:pPr>
                    <w:adjustRightInd w:val="0"/>
                    <w:snapToGrid w:val="0"/>
                    <w:jc w:val="center"/>
                    <w:rPr>
                      <w:color w:val="auto"/>
                      <w:spacing w:val="-3"/>
                      <w:kern w:val="0"/>
                      <w:szCs w:val="21"/>
                      <w:highlight w:val="none"/>
                    </w:rPr>
                  </w:pPr>
                  <w:r>
                    <w:rPr>
                      <w:rFonts w:hint="eastAsia"/>
                      <w:color w:val="auto"/>
                      <w:spacing w:val="-3"/>
                      <w:kern w:val="0"/>
                      <w:szCs w:val="21"/>
                      <w:highlight w:val="none"/>
                    </w:rPr>
                    <w:t>声环境</w:t>
                  </w:r>
                </w:p>
              </w:tc>
              <w:tc>
                <w:tcPr>
                  <w:tcW w:w="4604" w:type="pct"/>
                  <w:gridSpan w:val="8"/>
                  <w:vAlign w:val="center"/>
                </w:tcPr>
                <w:p w14:paraId="2C73D5DF">
                  <w:pPr>
                    <w:adjustRightInd w:val="0"/>
                    <w:snapToGrid w:val="0"/>
                    <w:jc w:val="center"/>
                    <w:rPr>
                      <w:color w:val="auto"/>
                      <w:spacing w:val="-3"/>
                      <w:kern w:val="0"/>
                      <w:szCs w:val="21"/>
                      <w:highlight w:val="none"/>
                    </w:rPr>
                  </w:pPr>
                  <w:r>
                    <w:rPr>
                      <w:rFonts w:hint="eastAsia"/>
                      <w:bCs/>
                      <w:color w:val="auto"/>
                      <w:szCs w:val="21"/>
                      <w:highlight w:val="none"/>
                    </w:rPr>
                    <w:t>本项目厂界外50m范围内无声</w:t>
                  </w:r>
                  <w:r>
                    <w:rPr>
                      <w:bCs/>
                      <w:color w:val="auto"/>
                      <w:szCs w:val="21"/>
                      <w:highlight w:val="none"/>
                    </w:rPr>
                    <w:t>环境保护目标</w:t>
                  </w:r>
                </w:p>
              </w:tc>
            </w:tr>
            <w:tr w14:paraId="7E55A8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395" w:type="pct"/>
                  <w:vAlign w:val="center"/>
                </w:tcPr>
                <w:p w14:paraId="2D87020B">
                  <w:pPr>
                    <w:adjustRightInd w:val="0"/>
                    <w:snapToGrid w:val="0"/>
                    <w:jc w:val="center"/>
                    <w:rPr>
                      <w:color w:val="auto"/>
                      <w:spacing w:val="-3"/>
                      <w:kern w:val="0"/>
                      <w:szCs w:val="21"/>
                      <w:highlight w:val="none"/>
                    </w:rPr>
                  </w:pPr>
                  <w:r>
                    <w:rPr>
                      <w:rFonts w:hint="eastAsia"/>
                      <w:color w:val="auto"/>
                      <w:spacing w:val="-3"/>
                      <w:kern w:val="0"/>
                      <w:szCs w:val="21"/>
                      <w:highlight w:val="none"/>
                    </w:rPr>
                    <w:t>地表水环境</w:t>
                  </w:r>
                </w:p>
              </w:tc>
              <w:tc>
                <w:tcPr>
                  <w:tcW w:w="4604" w:type="pct"/>
                  <w:gridSpan w:val="8"/>
                  <w:vAlign w:val="center"/>
                </w:tcPr>
                <w:p w14:paraId="2F66303F">
                  <w:pPr>
                    <w:spacing w:line="360" w:lineRule="auto"/>
                    <w:ind w:firstLine="420" w:firstLineChars="200"/>
                    <w:rPr>
                      <w:bCs/>
                      <w:color w:val="auto"/>
                      <w:szCs w:val="21"/>
                      <w:highlight w:val="none"/>
                    </w:rPr>
                  </w:pPr>
                  <w:r>
                    <w:rPr>
                      <w:rFonts w:hint="eastAsia"/>
                      <w:bCs/>
                      <w:color w:val="auto"/>
                      <w:szCs w:val="21"/>
                      <w:highlight w:val="none"/>
                    </w:rPr>
                    <w:t>本项目厂界外500m范围内</w:t>
                  </w:r>
                  <w:r>
                    <w:rPr>
                      <w:bCs/>
                      <w:color w:val="auto"/>
                      <w:szCs w:val="21"/>
                      <w:highlight w:val="none"/>
                    </w:rPr>
                    <w:t>不涉及饮用水水源保护区、饮用水取水口、涉水的自然保护区、风景名胜区、重要湿地、重点保护与珍稀水生生物的梄息地、重要水生生物的自然产卵场及索饵场、越冬场和洄游通道、天然渔场等渔业水体以及水产种质资源保护区等地表水环境保护目标。</w:t>
                  </w:r>
                </w:p>
              </w:tc>
            </w:tr>
            <w:tr w14:paraId="5965D1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395" w:type="pct"/>
                  <w:vAlign w:val="center"/>
                </w:tcPr>
                <w:p w14:paraId="374001E5">
                  <w:pPr>
                    <w:adjustRightInd w:val="0"/>
                    <w:snapToGrid w:val="0"/>
                    <w:jc w:val="center"/>
                    <w:rPr>
                      <w:color w:val="auto"/>
                      <w:spacing w:val="-3"/>
                      <w:kern w:val="0"/>
                      <w:szCs w:val="21"/>
                      <w:highlight w:val="none"/>
                    </w:rPr>
                  </w:pPr>
                  <w:r>
                    <w:rPr>
                      <w:rFonts w:hint="eastAsia"/>
                      <w:color w:val="auto"/>
                      <w:spacing w:val="-3"/>
                      <w:kern w:val="0"/>
                      <w:szCs w:val="21"/>
                      <w:highlight w:val="none"/>
                    </w:rPr>
                    <w:t>地下水环境</w:t>
                  </w:r>
                </w:p>
              </w:tc>
              <w:tc>
                <w:tcPr>
                  <w:tcW w:w="4604" w:type="pct"/>
                  <w:gridSpan w:val="8"/>
                  <w:vAlign w:val="center"/>
                </w:tcPr>
                <w:p w14:paraId="2D9572E7">
                  <w:pPr>
                    <w:spacing w:line="360" w:lineRule="auto"/>
                    <w:ind w:firstLine="420" w:firstLineChars="200"/>
                    <w:rPr>
                      <w:color w:val="auto"/>
                      <w:spacing w:val="-3"/>
                      <w:kern w:val="0"/>
                      <w:szCs w:val="21"/>
                      <w:highlight w:val="none"/>
                    </w:rPr>
                  </w:pPr>
                  <w:r>
                    <w:rPr>
                      <w:bCs/>
                      <w:color w:val="auto"/>
                      <w:szCs w:val="21"/>
                      <w:highlight w:val="none"/>
                    </w:rPr>
                    <w:t>项目厂界外500m范围内无地下水集中式、分散式饮用水水源和热水、矿泉水、温泉等特殊地下水资源。</w:t>
                  </w:r>
                </w:p>
              </w:tc>
            </w:tr>
            <w:tr w14:paraId="78F657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5" w:type="pct"/>
                  <w:vAlign w:val="center"/>
                </w:tcPr>
                <w:p w14:paraId="32119DFD">
                  <w:pPr>
                    <w:adjustRightInd w:val="0"/>
                    <w:snapToGrid w:val="0"/>
                    <w:jc w:val="center"/>
                    <w:rPr>
                      <w:color w:val="auto"/>
                      <w:spacing w:val="-3"/>
                      <w:kern w:val="0"/>
                      <w:szCs w:val="21"/>
                      <w:highlight w:val="none"/>
                    </w:rPr>
                  </w:pPr>
                  <w:r>
                    <w:rPr>
                      <w:rFonts w:hint="eastAsia"/>
                      <w:color w:val="auto"/>
                      <w:spacing w:val="-3"/>
                      <w:kern w:val="0"/>
                      <w:szCs w:val="21"/>
                      <w:highlight w:val="none"/>
                    </w:rPr>
                    <w:t>生态环境</w:t>
                  </w:r>
                </w:p>
              </w:tc>
              <w:tc>
                <w:tcPr>
                  <w:tcW w:w="4604" w:type="pct"/>
                  <w:gridSpan w:val="8"/>
                  <w:vAlign w:val="center"/>
                </w:tcPr>
                <w:p w14:paraId="68E6CA93">
                  <w:pPr>
                    <w:adjustRightInd w:val="0"/>
                    <w:snapToGrid w:val="0"/>
                    <w:spacing w:line="360" w:lineRule="auto"/>
                    <w:ind w:firstLine="420" w:firstLineChars="200"/>
                    <w:rPr>
                      <w:color w:val="auto"/>
                      <w:spacing w:val="-3"/>
                      <w:kern w:val="0"/>
                      <w:szCs w:val="21"/>
                      <w:highlight w:val="none"/>
                    </w:rPr>
                  </w:pPr>
                  <w:r>
                    <w:rPr>
                      <w:color w:val="auto"/>
                      <w:szCs w:val="21"/>
                      <w:highlight w:val="none"/>
                    </w:rPr>
                    <w:t>本项目经营场所位于长春市高新开发区光谷大街866号1号办公楼，用地范围内不涉及生态环境保护目标。</w:t>
                  </w:r>
                </w:p>
              </w:tc>
            </w:tr>
          </w:tbl>
          <w:p w14:paraId="1D7B10CC">
            <w:pPr>
              <w:spacing w:line="360" w:lineRule="auto"/>
              <w:ind w:firstLine="480"/>
              <w:rPr>
                <w:color w:val="auto"/>
                <w:highlight w:val="none"/>
              </w:rPr>
            </w:pPr>
          </w:p>
        </w:tc>
      </w:tr>
      <w:tr w14:paraId="13AD8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Mar>
              <w:left w:w="28" w:type="dxa"/>
              <w:right w:w="28" w:type="dxa"/>
            </w:tcMar>
            <w:vAlign w:val="center"/>
          </w:tcPr>
          <w:p w14:paraId="58EA51BF">
            <w:pPr>
              <w:adjustRightInd w:val="0"/>
              <w:snapToGrid w:val="0"/>
              <w:jc w:val="center"/>
              <w:rPr>
                <w:color w:val="auto"/>
                <w:kern w:val="0"/>
                <w:szCs w:val="21"/>
                <w:highlight w:val="none"/>
              </w:rPr>
            </w:pPr>
            <w:r>
              <w:rPr>
                <w:color w:val="auto"/>
                <w:kern w:val="0"/>
                <w:szCs w:val="21"/>
                <w:highlight w:val="none"/>
              </w:rPr>
              <w:t>污染</w:t>
            </w:r>
          </w:p>
          <w:p w14:paraId="304EEE78">
            <w:pPr>
              <w:adjustRightInd w:val="0"/>
              <w:snapToGrid w:val="0"/>
              <w:jc w:val="center"/>
              <w:rPr>
                <w:color w:val="auto"/>
                <w:kern w:val="0"/>
                <w:szCs w:val="21"/>
                <w:highlight w:val="none"/>
              </w:rPr>
            </w:pPr>
            <w:r>
              <w:rPr>
                <w:color w:val="auto"/>
                <w:kern w:val="0"/>
                <w:szCs w:val="21"/>
                <w:highlight w:val="none"/>
              </w:rPr>
              <w:t>物排</w:t>
            </w:r>
          </w:p>
          <w:p w14:paraId="5F1F4284">
            <w:pPr>
              <w:adjustRightInd w:val="0"/>
              <w:snapToGrid w:val="0"/>
              <w:jc w:val="center"/>
              <w:rPr>
                <w:color w:val="auto"/>
                <w:kern w:val="0"/>
                <w:szCs w:val="21"/>
                <w:highlight w:val="none"/>
              </w:rPr>
            </w:pPr>
            <w:r>
              <w:rPr>
                <w:color w:val="auto"/>
                <w:kern w:val="0"/>
                <w:szCs w:val="21"/>
                <w:highlight w:val="none"/>
              </w:rPr>
              <w:t>放控</w:t>
            </w:r>
          </w:p>
          <w:p w14:paraId="4D47A263">
            <w:pPr>
              <w:adjustRightInd w:val="0"/>
              <w:snapToGrid w:val="0"/>
              <w:jc w:val="center"/>
              <w:rPr>
                <w:color w:val="auto"/>
                <w:kern w:val="0"/>
                <w:szCs w:val="21"/>
                <w:highlight w:val="none"/>
              </w:rPr>
            </w:pPr>
            <w:r>
              <w:rPr>
                <w:color w:val="auto"/>
                <w:kern w:val="0"/>
                <w:szCs w:val="21"/>
                <w:highlight w:val="none"/>
              </w:rPr>
              <w:t>制标</w:t>
            </w:r>
          </w:p>
          <w:p w14:paraId="502D8109">
            <w:pPr>
              <w:adjustRightInd w:val="0"/>
              <w:snapToGrid w:val="0"/>
              <w:jc w:val="center"/>
              <w:rPr>
                <w:color w:val="auto"/>
                <w:kern w:val="0"/>
                <w:szCs w:val="21"/>
                <w:highlight w:val="none"/>
              </w:rPr>
            </w:pPr>
            <w:r>
              <w:rPr>
                <w:color w:val="auto"/>
                <w:kern w:val="0"/>
                <w:szCs w:val="21"/>
                <w:highlight w:val="none"/>
              </w:rPr>
              <w:t>准</w:t>
            </w:r>
          </w:p>
        </w:tc>
        <w:tc>
          <w:tcPr>
            <w:tcW w:w="8190" w:type="dxa"/>
            <w:vAlign w:val="center"/>
          </w:tcPr>
          <w:p w14:paraId="7CBC24A3">
            <w:pPr>
              <w:snapToGrid w:val="0"/>
              <w:spacing w:line="360" w:lineRule="auto"/>
              <w:ind w:firstLine="482" w:firstLineChars="200"/>
              <w:rPr>
                <w:b/>
                <w:bCs/>
                <w:color w:val="auto"/>
                <w:sz w:val="24"/>
                <w:highlight w:val="none"/>
              </w:rPr>
            </w:pPr>
            <w:r>
              <w:rPr>
                <w:b/>
                <w:bCs/>
                <w:color w:val="auto"/>
                <w:sz w:val="24"/>
                <w:highlight w:val="none"/>
              </w:rPr>
              <w:t>1</w:t>
            </w:r>
            <w:r>
              <w:rPr>
                <w:rFonts w:hint="eastAsia"/>
                <w:b/>
                <w:bCs/>
                <w:color w:val="auto"/>
                <w:sz w:val="24"/>
                <w:highlight w:val="none"/>
              </w:rPr>
              <w:t>、</w:t>
            </w:r>
            <w:r>
              <w:rPr>
                <w:b/>
                <w:bCs/>
                <w:color w:val="auto"/>
                <w:sz w:val="24"/>
                <w:highlight w:val="none"/>
              </w:rPr>
              <w:t>废气</w:t>
            </w:r>
          </w:p>
          <w:p w14:paraId="58D67068">
            <w:pPr>
              <w:widowControl/>
              <w:spacing w:line="360" w:lineRule="auto"/>
              <w:ind w:firstLine="480" w:firstLineChars="200"/>
              <w:rPr>
                <w:color w:val="auto"/>
                <w:sz w:val="24"/>
                <w:highlight w:val="none"/>
              </w:rPr>
            </w:pPr>
            <w:r>
              <w:rPr>
                <w:color w:val="auto"/>
                <w:sz w:val="24"/>
                <w:highlight w:val="none"/>
              </w:rPr>
              <w:t>本项目</w:t>
            </w:r>
            <w:r>
              <w:rPr>
                <w:rFonts w:hint="eastAsia"/>
                <w:color w:val="auto"/>
                <w:sz w:val="24"/>
                <w:highlight w:val="none"/>
              </w:rPr>
              <w:t>产生的废气主要为污水处理站恶臭气体、中药室废气及食堂油烟。</w:t>
            </w:r>
          </w:p>
          <w:p w14:paraId="35A334E7">
            <w:pPr>
              <w:widowControl/>
              <w:spacing w:line="360" w:lineRule="auto"/>
              <w:ind w:left="420"/>
              <w:rPr>
                <w:color w:val="auto"/>
                <w:sz w:val="24"/>
                <w:highlight w:val="none"/>
              </w:rPr>
            </w:pPr>
            <w:r>
              <w:rPr>
                <w:rFonts w:hint="eastAsia"/>
                <w:color w:val="auto"/>
                <w:sz w:val="24"/>
                <w:highlight w:val="none"/>
              </w:rPr>
              <w:t>（1）恶臭气体</w:t>
            </w:r>
          </w:p>
          <w:p w14:paraId="513143B4">
            <w:pPr>
              <w:widowControl/>
              <w:spacing w:line="360" w:lineRule="auto"/>
              <w:ind w:firstLine="480" w:firstLineChars="200"/>
              <w:rPr>
                <w:color w:val="auto"/>
                <w:sz w:val="24"/>
                <w:highlight w:val="none"/>
              </w:rPr>
            </w:pPr>
            <w:r>
              <w:rPr>
                <w:color w:val="auto"/>
                <w:sz w:val="24"/>
                <w:highlight w:val="none"/>
              </w:rPr>
              <w:t>本项目污水处理站有组织排放的恶臭气体和医院厂界周围无组织排放的恶臭气体执行《恶臭污染物排放标准》（GB14554-93）中相关标准要求</w:t>
            </w:r>
            <w:r>
              <w:rPr>
                <w:rFonts w:hint="eastAsia"/>
                <w:color w:val="auto"/>
                <w:sz w:val="24"/>
                <w:highlight w:val="none"/>
              </w:rPr>
              <w:t>；污水处理站周边恶臭污染物</w:t>
            </w:r>
            <w:r>
              <w:rPr>
                <w:color w:val="auto"/>
                <w:sz w:val="24"/>
                <w:highlight w:val="none"/>
              </w:rPr>
              <w:t>排放浓度满足《医疗机构水污染物排放标准》（GB18466-2005）中</w:t>
            </w:r>
            <w:r>
              <w:rPr>
                <w:rFonts w:hint="eastAsia"/>
                <w:color w:val="auto"/>
                <w:sz w:val="24"/>
                <w:highlight w:val="none"/>
              </w:rPr>
              <w:t>“</w:t>
            </w:r>
            <w:r>
              <w:rPr>
                <w:color w:val="auto"/>
                <w:sz w:val="24"/>
                <w:highlight w:val="none"/>
              </w:rPr>
              <w:t>污水处理站周边大气污染物最高允许浓度</w:t>
            </w:r>
            <w:r>
              <w:rPr>
                <w:rFonts w:hint="eastAsia"/>
                <w:color w:val="auto"/>
                <w:sz w:val="24"/>
                <w:highlight w:val="none"/>
              </w:rPr>
              <w:t>”要求</w:t>
            </w:r>
            <w:r>
              <w:rPr>
                <w:color w:val="auto"/>
                <w:sz w:val="24"/>
                <w:highlight w:val="none"/>
              </w:rPr>
              <w:t>。</w:t>
            </w:r>
          </w:p>
          <w:p w14:paraId="69FF3CA9">
            <w:pPr>
              <w:autoSpaceDE w:val="0"/>
              <w:autoSpaceDN w:val="0"/>
              <w:adjustRightInd w:val="0"/>
              <w:jc w:val="center"/>
              <w:rPr>
                <w:b/>
                <w:bCs/>
                <w:color w:val="auto"/>
                <w:sz w:val="24"/>
                <w:highlight w:val="none"/>
              </w:rPr>
            </w:pPr>
            <w:r>
              <w:rPr>
                <w:b/>
                <w:bCs/>
                <w:color w:val="auto"/>
                <w:sz w:val="24"/>
                <w:highlight w:val="none"/>
              </w:rPr>
              <w:t>表3-</w:t>
            </w:r>
            <w:r>
              <w:rPr>
                <w:rFonts w:hint="eastAsia"/>
                <w:b/>
                <w:bCs/>
                <w:color w:val="auto"/>
                <w:sz w:val="24"/>
                <w:highlight w:val="none"/>
              </w:rPr>
              <w:t>4</w:t>
            </w:r>
            <w:r>
              <w:rPr>
                <w:b/>
                <w:bCs/>
                <w:color w:val="auto"/>
                <w:sz w:val="24"/>
                <w:highlight w:val="none"/>
              </w:rPr>
              <w:t xml:space="preserve"> </w:t>
            </w:r>
            <w:r>
              <w:rPr>
                <w:rFonts w:hint="eastAsia"/>
                <w:b/>
                <w:bCs/>
                <w:color w:val="auto"/>
                <w:sz w:val="24"/>
                <w:highlight w:val="none"/>
              </w:rPr>
              <w:t>恶臭污染物排放标准</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095"/>
              <w:gridCol w:w="2096"/>
              <w:gridCol w:w="2097"/>
              <w:gridCol w:w="2099"/>
            </w:tblGrid>
            <w:tr w14:paraId="1F155A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249" w:type="pct"/>
                  <w:vMerge w:val="restart"/>
                  <w:tcBorders>
                    <w:tl2br w:val="nil"/>
                    <w:tr2bl w:val="nil"/>
                  </w:tcBorders>
                  <w:shd w:val="clear" w:color="auto" w:fill="auto"/>
                  <w:vAlign w:val="center"/>
                </w:tcPr>
                <w:p w14:paraId="7FC70B4A">
                  <w:pPr>
                    <w:pStyle w:val="23"/>
                    <w:ind w:left="0" w:leftChars="0"/>
                    <w:jc w:val="center"/>
                    <w:rPr>
                      <w:b w:val="0"/>
                      <w:bCs/>
                      <w:color w:val="auto"/>
                      <w:szCs w:val="21"/>
                      <w:highlight w:val="none"/>
                    </w:rPr>
                  </w:pPr>
                  <w:r>
                    <w:rPr>
                      <w:b w:val="0"/>
                      <w:bCs/>
                      <w:color w:val="auto"/>
                      <w:szCs w:val="21"/>
                      <w:highlight w:val="none"/>
                    </w:rPr>
                    <w:t>控制项目</w:t>
                  </w:r>
                </w:p>
              </w:tc>
              <w:tc>
                <w:tcPr>
                  <w:tcW w:w="2499" w:type="pct"/>
                  <w:gridSpan w:val="2"/>
                  <w:tcBorders>
                    <w:tl2br w:val="nil"/>
                    <w:tr2bl w:val="nil"/>
                  </w:tcBorders>
                  <w:vAlign w:val="center"/>
                </w:tcPr>
                <w:p w14:paraId="1209054E">
                  <w:pPr>
                    <w:pStyle w:val="23"/>
                    <w:ind w:left="0" w:leftChars="0"/>
                    <w:jc w:val="center"/>
                    <w:rPr>
                      <w:b w:val="0"/>
                      <w:bCs/>
                      <w:color w:val="auto"/>
                      <w:szCs w:val="21"/>
                      <w:highlight w:val="none"/>
                    </w:rPr>
                  </w:pPr>
                  <w:r>
                    <w:rPr>
                      <w:rFonts w:hint="eastAsia"/>
                      <w:b w:val="0"/>
                      <w:bCs/>
                      <w:color w:val="auto"/>
                      <w:szCs w:val="21"/>
                      <w:highlight w:val="none"/>
                    </w:rPr>
                    <w:t>有组织排放限值</w:t>
                  </w:r>
                </w:p>
              </w:tc>
              <w:tc>
                <w:tcPr>
                  <w:tcW w:w="1251" w:type="pct"/>
                  <w:tcBorders>
                    <w:tl2br w:val="nil"/>
                    <w:tr2bl w:val="nil"/>
                  </w:tcBorders>
                  <w:vAlign w:val="center"/>
                </w:tcPr>
                <w:p w14:paraId="7F1D38B4">
                  <w:pPr>
                    <w:pStyle w:val="23"/>
                    <w:ind w:left="0" w:leftChars="0"/>
                    <w:jc w:val="center"/>
                    <w:rPr>
                      <w:b w:val="0"/>
                      <w:bCs/>
                      <w:color w:val="auto"/>
                      <w:szCs w:val="21"/>
                      <w:highlight w:val="none"/>
                    </w:rPr>
                  </w:pPr>
                  <w:r>
                    <w:rPr>
                      <w:rFonts w:hint="eastAsia"/>
                      <w:b w:val="0"/>
                      <w:bCs/>
                      <w:color w:val="auto"/>
                      <w:szCs w:val="21"/>
                      <w:highlight w:val="none"/>
                    </w:rPr>
                    <w:t>厂界标准限值</w:t>
                  </w:r>
                </w:p>
              </w:tc>
            </w:tr>
            <w:tr w14:paraId="0E1EE7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49" w:type="pct"/>
                  <w:vMerge w:val="continue"/>
                  <w:tcBorders>
                    <w:tl2br w:val="nil"/>
                    <w:tr2bl w:val="nil"/>
                  </w:tcBorders>
                  <w:shd w:val="clear" w:color="auto" w:fill="auto"/>
                  <w:vAlign w:val="center"/>
                </w:tcPr>
                <w:p w14:paraId="113E16A7">
                  <w:pPr>
                    <w:pStyle w:val="23"/>
                    <w:ind w:left="0" w:leftChars="0"/>
                    <w:jc w:val="center"/>
                    <w:rPr>
                      <w:b w:val="0"/>
                      <w:bCs/>
                      <w:color w:val="auto"/>
                      <w:szCs w:val="21"/>
                      <w:highlight w:val="none"/>
                    </w:rPr>
                  </w:pPr>
                </w:p>
              </w:tc>
              <w:tc>
                <w:tcPr>
                  <w:tcW w:w="1249" w:type="pct"/>
                  <w:tcBorders>
                    <w:tl2br w:val="nil"/>
                    <w:tr2bl w:val="nil"/>
                  </w:tcBorders>
                  <w:vAlign w:val="center"/>
                </w:tcPr>
                <w:p w14:paraId="15F7CDF3">
                  <w:pPr>
                    <w:pStyle w:val="23"/>
                    <w:ind w:left="0" w:leftChars="0"/>
                    <w:jc w:val="center"/>
                    <w:rPr>
                      <w:b w:val="0"/>
                      <w:bCs/>
                      <w:color w:val="auto"/>
                      <w:szCs w:val="21"/>
                      <w:highlight w:val="none"/>
                    </w:rPr>
                  </w:pPr>
                  <w:r>
                    <w:rPr>
                      <w:rFonts w:hint="eastAsia"/>
                      <w:b w:val="0"/>
                      <w:bCs/>
                      <w:color w:val="auto"/>
                      <w:szCs w:val="21"/>
                      <w:highlight w:val="none"/>
                    </w:rPr>
                    <w:t>排气筒高度</w:t>
                  </w:r>
                </w:p>
              </w:tc>
              <w:tc>
                <w:tcPr>
                  <w:tcW w:w="1250" w:type="pct"/>
                  <w:tcBorders>
                    <w:tl2br w:val="nil"/>
                    <w:tr2bl w:val="nil"/>
                  </w:tcBorders>
                  <w:vAlign w:val="center"/>
                </w:tcPr>
                <w:p w14:paraId="5EA4AF7A">
                  <w:pPr>
                    <w:pStyle w:val="23"/>
                    <w:ind w:left="0" w:leftChars="0"/>
                    <w:jc w:val="center"/>
                    <w:rPr>
                      <w:b w:val="0"/>
                      <w:bCs/>
                      <w:color w:val="auto"/>
                      <w:szCs w:val="21"/>
                      <w:highlight w:val="none"/>
                    </w:rPr>
                  </w:pPr>
                  <w:r>
                    <w:rPr>
                      <w:rFonts w:hint="eastAsia"/>
                      <w:b w:val="0"/>
                      <w:bCs/>
                      <w:color w:val="auto"/>
                      <w:szCs w:val="21"/>
                      <w:highlight w:val="none"/>
                    </w:rPr>
                    <w:t>排放速率（kg/h）</w:t>
                  </w:r>
                </w:p>
              </w:tc>
              <w:tc>
                <w:tcPr>
                  <w:tcW w:w="1251" w:type="pct"/>
                  <w:tcBorders>
                    <w:tl2br w:val="nil"/>
                    <w:tr2bl w:val="nil"/>
                  </w:tcBorders>
                  <w:vAlign w:val="center"/>
                </w:tcPr>
                <w:p w14:paraId="6EECD11B">
                  <w:pPr>
                    <w:pStyle w:val="23"/>
                    <w:ind w:left="0" w:leftChars="0"/>
                    <w:jc w:val="center"/>
                    <w:rPr>
                      <w:b w:val="0"/>
                      <w:bCs/>
                      <w:color w:val="auto"/>
                      <w:szCs w:val="21"/>
                      <w:highlight w:val="none"/>
                    </w:rPr>
                  </w:pPr>
                  <w:r>
                    <w:rPr>
                      <w:rFonts w:hint="eastAsia"/>
                      <w:b w:val="0"/>
                      <w:bCs/>
                      <w:color w:val="auto"/>
                      <w:szCs w:val="21"/>
                      <w:highlight w:val="none"/>
                    </w:rPr>
                    <w:t>浓度限值（</w:t>
                  </w:r>
                  <w:r>
                    <w:rPr>
                      <w:b w:val="0"/>
                      <w:bCs/>
                      <w:color w:val="auto"/>
                      <w:szCs w:val="21"/>
                      <w:highlight w:val="none"/>
                    </w:rPr>
                    <w:t>mg/m</w:t>
                  </w:r>
                  <w:r>
                    <w:rPr>
                      <w:rFonts w:hint="eastAsia"/>
                      <w:b w:val="0"/>
                      <w:bCs/>
                      <w:color w:val="auto"/>
                      <w:szCs w:val="21"/>
                      <w:highlight w:val="none"/>
                      <w:vertAlign w:val="superscript"/>
                    </w:rPr>
                    <w:t>3</w:t>
                  </w:r>
                  <w:r>
                    <w:rPr>
                      <w:rFonts w:hint="eastAsia"/>
                      <w:b w:val="0"/>
                      <w:bCs/>
                      <w:color w:val="auto"/>
                      <w:szCs w:val="21"/>
                      <w:highlight w:val="none"/>
                    </w:rPr>
                    <w:t>）</w:t>
                  </w:r>
                </w:p>
              </w:tc>
            </w:tr>
            <w:tr w14:paraId="7A4EBA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095" w:type="dxa"/>
                  <w:tcBorders>
                    <w:tl2br w:val="nil"/>
                    <w:tr2bl w:val="nil"/>
                  </w:tcBorders>
                  <w:shd w:val="clear" w:color="auto" w:fill="auto"/>
                  <w:vAlign w:val="center"/>
                </w:tcPr>
                <w:p w14:paraId="529D585B">
                  <w:pPr>
                    <w:jc w:val="center"/>
                    <w:rPr>
                      <w:bCs/>
                      <w:color w:val="auto"/>
                      <w:szCs w:val="21"/>
                      <w:highlight w:val="none"/>
                    </w:rPr>
                  </w:pPr>
                  <w:r>
                    <w:rPr>
                      <w:color w:val="auto"/>
                      <w:kern w:val="0"/>
                      <w:szCs w:val="21"/>
                      <w:highlight w:val="none"/>
                    </w:rPr>
                    <w:t>NH</w:t>
                  </w:r>
                  <w:r>
                    <w:rPr>
                      <w:color w:val="auto"/>
                      <w:kern w:val="0"/>
                      <w:szCs w:val="21"/>
                      <w:highlight w:val="none"/>
                      <w:vertAlign w:val="subscript"/>
                    </w:rPr>
                    <w:t>3</w:t>
                  </w:r>
                </w:p>
              </w:tc>
              <w:tc>
                <w:tcPr>
                  <w:tcW w:w="1249" w:type="pct"/>
                  <w:vMerge w:val="restart"/>
                  <w:tcBorders>
                    <w:tl2br w:val="nil"/>
                    <w:tr2bl w:val="nil"/>
                  </w:tcBorders>
                  <w:vAlign w:val="center"/>
                </w:tcPr>
                <w:p w14:paraId="795388E6">
                  <w:pPr>
                    <w:pStyle w:val="23"/>
                    <w:ind w:left="0" w:leftChars="0"/>
                    <w:jc w:val="center"/>
                    <w:rPr>
                      <w:b w:val="0"/>
                      <w:bCs/>
                      <w:color w:val="auto"/>
                      <w:szCs w:val="21"/>
                      <w:highlight w:val="none"/>
                    </w:rPr>
                  </w:pPr>
                  <w:r>
                    <w:rPr>
                      <w:rFonts w:hint="eastAsia"/>
                      <w:b w:val="0"/>
                      <w:bCs/>
                      <w:color w:val="auto"/>
                      <w:szCs w:val="21"/>
                      <w:highlight w:val="none"/>
                      <w:lang w:val="en-US" w:eastAsia="zh-CN"/>
                    </w:rPr>
                    <w:t>21</w:t>
                  </w:r>
                  <w:r>
                    <w:rPr>
                      <w:rFonts w:hint="eastAsia"/>
                      <w:b w:val="0"/>
                      <w:bCs/>
                      <w:color w:val="auto"/>
                      <w:szCs w:val="21"/>
                      <w:highlight w:val="none"/>
                    </w:rPr>
                    <w:t>m</w:t>
                  </w:r>
                </w:p>
              </w:tc>
              <w:tc>
                <w:tcPr>
                  <w:tcW w:w="1250" w:type="pct"/>
                  <w:tcBorders>
                    <w:tl2br w:val="nil"/>
                    <w:tr2bl w:val="nil"/>
                  </w:tcBorders>
                  <w:vAlign w:val="center"/>
                </w:tcPr>
                <w:p w14:paraId="14B7EAB3">
                  <w:pPr>
                    <w:pStyle w:val="23"/>
                    <w:ind w:left="0" w:leftChars="0"/>
                    <w:jc w:val="center"/>
                    <w:rPr>
                      <w:b w:val="0"/>
                      <w:bCs/>
                      <w:color w:val="auto"/>
                      <w:szCs w:val="21"/>
                      <w:highlight w:val="none"/>
                    </w:rPr>
                  </w:pPr>
                  <w:r>
                    <w:rPr>
                      <w:rFonts w:hint="eastAsia"/>
                      <w:b w:val="0"/>
                      <w:bCs/>
                      <w:color w:val="auto"/>
                      <w:szCs w:val="21"/>
                      <w:highlight w:val="none"/>
                    </w:rPr>
                    <w:t>8.7</w:t>
                  </w:r>
                </w:p>
              </w:tc>
              <w:tc>
                <w:tcPr>
                  <w:tcW w:w="1251" w:type="pct"/>
                  <w:tcBorders>
                    <w:tl2br w:val="nil"/>
                    <w:tr2bl w:val="nil"/>
                  </w:tcBorders>
                  <w:vAlign w:val="center"/>
                </w:tcPr>
                <w:p w14:paraId="6EB39457">
                  <w:pPr>
                    <w:pStyle w:val="23"/>
                    <w:ind w:left="0" w:leftChars="0"/>
                    <w:jc w:val="center"/>
                    <w:rPr>
                      <w:b w:val="0"/>
                      <w:bCs/>
                      <w:color w:val="auto"/>
                      <w:szCs w:val="21"/>
                      <w:highlight w:val="none"/>
                    </w:rPr>
                  </w:pPr>
                  <w:r>
                    <w:rPr>
                      <w:b w:val="0"/>
                      <w:bCs/>
                      <w:color w:val="auto"/>
                      <w:szCs w:val="21"/>
                      <w:highlight w:val="none"/>
                    </w:rPr>
                    <w:t>1</w:t>
                  </w:r>
                  <w:r>
                    <w:rPr>
                      <w:rFonts w:hint="eastAsia"/>
                      <w:b w:val="0"/>
                      <w:bCs/>
                      <w:color w:val="auto"/>
                      <w:szCs w:val="21"/>
                      <w:highlight w:val="none"/>
                    </w:rPr>
                    <w:t>.5</w:t>
                  </w:r>
                </w:p>
              </w:tc>
            </w:tr>
            <w:tr w14:paraId="0B6415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095" w:type="dxa"/>
                  <w:tcBorders>
                    <w:tl2br w:val="nil"/>
                    <w:tr2bl w:val="nil"/>
                  </w:tcBorders>
                  <w:shd w:val="clear" w:color="auto" w:fill="auto"/>
                  <w:vAlign w:val="center"/>
                </w:tcPr>
                <w:p w14:paraId="394651E2">
                  <w:pPr>
                    <w:jc w:val="center"/>
                    <w:rPr>
                      <w:bCs/>
                      <w:color w:val="auto"/>
                      <w:szCs w:val="21"/>
                      <w:highlight w:val="none"/>
                    </w:rPr>
                  </w:pPr>
                  <w:r>
                    <w:rPr>
                      <w:color w:val="auto"/>
                      <w:kern w:val="0"/>
                      <w:szCs w:val="21"/>
                      <w:highlight w:val="none"/>
                    </w:rPr>
                    <w:t>H</w:t>
                  </w:r>
                  <w:r>
                    <w:rPr>
                      <w:color w:val="auto"/>
                      <w:kern w:val="0"/>
                      <w:szCs w:val="21"/>
                      <w:highlight w:val="none"/>
                      <w:vertAlign w:val="subscript"/>
                    </w:rPr>
                    <w:t>2</w:t>
                  </w:r>
                  <w:r>
                    <w:rPr>
                      <w:color w:val="auto"/>
                      <w:kern w:val="0"/>
                      <w:szCs w:val="21"/>
                      <w:highlight w:val="none"/>
                    </w:rPr>
                    <w:t>S</w:t>
                  </w:r>
                </w:p>
              </w:tc>
              <w:tc>
                <w:tcPr>
                  <w:tcW w:w="1249" w:type="pct"/>
                  <w:vMerge w:val="continue"/>
                  <w:tcBorders>
                    <w:tl2br w:val="nil"/>
                    <w:tr2bl w:val="nil"/>
                  </w:tcBorders>
                  <w:vAlign w:val="center"/>
                </w:tcPr>
                <w:p w14:paraId="59C02E3B">
                  <w:pPr>
                    <w:pStyle w:val="23"/>
                    <w:ind w:left="0" w:leftChars="0"/>
                    <w:jc w:val="center"/>
                    <w:rPr>
                      <w:b w:val="0"/>
                      <w:bCs/>
                      <w:color w:val="auto"/>
                      <w:szCs w:val="21"/>
                      <w:highlight w:val="none"/>
                    </w:rPr>
                  </w:pPr>
                </w:p>
              </w:tc>
              <w:tc>
                <w:tcPr>
                  <w:tcW w:w="1250" w:type="pct"/>
                  <w:tcBorders>
                    <w:tl2br w:val="nil"/>
                    <w:tr2bl w:val="nil"/>
                  </w:tcBorders>
                  <w:vAlign w:val="center"/>
                </w:tcPr>
                <w:p w14:paraId="3CBA7330">
                  <w:pPr>
                    <w:pStyle w:val="23"/>
                    <w:ind w:left="0" w:leftChars="0"/>
                    <w:jc w:val="center"/>
                    <w:rPr>
                      <w:b w:val="0"/>
                      <w:bCs/>
                      <w:color w:val="auto"/>
                      <w:szCs w:val="21"/>
                      <w:highlight w:val="none"/>
                    </w:rPr>
                  </w:pPr>
                  <w:r>
                    <w:rPr>
                      <w:rFonts w:hint="eastAsia"/>
                      <w:b w:val="0"/>
                      <w:bCs/>
                      <w:color w:val="auto"/>
                      <w:szCs w:val="21"/>
                      <w:highlight w:val="none"/>
                    </w:rPr>
                    <w:t>0.58</w:t>
                  </w:r>
                </w:p>
              </w:tc>
              <w:tc>
                <w:tcPr>
                  <w:tcW w:w="1251" w:type="pct"/>
                  <w:tcBorders>
                    <w:tl2br w:val="nil"/>
                    <w:tr2bl w:val="nil"/>
                  </w:tcBorders>
                  <w:vAlign w:val="center"/>
                </w:tcPr>
                <w:p w14:paraId="57E1C58A">
                  <w:pPr>
                    <w:pStyle w:val="23"/>
                    <w:ind w:left="0" w:leftChars="0"/>
                    <w:jc w:val="center"/>
                    <w:rPr>
                      <w:b w:val="0"/>
                      <w:bCs/>
                      <w:color w:val="auto"/>
                      <w:szCs w:val="21"/>
                      <w:highlight w:val="none"/>
                    </w:rPr>
                  </w:pPr>
                  <w:r>
                    <w:rPr>
                      <w:rFonts w:hint="eastAsia"/>
                      <w:b w:val="0"/>
                      <w:bCs/>
                      <w:color w:val="auto"/>
                      <w:szCs w:val="21"/>
                      <w:highlight w:val="none"/>
                    </w:rPr>
                    <w:t>0.06</w:t>
                  </w:r>
                </w:p>
              </w:tc>
            </w:tr>
            <w:tr w14:paraId="52D886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249" w:type="pct"/>
                  <w:tcBorders>
                    <w:tl2br w:val="nil"/>
                    <w:tr2bl w:val="nil"/>
                  </w:tcBorders>
                  <w:shd w:val="clear" w:color="auto" w:fill="auto"/>
                  <w:vAlign w:val="center"/>
                </w:tcPr>
                <w:p w14:paraId="1997C036">
                  <w:pPr>
                    <w:pStyle w:val="23"/>
                    <w:ind w:left="0" w:leftChars="0"/>
                    <w:jc w:val="center"/>
                    <w:rPr>
                      <w:b w:val="0"/>
                      <w:bCs/>
                      <w:color w:val="auto"/>
                      <w:szCs w:val="21"/>
                      <w:highlight w:val="none"/>
                    </w:rPr>
                  </w:pPr>
                  <w:r>
                    <w:rPr>
                      <w:b w:val="0"/>
                      <w:bCs/>
                      <w:color w:val="auto"/>
                      <w:szCs w:val="21"/>
                      <w:highlight w:val="none"/>
                    </w:rPr>
                    <w:t>臭气浓度</w:t>
                  </w:r>
                </w:p>
              </w:tc>
              <w:tc>
                <w:tcPr>
                  <w:tcW w:w="1249" w:type="pct"/>
                  <w:vMerge w:val="continue"/>
                  <w:tcBorders>
                    <w:tl2br w:val="nil"/>
                    <w:tr2bl w:val="nil"/>
                  </w:tcBorders>
                  <w:vAlign w:val="center"/>
                </w:tcPr>
                <w:p w14:paraId="6DB58C84">
                  <w:pPr>
                    <w:pStyle w:val="23"/>
                    <w:ind w:left="0" w:leftChars="0"/>
                    <w:jc w:val="center"/>
                    <w:rPr>
                      <w:b w:val="0"/>
                      <w:bCs/>
                      <w:color w:val="auto"/>
                      <w:szCs w:val="21"/>
                      <w:highlight w:val="none"/>
                    </w:rPr>
                  </w:pPr>
                </w:p>
              </w:tc>
              <w:tc>
                <w:tcPr>
                  <w:tcW w:w="1250" w:type="pct"/>
                  <w:tcBorders>
                    <w:tl2br w:val="nil"/>
                    <w:tr2bl w:val="nil"/>
                  </w:tcBorders>
                  <w:vAlign w:val="center"/>
                </w:tcPr>
                <w:p w14:paraId="68DC86EE">
                  <w:pPr>
                    <w:pStyle w:val="23"/>
                    <w:ind w:left="0" w:leftChars="0"/>
                    <w:jc w:val="center"/>
                    <w:rPr>
                      <w:b w:val="0"/>
                      <w:bCs/>
                      <w:color w:val="auto"/>
                      <w:szCs w:val="21"/>
                      <w:highlight w:val="none"/>
                    </w:rPr>
                  </w:pPr>
                  <w:r>
                    <w:rPr>
                      <w:rFonts w:hint="eastAsia"/>
                      <w:b w:val="0"/>
                      <w:bCs/>
                      <w:color w:val="auto"/>
                      <w:szCs w:val="21"/>
                      <w:highlight w:val="none"/>
                    </w:rPr>
                    <w:t>2000（</w:t>
                  </w:r>
                  <w:r>
                    <w:rPr>
                      <w:b w:val="0"/>
                      <w:bCs/>
                      <w:color w:val="auto"/>
                      <w:szCs w:val="21"/>
                      <w:highlight w:val="none"/>
                    </w:rPr>
                    <w:t>无量纲</w:t>
                  </w:r>
                  <w:r>
                    <w:rPr>
                      <w:rFonts w:hint="eastAsia"/>
                      <w:b w:val="0"/>
                      <w:bCs/>
                      <w:color w:val="auto"/>
                      <w:szCs w:val="21"/>
                      <w:highlight w:val="none"/>
                    </w:rPr>
                    <w:t>）</w:t>
                  </w:r>
                </w:p>
              </w:tc>
              <w:tc>
                <w:tcPr>
                  <w:tcW w:w="1251" w:type="pct"/>
                  <w:tcBorders>
                    <w:tl2br w:val="nil"/>
                    <w:tr2bl w:val="nil"/>
                  </w:tcBorders>
                  <w:vAlign w:val="center"/>
                </w:tcPr>
                <w:p w14:paraId="6F3156B6">
                  <w:pPr>
                    <w:pStyle w:val="23"/>
                    <w:ind w:left="0" w:leftChars="0"/>
                    <w:jc w:val="center"/>
                    <w:rPr>
                      <w:b w:val="0"/>
                      <w:bCs/>
                      <w:color w:val="auto"/>
                      <w:szCs w:val="21"/>
                      <w:highlight w:val="none"/>
                    </w:rPr>
                  </w:pPr>
                  <w:r>
                    <w:rPr>
                      <w:rFonts w:hint="eastAsia"/>
                      <w:b w:val="0"/>
                      <w:bCs/>
                      <w:color w:val="auto"/>
                      <w:szCs w:val="21"/>
                      <w:highlight w:val="none"/>
                    </w:rPr>
                    <w:t>20（无量纲）</w:t>
                  </w:r>
                </w:p>
              </w:tc>
            </w:tr>
          </w:tbl>
          <w:p w14:paraId="57B7EB31">
            <w:pPr>
              <w:autoSpaceDE w:val="0"/>
              <w:autoSpaceDN w:val="0"/>
              <w:adjustRightInd w:val="0"/>
              <w:jc w:val="center"/>
              <w:rPr>
                <w:b/>
                <w:bCs/>
                <w:color w:val="auto"/>
                <w:sz w:val="24"/>
                <w:highlight w:val="none"/>
              </w:rPr>
            </w:pPr>
          </w:p>
          <w:p w14:paraId="45C6A1A6">
            <w:pPr>
              <w:autoSpaceDE w:val="0"/>
              <w:autoSpaceDN w:val="0"/>
              <w:adjustRightInd w:val="0"/>
              <w:jc w:val="center"/>
              <w:rPr>
                <w:b/>
                <w:bCs/>
                <w:color w:val="auto"/>
                <w:szCs w:val="21"/>
                <w:highlight w:val="none"/>
              </w:rPr>
            </w:pPr>
            <w:r>
              <w:rPr>
                <w:b/>
                <w:bCs/>
                <w:color w:val="auto"/>
                <w:sz w:val="24"/>
                <w:highlight w:val="none"/>
              </w:rPr>
              <w:t>表3-</w:t>
            </w:r>
            <w:r>
              <w:rPr>
                <w:rFonts w:hint="eastAsia"/>
                <w:b/>
                <w:bCs/>
                <w:color w:val="auto"/>
                <w:sz w:val="24"/>
                <w:highlight w:val="none"/>
              </w:rPr>
              <w:t>5</w:t>
            </w:r>
            <w:r>
              <w:rPr>
                <w:b/>
                <w:bCs/>
                <w:color w:val="auto"/>
                <w:sz w:val="24"/>
                <w:highlight w:val="none"/>
              </w:rPr>
              <w:t xml:space="preserve"> 污水处理站周边大气污染物最高允许浓度</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735"/>
              <w:gridCol w:w="1735"/>
              <w:gridCol w:w="2819"/>
              <w:gridCol w:w="2098"/>
            </w:tblGrid>
            <w:tr w14:paraId="6E8DA0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34" w:type="pct"/>
                  <w:tcBorders>
                    <w:tl2br w:val="nil"/>
                    <w:tr2bl w:val="nil"/>
                  </w:tcBorders>
                </w:tcPr>
                <w:p w14:paraId="703437E4">
                  <w:pPr>
                    <w:pStyle w:val="23"/>
                    <w:ind w:left="0" w:leftChars="0"/>
                    <w:jc w:val="center"/>
                    <w:rPr>
                      <w:b w:val="0"/>
                      <w:bCs/>
                      <w:color w:val="auto"/>
                      <w:szCs w:val="21"/>
                      <w:highlight w:val="none"/>
                    </w:rPr>
                  </w:pPr>
                  <w:r>
                    <w:rPr>
                      <w:b w:val="0"/>
                      <w:bCs/>
                      <w:color w:val="auto"/>
                      <w:szCs w:val="21"/>
                      <w:highlight w:val="none"/>
                    </w:rPr>
                    <w:t>序号</w:t>
                  </w:r>
                </w:p>
              </w:tc>
              <w:tc>
                <w:tcPr>
                  <w:tcW w:w="1034" w:type="pct"/>
                  <w:tcBorders>
                    <w:tl2br w:val="nil"/>
                    <w:tr2bl w:val="nil"/>
                  </w:tcBorders>
                </w:tcPr>
                <w:p w14:paraId="1E5116D3">
                  <w:pPr>
                    <w:pStyle w:val="23"/>
                    <w:ind w:left="0" w:leftChars="0"/>
                    <w:jc w:val="center"/>
                    <w:rPr>
                      <w:b w:val="0"/>
                      <w:bCs/>
                      <w:color w:val="auto"/>
                      <w:szCs w:val="21"/>
                      <w:highlight w:val="none"/>
                    </w:rPr>
                  </w:pPr>
                  <w:r>
                    <w:rPr>
                      <w:b w:val="0"/>
                      <w:bCs/>
                      <w:color w:val="auto"/>
                      <w:szCs w:val="21"/>
                      <w:highlight w:val="none"/>
                    </w:rPr>
                    <w:t>控制项目</w:t>
                  </w:r>
                </w:p>
              </w:tc>
              <w:tc>
                <w:tcPr>
                  <w:tcW w:w="1680" w:type="pct"/>
                  <w:tcBorders>
                    <w:tl2br w:val="nil"/>
                    <w:tr2bl w:val="nil"/>
                  </w:tcBorders>
                </w:tcPr>
                <w:p w14:paraId="27E54CD5">
                  <w:pPr>
                    <w:pStyle w:val="23"/>
                    <w:ind w:left="0" w:leftChars="0"/>
                    <w:jc w:val="center"/>
                    <w:rPr>
                      <w:b w:val="0"/>
                      <w:bCs/>
                      <w:color w:val="auto"/>
                      <w:szCs w:val="21"/>
                      <w:highlight w:val="none"/>
                    </w:rPr>
                  </w:pPr>
                  <w:r>
                    <w:rPr>
                      <w:b w:val="0"/>
                      <w:bCs/>
                      <w:color w:val="auto"/>
                      <w:szCs w:val="21"/>
                      <w:highlight w:val="none"/>
                    </w:rPr>
                    <w:t>单位</w:t>
                  </w:r>
                </w:p>
              </w:tc>
              <w:tc>
                <w:tcPr>
                  <w:tcW w:w="1250" w:type="pct"/>
                  <w:tcBorders>
                    <w:tl2br w:val="nil"/>
                    <w:tr2bl w:val="nil"/>
                  </w:tcBorders>
                </w:tcPr>
                <w:p w14:paraId="22C1595A">
                  <w:pPr>
                    <w:pStyle w:val="23"/>
                    <w:ind w:left="0" w:leftChars="0"/>
                    <w:jc w:val="center"/>
                    <w:rPr>
                      <w:b w:val="0"/>
                      <w:bCs/>
                      <w:color w:val="auto"/>
                      <w:szCs w:val="21"/>
                      <w:highlight w:val="none"/>
                    </w:rPr>
                  </w:pPr>
                  <w:r>
                    <w:rPr>
                      <w:b w:val="0"/>
                      <w:bCs/>
                      <w:color w:val="auto"/>
                      <w:szCs w:val="21"/>
                      <w:highlight w:val="none"/>
                    </w:rPr>
                    <w:t>标准值</w:t>
                  </w:r>
                </w:p>
              </w:tc>
            </w:tr>
            <w:tr w14:paraId="564DF6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34" w:type="pct"/>
                  <w:tcBorders>
                    <w:tl2br w:val="nil"/>
                    <w:tr2bl w:val="nil"/>
                  </w:tcBorders>
                </w:tcPr>
                <w:p w14:paraId="4A56CB53">
                  <w:pPr>
                    <w:pStyle w:val="23"/>
                    <w:ind w:left="0" w:leftChars="0"/>
                    <w:jc w:val="center"/>
                    <w:rPr>
                      <w:b w:val="0"/>
                      <w:bCs/>
                      <w:color w:val="auto"/>
                      <w:szCs w:val="21"/>
                      <w:highlight w:val="none"/>
                    </w:rPr>
                  </w:pPr>
                  <w:r>
                    <w:rPr>
                      <w:b w:val="0"/>
                      <w:bCs/>
                      <w:color w:val="auto"/>
                      <w:szCs w:val="21"/>
                      <w:highlight w:val="none"/>
                    </w:rPr>
                    <w:t>1</w:t>
                  </w:r>
                </w:p>
              </w:tc>
              <w:tc>
                <w:tcPr>
                  <w:tcW w:w="1735" w:type="dxa"/>
                  <w:tcBorders>
                    <w:tl2br w:val="nil"/>
                    <w:tr2bl w:val="nil"/>
                  </w:tcBorders>
                  <w:vAlign w:val="center"/>
                </w:tcPr>
                <w:p w14:paraId="7EC2FC66">
                  <w:pPr>
                    <w:jc w:val="center"/>
                    <w:rPr>
                      <w:bCs/>
                      <w:color w:val="auto"/>
                      <w:szCs w:val="21"/>
                      <w:highlight w:val="none"/>
                    </w:rPr>
                  </w:pPr>
                  <w:r>
                    <w:rPr>
                      <w:color w:val="auto"/>
                      <w:kern w:val="0"/>
                      <w:szCs w:val="21"/>
                      <w:highlight w:val="none"/>
                    </w:rPr>
                    <w:t>NH</w:t>
                  </w:r>
                  <w:r>
                    <w:rPr>
                      <w:color w:val="auto"/>
                      <w:kern w:val="0"/>
                      <w:szCs w:val="21"/>
                      <w:highlight w:val="none"/>
                      <w:vertAlign w:val="subscript"/>
                    </w:rPr>
                    <w:t>3</w:t>
                  </w:r>
                </w:p>
              </w:tc>
              <w:tc>
                <w:tcPr>
                  <w:tcW w:w="1680" w:type="pct"/>
                  <w:tcBorders>
                    <w:tl2br w:val="nil"/>
                    <w:tr2bl w:val="nil"/>
                  </w:tcBorders>
                </w:tcPr>
                <w:p w14:paraId="1959DFAD">
                  <w:pPr>
                    <w:pStyle w:val="23"/>
                    <w:ind w:left="0" w:leftChars="0"/>
                    <w:jc w:val="center"/>
                    <w:rPr>
                      <w:b w:val="0"/>
                      <w:bCs/>
                      <w:color w:val="auto"/>
                      <w:szCs w:val="21"/>
                      <w:highlight w:val="none"/>
                    </w:rPr>
                  </w:pPr>
                  <w:r>
                    <w:rPr>
                      <w:b w:val="0"/>
                      <w:bCs/>
                      <w:color w:val="auto"/>
                      <w:szCs w:val="21"/>
                      <w:highlight w:val="none"/>
                    </w:rPr>
                    <w:t>mg/m</w:t>
                  </w:r>
                  <w:r>
                    <w:rPr>
                      <w:rFonts w:hint="eastAsia"/>
                      <w:b w:val="0"/>
                      <w:bCs/>
                      <w:color w:val="auto"/>
                      <w:szCs w:val="21"/>
                      <w:highlight w:val="none"/>
                      <w:vertAlign w:val="superscript"/>
                    </w:rPr>
                    <w:t>3</w:t>
                  </w:r>
                </w:p>
              </w:tc>
              <w:tc>
                <w:tcPr>
                  <w:tcW w:w="1250" w:type="pct"/>
                  <w:tcBorders>
                    <w:tl2br w:val="nil"/>
                    <w:tr2bl w:val="nil"/>
                  </w:tcBorders>
                </w:tcPr>
                <w:p w14:paraId="27E6A4D3">
                  <w:pPr>
                    <w:pStyle w:val="23"/>
                    <w:ind w:left="0" w:leftChars="0"/>
                    <w:jc w:val="center"/>
                    <w:rPr>
                      <w:b w:val="0"/>
                      <w:bCs/>
                      <w:color w:val="auto"/>
                      <w:szCs w:val="21"/>
                      <w:highlight w:val="none"/>
                    </w:rPr>
                  </w:pPr>
                  <w:r>
                    <w:rPr>
                      <w:b w:val="0"/>
                      <w:bCs/>
                      <w:color w:val="auto"/>
                      <w:szCs w:val="21"/>
                      <w:highlight w:val="none"/>
                    </w:rPr>
                    <w:t>1.0</w:t>
                  </w:r>
                </w:p>
              </w:tc>
            </w:tr>
            <w:tr w14:paraId="11CA6E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34" w:type="pct"/>
                  <w:tcBorders>
                    <w:tl2br w:val="nil"/>
                    <w:tr2bl w:val="nil"/>
                  </w:tcBorders>
                </w:tcPr>
                <w:p w14:paraId="07EC55DC">
                  <w:pPr>
                    <w:pStyle w:val="23"/>
                    <w:ind w:left="0" w:leftChars="0"/>
                    <w:jc w:val="center"/>
                    <w:rPr>
                      <w:b w:val="0"/>
                      <w:bCs/>
                      <w:color w:val="auto"/>
                      <w:szCs w:val="21"/>
                      <w:highlight w:val="none"/>
                    </w:rPr>
                  </w:pPr>
                  <w:r>
                    <w:rPr>
                      <w:b w:val="0"/>
                      <w:bCs/>
                      <w:color w:val="auto"/>
                      <w:szCs w:val="21"/>
                      <w:highlight w:val="none"/>
                    </w:rPr>
                    <w:t>2</w:t>
                  </w:r>
                </w:p>
              </w:tc>
              <w:tc>
                <w:tcPr>
                  <w:tcW w:w="1735" w:type="dxa"/>
                  <w:tcBorders>
                    <w:tl2br w:val="nil"/>
                    <w:tr2bl w:val="nil"/>
                  </w:tcBorders>
                  <w:vAlign w:val="center"/>
                </w:tcPr>
                <w:p w14:paraId="10A68848">
                  <w:pPr>
                    <w:jc w:val="center"/>
                    <w:rPr>
                      <w:bCs/>
                      <w:color w:val="auto"/>
                      <w:szCs w:val="21"/>
                      <w:highlight w:val="none"/>
                    </w:rPr>
                  </w:pPr>
                  <w:r>
                    <w:rPr>
                      <w:color w:val="auto"/>
                      <w:kern w:val="0"/>
                      <w:szCs w:val="21"/>
                      <w:highlight w:val="none"/>
                    </w:rPr>
                    <w:t>H</w:t>
                  </w:r>
                  <w:r>
                    <w:rPr>
                      <w:color w:val="auto"/>
                      <w:kern w:val="0"/>
                      <w:szCs w:val="21"/>
                      <w:highlight w:val="none"/>
                      <w:vertAlign w:val="subscript"/>
                    </w:rPr>
                    <w:t>2</w:t>
                  </w:r>
                  <w:r>
                    <w:rPr>
                      <w:color w:val="auto"/>
                      <w:kern w:val="0"/>
                      <w:szCs w:val="21"/>
                      <w:highlight w:val="none"/>
                    </w:rPr>
                    <w:t>S</w:t>
                  </w:r>
                </w:p>
              </w:tc>
              <w:tc>
                <w:tcPr>
                  <w:tcW w:w="1680" w:type="pct"/>
                  <w:tcBorders>
                    <w:tl2br w:val="nil"/>
                    <w:tr2bl w:val="nil"/>
                  </w:tcBorders>
                </w:tcPr>
                <w:p w14:paraId="5FC6DDD6">
                  <w:pPr>
                    <w:pStyle w:val="23"/>
                    <w:ind w:left="0" w:leftChars="0"/>
                    <w:jc w:val="center"/>
                    <w:rPr>
                      <w:b w:val="0"/>
                      <w:bCs/>
                      <w:color w:val="auto"/>
                      <w:szCs w:val="21"/>
                      <w:highlight w:val="none"/>
                    </w:rPr>
                  </w:pPr>
                  <w:r>
                    <w:rPr>
                      <w:b w:val="0"/>
                      <w:bCs/>
                      <w:color w:val="auto"/>
                      <w:szCs w:val="21"/>
                      <w:highlight w:val="none"/>
                    </w:rPr>
                    <w:t>mg/m</w:t>
                  </w:r>
                  <w:r>
                    <w:rPr>
                      <w:rFonts w:hint="eastAsia"/>
                      <w:b w:val="0"/>
                      <w:bCs/>
                      <w:color w:val="auto"/>
                      <w:szCs w:val="21"/>
                      <w:highlight w:val="none"/>
                      <w:vertAlign w:val="superscript"/>
                    </w:rPr>
                    <w:t>3</w:t>
                  </w:r>
                </w:p>
              </w:tc>
              <w:tc>
                <w:tcPr>
                  <w:tcW w:w="1250" w:type="pct"/>
                  <w:tcBorders>
                    <w:tl2br w:val="nil"/>
                    <w:tr2bl w:val="nil"/>
                  </w:tcBorders>
                </w:tcPr>
                <w:p w14:paraId="6B3956F9">
                  <w:pPr>
                    <w:pStyle w:val="23"/>
                    <w:ind w:left="0" w:leftChars="0"/>
                    <w:jc w:val="center"/>
                    <w:rPr>
                      <w:b w:val="0"/>
                      <w:bCs/>
                      <w:color w:val="auto"/>
                      <w:szCs w:val="21"/>
                      <w:highlight w:val="none"/>
                    </w:rPr>
                  </w:pPr>
                  <w:r>
                    <w:rPr>
                      <w:b w:val="0"/>
                      <w:bCs/>
                      <w:color w:val="auto"/>
                      <w:szCs w:val="21"/>
                      <w:highlight w:val="none"/>
                    </w:rPr>
                    <w:t>0.03</w:t>
                  </w:r>
                </w:p>
              </w:tc>
            </w:tr>
            <w:tr w14:paraId="616099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34" w:type="pct"/>
                  <w:tcBorders>
                    <w:tl2br w:val="nil"/>
                    <w:tr2bl w:val="nil"/>
                  </w:tcBorders>
                </w:tcPr>
                <w:p w14:paraId="1DFBB2C1">
                  <w:pPr>
                    <w:pStyle w:val="23"/>
                    <w:ind w:left="0" w:leftChars="0"/>
                    <w:jc w:val="center"/>
                    <w:rPr>
                      <w:b w:val="0"/>
                      <w:bCs/>
                      <w:color w:val="auto"/>
                      <w:szCs w:val="21"/>
                      <w:highlight w:val="none"/>
                    </w:rPr>
                  </w:pPr>
                  <w:r>
                    <w:rPr>
                      <w:b w:val="0"/>
                      <w:bCs/>
                      <w:color w:val="auto"/>
                      <w:szCs w:val="21"/>
                      <w:highlight w:val="none"/>
                    </w:rPr>
                    <w:t>3</w:t>
                  </w:r>
                </w:p>
              </w:tc>
              <w:tc>
                <w:tcPr>
                  <w:tcW w:w="1034" w:type="pct"/>
                  <w:tcBorders>
                    <w:tl2br w:val="nil"/>
                    <w:tr2bl w:val="nil"/>
                  </w:tcBorders>
                </w:tcPr>
                <w:p w14:paraId="5C055773">
                  <w:pPr>
                    <w:pStyle w:val="23"/>
                    <w:ind w:left="0" w:leftChars="0"/>
                    <w:jc w:val="center"/>
                    <w:rPr>
                      <w:b w:val="0"/>
                      <w:bCs/>
                      <w:color w:val="auto"/>
                      <w:szCs w:val="21"/>
                      <w:highlight w:val="none"/>
                    </w:rPr>
                  </w:pPr>
                  <w:r>
                    <w:rPr>
                      <w:b w:val="0"/>
                      <w:bCs/>
                      <w:color w:val="auto"/>
                      <w:szCs w:val="21"/>
                      <w:highlight w:val="none"/>
                    </w:rPr>
                    <w:t>臭气浓度</w:t>
                  </w:r>
                </w:p>
              </w:tc>
              <w:tc>
                <w:tcPr>
                  <w:tcW w:w="1680" w:type="pct"/>
                  <w:tcBorders>
                    <w:tl2br w:val="nil"/>
                    <w:tr2bl w:val="nil"/>
                  </w:tcBorders>
                </w:tcPr>
                <w:p w14:paraId="53F8BF9A">
                  <w:pPr>
                    <w:pStyle w:val="23"/>
                    <w:ind w:left="0" w:leftChars="0"/>
                    <w:jc w:val="center"/>
                    <w:rPr>
                      <w:b w:val="0"/>
                      <w:bCs/>
                      <w:color w:val="auto"/>
                      <w:szCs w:val="21"/>
                      <w:highlight w:val="none"/>
                    </w:rPr>
                  </w:pPr>
                  <w:r>
                    <w:rPr>
                      <w:b w:val="0"/>
                      <w:bCs/>
                      <w:color w:val="auto"/>
                      <w:szCs w:val="21"/>
                      <w:highlight w:val="none"/>
                    </w:rPr>
                    <w:t>无量纲</w:t>
                  </w:r>
                </w:p>
              </w:tc>
              <w:tc>
                <w:tcPr>
                  <w:tcW w:w="1250" w:type="pct"/>
                  <w:tcBorders>
                    <w:tl2br w:val="nil"/>
                    <w:tr2bl w:val="nil"/>
                  </w:tcBorders>
                </w:tcPr>
                <w:p w14:paraId="08DB5535">
                  <w:pPr>
                    <w:pStyle w:val="23"/>
                    <w:ind w:left="0" w:leftChars="0"/>
                    <w:jc w:val="center"/>
                    <w:rPr>
                      <w:b w:val="0"/>
                      <w:bCs/>
                      <w:color w:val="auto"/>
                      <w:szCs w:val="21"/>
                      <w:highlight w:val="none"/>
                    </w:rPr>
                  </w:pPr>
                  <w:r>
                    <w:rPr>
                      <w:b w:val="0"/>
                      <w:bCs/>
                      <w:color w:val="auto"/>
                      <w:szCs w:val="21"/>
                      <w:highlight w:val="none"/>
                    </w:rPr>
                    <w:t>10</w:t>
                  </w:r>
                </w:p>
              </w:tc>
            </w:tr>
          </w:tbl>
          <w:p w14:paraId="51DCC73D">
            <w:pPr>
              <w:widowControl/>
              <w:spacing w:line="360" w:lineRule="auto"/>
              <w:ind w:left="420"/>
              <w:jc w:val="left"/>
              <w:rPr>
                <w:color w:val="auto"/>
                <w:sz w:val="24"/>
                <w:highlight w:val="none"/>
              </w:rPr>
            </w:pPr>
          </w:p>
          <w:p w14:paraId="6AB80E92">
            <w:pPr>
              <w:widowControl/>
              <w:spacing w:line="360" w:lineRule="auto"/>
              <w:ind w:left="420"/>
              <w:jc w:val="left"/>
              <w:rPr>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）中药室</w:t>
            </w:r>
            <w:r>
              <w:rPr>
                <w:color w:val="auto"/>
                <w:sz w:val="24"/>
                <w:highlight w:val="none"/>
              </w:rPr>
              <w:t>废气</w:t>
            </w:r>
          </w:p>
          <w:p w14:paraId="2C3950DE">
            <w:pPr>
              <w:snapToGrid w:val="0"/>
              <w:spacing w:line="360" w:lineRule="auto"/>
              <w:ind w:firstLine="480" w:firstLineChars="200"/>
              <w:jc w:val="left"/>
              <w:rPr>
                <w:rFonts w:hint="eastAsia"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szCs w:val="24"/>
                <w:highlight w:val="none"/>
                <w:u w:val="none" w:color="auto"/>
                <w:lang w:val="en-US" w:eastAsia="zh-CN"/>
              </w:rPr>
              <w:t>本项目</w:t>
            </w:r>
            <w:r>
              <w:rPr>
                <w:rFonts w:hint="eastAsia" w:cs="Times New Roman"/>
                <w:color w:val="auto"/>
                <w:sz w:val="24"/>
                <w:szCs w:val="24"/>
                <w:highlight w:val="none"/>
                <w:u w:val="none" w:color="auto"/>
                <w:lang w:val="en-US" w:eastAsia="zh-CN"/>
              </w:rPr>
              <w:t>中药室废气主要为煎药室异味，成分主要为水蒸气蒸发带出的中药异味，以臭气浓度计，煎药室所用药材多为草药，无有毒有害气体，中药室废气经集气罩收集+活性炭吸附后经高于楼顶约21m高排气筒DA003有组织排放，异味以臭气浓度计，废气执行</w:t>
            </w:r>
            <w:r>
              <w:rPr>
                <w:rFonts w:hint="eastAsia" w:ascii="Times New Roman" w:hAnsi="Times New Roman" w:eastAsia="宋体" w:cs="Times New Roman"/>
                <w:color w:val="auto"/>
                <w:sz w:val="24"/>
                <w:highlight w:val="none"/>
                <w:u w:val="none" w:color="auto"/>
              </w:rPr>
              <w:t>《</w:t>
            </w:r>
            <w:r>
              <w:rPr>
                <w:rFonts w:hint="eastAsia" w:cs="Times New Roman"/>
                <w:color w:val="auto"/>
                <w:sz w:val="24"/>
                <w:highlight w:val="none"/>
                <w:u w:val="none" w:color="auto"/>
                <w:lang w:eastAsia="zh-CN"/>
              </w:rPr>
              <w:t>恶臭污染物排放标准</w:t>
            </w:r>
            <w:r>
              <w:rPr>
                <w:rFonts w:hint="eastAsia" w:ascii="Times New Roman" w:hAnsi="Times New Roman" w:eastAsia="宋体" w:cs="Times New Roman"/>
                <w:color w:val="auto"/>
                <w:sz w:val="24"/>
                <w:highlight w:val="none"/>
                <w:u w:val="none" w:color="auto"/>
              </w:rPr>
              <w:t>》（GB1</w:t>
            </w:r>
            <w:r>
              <w:rPr>
                <w:rFonts w:hint="eastAsia" w:cs="Times New Roman"/>
                <w:color w:val="auto"/>
                <w:sz w:val="24"/>
                <w:highlight w:val="none"/>
                <w:u w:val="none" w:color="auto"/>
                <w:lang w:val="en-US" w:eastAsia="zh-CN"/>
              </w:rPr>
              <w:t>4554</w:t>
            </w:r>
            <w:r>
              <w:rPr>
                <w:rFonts w:hint="eastAsia" w:ascii="Times New Roman" w:hAnsi="Times New Roman" w:eastAsia="宋体" w:cs="Times New Roman"/>
                <w:color w:val="auto"/>
                <w:sz w:val="24"/>
                <w:highlight w:val="none"/>
                <w:u w:val="none" w:color="auto"/>
              </w:rPr>
              <w:t>-</w:t>
            </w:r>
            <w:r>
              <w:rPr>
                <w:rFonts w:hint="eastAsia" w:cs="Times New Roman"/>
                <w:color w:val="auto"/>
                <w:sz w:val="24"/>
                <w:highlight w:val="none"/>
                <w:u w:val="none" w:color="auto"/>
                <w:lang w:val="en-US" w:eastAsia="zh-CN"/>
              </w:rPr>
              <w:t>93</w:t>
            </w:r>
            <w:r>
              <w:rPr>
                <w:rFonts w:hint="eastAsia" w:ascii="Times New Roman" w:hAnsi="Times New Roman" w:eastAsia="宋体" w:cs="Times New Roman"/>
                <w:color w:val="auto"/>
                <w:sz w:val="24"/>
                <w:highlight w:val="none"/>
                <w:u w:val="none" w:color="auto"/>
              </w:rPr>
              <w:t>）</w:t>
            </w:r>
            <w:r>
              <w:rPr>
                <w:rFonts w:hint="eastAsia" w:cs="Times New Roman"/>
                <w:color w:val="auto"/>
                <w:sz w:val="24"/>
                <w:highlight w:val="none"/>
                <w:u w:val="none" w:color="auto"/>
                <w:lang w:val="en-US" w:eastAsia="zh-CN"/>
              </w:rPr>
              <w:t>标准值，</w:t>
            </w:r>
            <w:r>
              <w:rPr>
                <w:rFonts w:ascii="Times New Roman" w:hAnsi="Times New Roman" w:eastAsia="宋体" w:cs="Times New Roman"/>
                <w:color w:val="auto"/>
                <w:sz w:val="24"/>
                <w:highlight w:val="none"/>
                <w:u w:val="none" w:color="auto"/>
              </w:rPr>
              <w:t>标准值详见</w:t>
            </w:r>
            <w:r>
              <w:rPr>
                <w:rFonts w:hint="eastAsia" w:ascii="Times New Roman" w:hAnsi="Times New Roman" w:eastAsia="宋体" w:cs="Times New Roman"/>
                <w:color w:val="auto"/>
                <w:sz w:val="24"/>
                <w:highlight w:val="none"/>
                <w:u w:val="none" w:color="auto"/>
              </w:rPr>
              <w:t>下表</w:t>
            </w:r>
            <w:r>
              <w:rPr>
                <w:rFonts w:ascii="Times New Roman" w:hAnsi="Times New Roman" w:eastAsia="宋体" w:cs="Times New Roman"/>
                <w:color w:val="auto"/>
                <w:sz w:val="24"/>
                <w:highlight w:val="none"/>
                <w:u w:val="none" w:color="auto"/>
              </w:rPr>
              <w:t>。</w:t>
            </w:r>
          </w:p>
          <w:p w14:paraId="32FD1905">
            <w:pPr>
              <w:keepNext w:val="0"/>
              <w:keepLines w:val="0"/>
              <w:pageBreakBefore w:val="0"/>
              <w:widowControl w:val="0"/>
              <w:kinsoku/>
              <w:wordWrap/>
              <w:overflowPunct/>
              <w:topLinePunct w:val="0"/>
              <w:autoSpaceDE w:val="0"/>
              <w:autoSpaceDN w:val="0"/>
              <w:bidi w:val="0"/>
              <w:adjustRightInd w:val="0"/>
              <w:snapToGrid/>
              <w:spacing w:before="0"/>
              <w:jc w:val="center"/>
              <w:textAlignment w:val="auto"/>
              <w:rPr>
                <w:rFonts w:hint="default" w:ascii="Times New Roman" w:hAnsi="Times New Roman" w:eastAsia="宋体" w:cs="Times New Roman"/>
                <w:b/>
                <w:bCs/>
                <w:i w:val="0"/>
                <w:iCs w:val="0"/>
                <w:color w:val="auto"/>
                <w:sz w:val="24"/>
                <w:szCs w:val="24"/>
                <w:highlight w:val="none"/>
                <w:u w:val="none" w:color="auto"/>
                <w:lang w:val="en-US"/>
              </w:rPr>
            </w:pPr>
            <w:r>
              <w:rPr>
                <w:rFonts w:hint="eastAsia" w:ascii="Times New Roman" w:hAnsi="Times New Roman" w:eastAsia="宋体" w:cs="Times New Roman"/>
                <w:b/>
                <w:bCs/>
                <w:i w:val="0"/>
                <w:iCs w:val="0"/>
                <w:color w:val="auto"/>
                <w:sz w:val="24"/>
                <w:szCs w:val="24"/>
                <w:highlight w:val="none"/>
                <w:u w:val="none" w:color="auto"/>
              </w:rPr>
              <w:t>表</w:t>
            </w:r>
            <w:r>
              <w:rPr>
                <w:rFonts w:hint="eastAsia" w:ascii="Times New Roman" w:hAnsi="Times New Roman" w:eastAsia="宋体" w:cs="Times New Roman"/>
                <w:b/>
                <w:bCs/>
                <w:i w:val="0"/>
                <w:iCs w:val="0"/>
                <w:color w:val="auto"/>
                <w:sz w:val="24"/>
                <w:szCs w:val="24"/>
                <w:highlight w:val="none"/>
                <w:u w:val="none" w:color="auto"/>
                <w:lang w:val="en-US" w:eastAsia="zh-CN"/>
              </w:rPr>
              <w:t>3-</w:t>
            </w:r>
            <w:r>
              <w:rPr>
                <w:rFonts w:hint="eastAsia" w:cs="Times New Roman"/>
                <w:b/>
                <w:bCs/>
                <w:i w:val="0"/>
                <w:iCs w:val="0"/>
                <w:color w:val="auto"/>
                <w:sz w:val="24"/>
                <w:szCs w:val="24"/>
                <w:highlight w:val="none"/>
                <w:u w:val="none" w:color="auto"/>
                <w:lang w:val="en-US" w:eastAsia="zh-CN"/>
              </w:rPr>
              <w:t>8</w:t>
            </w:r>
            <w:r>
              <w:rPr>
                <w:rFonts w:hint="eastAsia" w:ascii="Times New Roman" w:hAnsi="Times New Roman" w:eastAsia="宋体" w:cs="Times New Roman"/>
                <w:b/>
                <w:bCs/>
                <w:i w:val="0"/>
                <w:iCs w:val="0"/>
                <w:color w:val="auto"/>
                <w:sz w:val="24"/>
                <w:szCs w:val="24"/>
                <w:highlight w:val="none"/>
                <w:u w:val="none" w:color="auto"/>
              </w:rPr>
              <w:t xml:space="preserve"> </w:t>
            </w:r>
            <w:r>
              <w:rPr>
                <w:rFonts w:hint="eastAsia" w:cs="Times New Roman"/>
                <w:b/>
                <w:bCs/>
                <w:i w:val="0"/>
                <w:iCs w:val="0"/>
                <w:color w:val="auto"/>
                <w:sz w:val="24"/>
                <w:szCs w:val="24"/>
                <w:highlight w:val="none"/>
                <w:u w:val="none" w:color="auto"/>
                <w:lang w:eastAsia="zh-CN"/>
              </w:rPr>
              <w:t>恶臭气体排放标准</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886"/>
              <w:gridCol w:w="2033"/>
              <w:gridCol w:w="1199"/>
              <w:gridCol w:w="3615"/>
            </w:tblGrid>
            <w:tr w14:paraId="7D8517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88" w:type="pct"/>
                  <w:tcBorders>
                    <w:top w:val="single" w:color="auto" w:sz="12" w:space="0"/>
                  </w:tcBorders>
                  <w:noWrap w:val="0"/>
                  <w:vAlign w:val="center"/>
                </w:tcPr>
                <w:p w14:paraId="02961676">
                  <w:pPr>
                    <w:pStyle w:val="64"/>
                    <w:jc w:val="center"/>
                    <w:rPr>
                      <w:rFonts w:hint="eastAsia"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序号</w:t>
                  </w:r>
                </w:p>
              </w:tc>
              <w:tc>
                <w:tcPr>
                  <w:tcW w:w="1740" w:type="pct"/>
                  <w:gridSpan w:val="2"/>
                  <w:tcBorders>
                    <w:top w:val="single" w:color="auto" w:sz="12" w:space="0"/>
                  </w:tcBorders>
                  <w:noWrap w:val="0"/>
                  <w:vAlign w:val="center"/>
                </w:tcPr>
                <w:p w14:paraId="57CDF8D4">
                  <w:pPr>
                    <w:pStyle w:val="64"/>
                    <w:jc w:val="center"/>
                    <w:rPr>
                      <w:rFonts w:hint="eastAsia" w:cs="Times New Roman"/>
                      <w:color w:val="auto"/>
                      <w:highlight w:val="none"/>
                      <w:u w:val="none" w:color="auto"/>
                      <w:lang w:eastAsia="zh-CN"/>
                    </w:rPr>
                  </w:pPr>
                  <w:r>
                    <w:rPr>
                      <w:rFonts w:hint="eastAsia" w:cs="Times New Roman"/>
                      <w:color w:val="auto"/>
                      <w:highlight w:val="none"/>
                      <w:u w:val="none" w:color="auto"/>
                      <w:lang w:val="en-US" w:eastAsia="zh-CN"/>
                    </w:rPr>
                    <w:t>污染物</w:t>
                  </w:r>
                </w:p>
              </w:tc>
              <w:tc>
                <w:tcPr>
                  <w:tcW w:w="715" w:type="pct"/>
                  <w:tcBorders>
                    <w:top w:val="single" w:color="auto" w:sz="12" w:space="0"/>
                    <w:bottom w:val="single" w:color="auto" w:sz="4" w:space="0"/>
                  </w:tcBorders>
                  <w:noWrap w:val="0"/>
                  <w:vAlign w:val="center"/>
                </w:tcPr>
                <w:p w14:paraId="611C5437">
                  <w:pPr>
                    <w:pStyle w:val="64"/>
                    <w:jc w:val="center"/>
                    <w:rPr>
                      <w:rFonts w:hint="eastAsia"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标准限值</w:t>
                  </w:r>
                </w:p>
              </w:tc>
              <w:tc>
                <w:tcPr>
                  <w:tcW w:w="2155" w:type="pct"/>
                  <w:tcBorders>
                    <w:top w:val="single" w:color="auto" w:sz="12" w:space="0"/>
                    <w:bottom w:val="single" w:color="auto" w:sz="4" w:space="0"/>
                  </w:tcBorders>
                  <w:noWrap w:val="0"/>
                  <w:vAlign w:val="center"/>
                </w:tcPr>
                <w:p w14:paraId="24C17D88">
                  <w:pPr>
                    <w:pStyle w:val="64"/>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标准来源</w:t>
                  </w:r>
                </w:p>
              </w:tc>
            </w:tr>
            <w:tr w14:paraId="3F6F35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388" w:type="pct"/>
                  <w:tcBorders>
                    <w:top w:val="single" w:color="auto" w:sz="4" w:space="0"/>
                  </w:tcBorders>
                  <w:noWrap w:val="0"/>
                  <w:vAlign w:val="center"/>
                </w:tcPr>
                <w:p w14:paraId="2F58C5F7">
                  <w:pPr>
                    <w:pStyle w:val="64"/>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1</w:t>
                  </w:r>
                </w:p>
              </w:tc>
              <w:tc>
                <w:tcPr>
                  <w:tcW w:w="528" w:type="pct"/>
                  <w:tcBorders>
                    <w:top w:val="single" w:color="auto" w:sz="4" w:space="0"/>
                    <w:bottom w:val="single" w:color="auto" w:sz="4" w:space="0"/>
                  </w:tcBorders>
                  <w:noWrap w:val="0"/>
                  <w:vAlign w:val="center"/>
                </w:tcPr>
                <w:p w14:paraId="6FF6E658">
                  <w:pPr>
                    <w:pStyle w:val="64"/>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有组织</w:t>
                  </w:r>
                </w:p>
              </w:tc>
              <w:tc>
                <w:tcPr>
                  <w:tcW w:w="1212" w:type="pct"/>
                  <w:tcBorders>
                    <w:top w:val="single" w:color="auto" w:sz="4" w:space="0"/>
                    <w:bottom w:val="single" w:color="auto" w:sz="4" w:space="0"/>
                  </w:tcBorders>
                  <w:noWrap w:val="0"/>
                  <w:vAlign w:val="center"/>
                </w:tcPr>
                <w:p w14:paraId="6AFF36EE">
                  <w:pPr>
                    <w:pStyle w:val="64"/>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臭气浓度（无量纲）</w:t>
                  </w:r>
                </w:p>
              </w:tc>
              <w:tc>
                <w:tcPr>
                  <w:tcW w:w="715" w:type="pct"/>
                  <w:tcBorders>
                    <w:top w:val="single" w:color="auto" w:sz="4" w:space="0"/>
                    <w:bottom w:val="single" w:color="auto" w:sz="4" w:space="0"/>
                  </w:tcBorders>
                  <w:noWrap w:val="0"/>
                  <w:vAlign w:val="center"/>
                </w:tcPr>
                <w:p w14:paraId="032104AA">
                  <w:pPr>
                    <w:pStyle w:val="64"/>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2000</w:t>
                  </w:r>
                </w:p>
              </w:tc>
              <w:tc>
                <w:tcPr>
                  <w:tcW w:w="2155" w:type="pct"/>
                  <w:noWrap w:val="0"/>
                  <w:vAlign w:val="center"/>
                </w:tcPr>
                <w:p w14:paraId="0DC5BF28">
                  <w:pPr>
                    <w:pStyle w:val="64"/>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《恶臭污染物排放标准》（GB14554-93）表2标准值</w:t>
                  </w:r>
                </w:p>
              </w:tc>
            </w:tr>
            <w:tr w14:paraId="4C8F06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388" w:type="pct"/>
                  <w:noWrap w:val="0"/>
                  <w:vAlign w:val="center"/>
                </w:tcPr>
                <w:p w14:paraId="659355A4">
                  <w:pPr>
                    <w:pStyle w:val="64"/>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2</w:t>
                  </w:r>
                </w:p>
              </w:tc>
              <w:tc>
                <w:tcPr>
                  <w:tcW w:w="528" w:type="pct"/>
                  <w:tcBorders>
                    <w:top w:val="single" w:color="auto" w:sz="4" w:space="0"/>
                  </w:tcBorders>
                  <w:noWrap w:val="0"/>
                  <w:vAlign w:val="center"/>
                </w:tcPr>
                <w:p w14:paraId="70C4E37C">
                  <w:pPr>
                    <w:pStyle w:val="64"/>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无组织</w:t>
                  </w:r>
                </w:p>
              </w:tc>
              <w:tc>
                <w:tcPr>
                  <w:tcW w:w="1212" w:type="pct"/>
                  <w:tcBorders>
                    <w:top w:val="single" w:color="auto" w:sz="4" w:space="0"/>
                  </w:tcBorders>
                  <w:noWrap w:val="0"/>
                  <w:vAlign w:val="center"/>
                </w:tcPr>
                <w:p w14:paraId="2D4CCC5A">
                  <w:pPr>
                    <w:pStyle w:val="64"/>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臭气浓度（无量纲）</w:t>
                  </w:r>
                </w:p>
              </w:tc>
              <w:tc>
                <w:tcPr>
                  <w:tcW w:w="715" w:type="pct"/>
                  <w:tcBorders>
                    <w:top w:val="single" w:color="auto" w:sz="4" w:space="0"/>
                  </w:tcBorders>
                  <w:noWrap w:val="0"/>
                  <w:vAlign w:val="center"/>
                </w:tcPr>
                <w:p w14:paraId="00097CAF">
                  <w:pPr>
                    <w:pStyle w:val="64"/>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20</w:t>
                  </w:r>
                </w:p>
              </w:tc>
              <w:tc>
                <w:tcPr>
                  <w:tcW w:w="2155" w:type="pct"/>
                  <w:noWrap w:val="0"/>
                  <w:vAlign w:val="center"/>
                </w:tcPr>
                <w:p w14:paraId="55F4DE13">
                  <w:pPr>
                    <w:pStyle w:val="64"/>
                    <w:jc w:val="center"/>
                    <w:rPr>
                      <w:rFonts w:hint="eastAsia"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《恶臭污染物排放标准》（GB14554-93）表</w:t>
                  </w:r>
                  <w:r>
                    <w:rPr>
                      <w:rFonts w:hint="eastAsia" w:cs="Times New Roman"/>
                      <w:color w:val="auto"/>
                      <w:highlight w:val="none"/>
                      <w:u w:val="none" w:color="auto"/>
                      <w:lang w:val="en-US" w:eastAsia="zh-CN"/>
                    </w:rPr>
                    <w:t>1</w:t>
                  </w:r>
                  <w:r>
                    <w:rPr>
                      <w:rFonts w:hint="default" w:ascii="Times New Roman" w:hAnsi="Times New Roman" w:eastAsia="宋体" w:cs="Times New Roman"/>
                      <w:color w:val="auto"/>
                      <w:highlight w:val="none"/>
                      <w:u w:val="none" w:color="auto"/>
                      <w:lang w:val="en-US" w:eastAsia="zh-CN"/>
                    </w:rPr>
                    <w:t>标准值</w:t>
                  </w:r>
                </w:p>
              </w:tc>
            </w:tr>
          </w:tbl>
          <w:p w14:paraId="48039508">
            <w:pPr>
              <w:snapToGrid w:val="0"/>
              <w:spacing w:line="360" w:lineRule="auto"/>
              <w:ind w:firstLine="482" w:firstLineChars="200"/>
              <w:jc w:val="left"/>
              <w:rPr>
                <w:b/>
                <w:bCs/>
                <w:color w:val="auto"/>
                <w:sz w:val="24"/>
                <w:highlight w:val="none"/>
              </w:rPr>
            </w:pPr>
          </w:p>
          <w:p w14:paraId="40A218E6">
            <w:pPr>
              <w:widowControl/>
              <w:spacing w:line="360" w:lineRule="auto"/>
              <w:ind w:left="420"/>
              <w:jc w:val="left"/>
              <w:rPr>
                <w:color w:val="auto"/>
                <w:sz w:val="24"/>
                <w:highlight w:val="none"/>
              </w:rPr>
            </w:pP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）食堂油烟</w:t>
            </w:r>
          </w:p>
          <w:p w14:paraId="25A2110A">
            <w:pPr>
              <w:snapToGrid w:val="0"/>
              <w:spacing w:line="360" w:lineRule="auto"/>
              <w:ind w:firstLine="480" w:firstLineChars="200"/>
              <w:jc w:val="left"/>
              <w:rPr>
                <w:color w:val="auto"/>
                <w:sz w:val="24"/>
                <w:highlight w:val="none"/>
              </w:rPr>
            </w:pPr>
            <w:r>
              <w:rPr>
                <w:color w:val="auto"/>
                <w:sz w:val="24"/>
                <w:highlight w:val="none"/>
              </w:rPr>
              <w:t>本项目</w:t>
            </w:r>
            <w:r>
              <w:rPr>
                <w:rFonts w:hint="eastAsia"/>
                <w:color w:val="auto"/>
                <w:sz w:val="24"/>
                <w:highlight w:val="none"/>
              </w:rPr>
              <w:t>食堂设置2个灶头，</w:t>
            </w:r>
            <w:r>
              <w:rPr>
                <w:rFonts w:hint="eastAsia"/>
                <w:color w:val="auto"/>
                <w:sz w:val="24"/>
                <w:highlight w:val="none"/>
              </w:rPr>
              <w:t>属于小型食堂，</w:t>
            </w:r>
            <w:r>
              <w:rPr>
                <w:rFonts w:hint="eastAsia"/>
                <w:color w:val="auto"/>
                <w:sz w:val="24"/>
                <w:highlight w:val="none"/>
              </w:rPr>
              <w:t>食堂油烟参照执行《饮食业油烟排放标准（试行）》（GB18483-2001）小型规模标准限值要求，</w:t>
            </w:r>
            <w:r>
              <w:rPr>
                <w:color w:val="auto"/>
                <w:sz w:val="24"/>
                <w:highlight w:val="none"/>
              </w:rPr>
              <w:t>标准值详见</w:t>
            </w:r>
            <w:r>
              <w:rPr>
                <w:rFonts w:hint="eastAsia"/>
                <w:color w:val="auto"/>
                <w:sz w:val="24"/>
                <w:highlight w:val="none"/>
              </w:rPr>
              <w:t>下表</w:t>
            </w:r>
            <w:r>
              <w:rPr>
                <w:color w:val="auto"/>
                <w:sz w:val="24"/>
                <w:highlight w:val="none"/>
              </w:rPr>
              <w:t>。</w:t>
            </w:r>
          </w:p>
          <w:p w14:paraId="55746C2C">
            <w:pPr>
              <w:ind w:firstLine="354" w:firstLineChars="147"/>
              <w:jc w:val="center"/>
              <w:rPr>
                <w:b/>
                <w:color w:val="auto"/>
                <w:sz w:val="24"/>
                <w:highlight w:val="none"/>
              </w:rPr>
            </w:pPr>
            <w:r>
              <w:rPr>
                <w:b/>
                <w:color w:val="auto"/>
                <w:sz w:val="24"/>
                <w:highlight w:val="none"/>
              </w:rPr>
              <w:t>3-</w:t>
            </w:r>
            <w:r>
              <w:rPr>
                <w:rFonts w:hint="eastAsia"/>
                <w:b/>
                <w:color w:val="auto"/>
                <w:sz w:val="24"/>
                <w:highlight w:val="none"/>
                <w:lang w:val="en-US" w:eastAsia="zh-CN"/>
              </w:rPr>
              <w:t>7</w:t>
            </w:r>
            <w:r>
              <w:rPr>
                <w:b/>
                <w:color w:val="auto"/>
                <w:sz w:val="24"/>
                <w:highlight w:val="none"/>
              </w:rPr>
              <w:t xml:space="preserve"> 食堂油烟污染物综合排放标准   单位：mg/m</w:t>
            </w:r>
            <w:r>
              <w:rPr>
                <w:b/>
                <w:color w:val="auto"/>
                <w:sz w:val="24"/>
                <w:highlight w:val="none"/>
                <w:vertAlign w:val="superscript"/>
              </w:rPr>
              <w:t>3</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9"/>
              <w:gridCol w:w="1643"/>
              <w:gridCol w:w="1992"/>
              <w:gridCol w:w="1540"/>
            </w:tblGrid>
            <w:tr w14:paraId="4495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0" w:type="pct"/>
                  <w:tcBorders>
                    <w:top w:val="single" w:color="auto" w:sz="12" w:space="0"/>
                    <w:left w:val="nil"/>
                  </w:tcBorders>
                </w:tcPr>
                <w:p w14:paraId="6E66AF05">
                  <w:pPr>
                    <w:pStyle w:val="81"/>
                    <w:rPr>
                      <w:color w:val="auto"/>
                      <w:highlight w:val="none"/>
                    </w:rPr>
                  </w:pPr>
                  <w:r>
                    <w:rPr>
                      <w:color w:val="auto"/>
                      <w:highlight w:val="none"/>
                    </w:rPr>
                    <w:t>规模</w:t>
                  </w:r>
                </w:p>
              </w:tc>
              <w:tc>
                <w:tcPr>
                  <w:tcW w:w="981" w:type="pct"/>
                  <w:tcBorders>
                    <w:top w:val="single" w:color="auto" w:sz="12" w:space="0"/>
                  </w:tcBorders>
                </w:tcPr>
                <w:p w14:paraId="74554741">
                  <w:pPr>
                    <w:pStyle w:val="81"/>
                    <w:rPr>
                      <w:color w:val="auto"/>
                      <w:highlight w:val="none"/>
                    </w:rPr>
                  </w:pPr>
                  <w:r>
                    <w:rPr>
                      <w:b/>
                      <w:bCs/>
                      <w:color w:val="auto"/>
                      <w:highlight w:val="none"/>
                    </w:rPr>
                    <w:t>小型</w:t>
                  </w:r>
                </w:p>
              </w:tc>
              <w:tc>
                <w:tcPr>
                  <w:tcW w:w="1189" w:type="pct"/>
                  <w:tcBorders>
                    <w:top w:val="single" w:color="auto" w:sz="12" w:space="0"/>
                  </w:tcBorders>
                </w:tcPr>
                <w:p w14:paraId="069B6CF2">
                  <w:pPr>
                    <w:pStyle w:val="81"/>
                    <w:rPr>
                      <w:color w:val="auto"/>
                      <w:highlight w:val="none"/>
                    </w:rPr>
                  </w:pPr>
                  <w:r>
                    <w:rPr>
                      <w:color w:val="auto"/>
                      <w:highlight w:val="none"/>
                    </w:rPr>
                    <w:t>中型</w:t>
                  </w:r>
                </w:p>
              </w:tc>
              <w:tc>
                <w:tcPr>
                  <w:tcW w:w="918" w:type="pct"/>
                  <w:tcBorders>
                    <w:top w:val="single" w:color="auto" w:sz="12" w:space="0"/>
                    <w:right w:val="nil"/>
                  </w:tcBorders>
                </w:tcPr>
                <w:p w14:paraId="13AF3BC9">
                  <w:pPr>
                    <w:pStyle w:val="81"/>
                    <w:rPr>
                      <w:color w:val="auto"/>
                      <w:highlight w:val="none"/>
                    </w:rPr>
                  </w:pPr>
                  <w:r>
                    <w:rPr>
                      <w:color w:val="auto"/>
                      <w:highlight w:val="none"/>
                    </w:rPr>
                    <w:t>大型</w:t>
                  </w:r>
                </w:p>
              </w:tc>
            </w:tr>
            <w:tr w14:paraId="14E8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pct"/>
                  <w:tcBorders>
                    <w:left w:val="nil"/>
                  </w:tcBorders>
                </w:tcPr>
                <w:p w14:paraId="2DBF0E25">
                  <w:pPr>
                    <w:pStyle w:val="81"/>
                    <w:rPr>
                      <w:color w:val="auto"/>
                      <w:highlight w:val="none"/>
                    </w:rPr>
                  </w:pPr>
                  <w:r>
                    <w:rPr>
                      <w:color w:val="auto"/>
                      <w:highlight w:val="none"/>
                    </w:rPr>
                    <w:t>最高允许排放浓度</w:t>
                  </w:r>
                </w:p>
              </w:tc>
              <w:tc>
                <w:tcPr>
                  <w:tcW w:w="3089" w:type="pct"/>
                  <w:gridSpan w:val="3"/>
                  <w:tcBorders>
                    <w:right w:val="nil"/>
                  </w:tcBorders>
                </w:tcPr>
                <w:p w14:paraId="158E7344">
                  <w:pPr>
                    <w:pStyle w:val="81"/>
                    <w:rPr>
                      <w:color w:val="auto"/>
                      <w:highlight w:val="none"/>
                    </w:rPr>
                  </w:pPr>
                  <w:r>
                    <w:rPr>
                      <w:b/>
                      <w:bCs/>
                      <w:color w:val="auto"/>
                      <w:highlight w:val="none"/>
                    </w:rPr>
                    <w:t>2.0</w:t>
                  </w:r>
                </w:p>
              </w:tc>
            </w:tr>
            <w:tr w14:paraId="05A3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pct"/>
                  <w:tcBorders>
                    <w:left w:val="nil"/>
                    <w:bottom w:val="single" w:color="auto" w:sz="12" w:space="0"/>
                  </w:tcBorders>
                </w:tcPr>
                <w:p w14:paraId="3F013E1B">
                  <w:pPr>
                    <w:pStyle w:val="81"/>
                    <w:rPr>
                      <w:color w:val="auto"/>
                      <w:highlight w:val="none"/>
                    </w:rPr>
                  </w:pPr>
                  <w:r>
                    <w:rPr>
                      <w:color w:val="auto"/>
                      <w:highlight w:val="none"/>
                    </w:rPr>
                    <w:t>净化设施最低去除效率（%）</w:t>
                  </w:r>
                </w:p>
              </w:tc>
              <w:tc>
                <w:tcPr>
                  <w:tcW w:w="981" w:type="pct"/>
                  <w:tcBorders>
                    <w:bottom w:val="single" w:color="auto" w:sz="12" w:space="0"/>
                  </w:tcBorders>
                </w:tcPr>
                <w:p w14:paraId="2DB85E50">
                  <w:pPr>
                    <w:pStyle w:val="81"/>
                    <w:rPr>
                      <w:b/>
                      <w:bCs/>
                      <w:color w:val="auto"/>
                      <w:highlight w:val="none"/>
                    </w:rPr>
                  </w:pPr>
                  <w:r>
                    <w:rPr>
                      <w:b/>
                      <w:bCs/>
                      <w:color w:val="auto"/>
                      <w:highlight w:val="none"/>
                    </w:rPr>
                    <w:t>60</w:t>
                  </w:r>
                </w:p>
              </w:tc>
              <w:tc>
                <w:tcPr>
                  <w:tcW w:w="1189" w:type="pct"/>
                  <w:tcBorders>
                    <w:bottom w:val="single" w:color="auto" w:sz="12" w:space="0"/>
                  </w:tcBorders>
                </w:tcPr>
                <w:p w14:paraId="1506E800">
                  <w:pPr>
                    <w:pStyle w:val="81"/>
                    <w:rPr>
                      <w:color w:val="auto"/>
                      <w:highlight w:val="none"/>
                    </w:rPr>
                  </w:pPr>
                  <w:r>
                    <w:rPr>
                      <w:color w:val="auto"/>
                      <w:highlight w:val="none"/>
                    </w:rPr>
                    <w:t>75</w:t>
                  </w:r>
                </w:p>
              </w:tc>
              <w:tc>
                <w:tcPr>
                  <w:tcW w:w="918" w:type="pct"/>
                  <w:tcBorders>
                    <w:bottom w:val="single" w:color="auto" w:sz="12" w:space="0"/>
                    <w:right w:val="nil"/>
                  </w:tcBorders>
                </w:tcPr>
                <w:p w14:paraId="44FEFFAC">
                  <w:pPr>
                    <w:pStyle w:val="81"/>
                    <w:rPr>
                      <w:color w:val="auto"/>
                      <w:highlight w:val="none"/>
                    </w:rPr>
                  </w:pPr>
                  <w:r>
                    <w:rPr>
                      <w:color w:val="auto"/>
                      <w:highlight w:val="none"/>
                    </w:rPr>
                    <w:t>85</w:t>
                  </w:r>
                </w:p>
              </w:tc>
            </w:tr>
          </w:tbl>
          <w:p w14:paraId="631E3B8A">
            <w:pPr>
              <w:snapToGrid w:val="0"/>
              <w:spacing w:line="360" w:lineRule="auto"/>
              <w:ind w:firstLine="482" w:firstLineChars="200"/>
              <w:jc w:val="left"/>
              <w:rPr>
                <w:b/>
                <w:bCs/>
                <w:color w:val="auto"/>
                <w:sz w:val="24"/>
                <w:highlight w:val="none"/>
              </w:rPr>
            </w:pPr>
          </w:p>
          <w:p w14:paraId="1B1CCFF7">
            <w:pPr>
              <w:snapToGrid w:val="0"/>
              <w:spacing w:line="360" w:lineRule="auto"/>
              <w:ind w:firstLine="482" w:firstLineChars="200"/>
              <w:jc w:val="left"/>
              <w:rPr>
                <w:b/>
                <w:bCs/>
                <w:color w:val="auto"/>
                <w:sz w:val="24"/>
                <w:highlight w:val="none"/>
              </w:rPr>
            </w:pPr>
            <w:r>
              <w:rPr>
                <w:b/>
                <w:bCs/>
                <w:color w:val="auto"/>
                <w:sz w:val="24"/>
                <w:highlight w:val="none"/>
              </w:rPr>
              <w:t>2</w:t>
            </w:r>
            <w:r>
              <w:rPr>
                <w:rFonts w:hint="eastAsia"/>
                <w:b/>
                <w:bCs/>
                <w:color w:val="auto"/>
                <w:sz w:val="24"/>
                <w:highlight w:val="none"/>
              </w:rPr>
              <w:t>、</w:t>
            </w:r>
            <w:r>
              <w:rPr>
                <w:b/>
                <w:bCs/>
                <w:color w:val="auto"/>
                <w:sz w:val="24"/>
                <w:highlight w:val="none"/>
              </w:rPr>
              <w:t>噪声</w:t>
            </w:r>
          </w:p>
          <w:p w14:paraId="3B62FFB6">
            <w:pPr>
              <w:spacing w:line="360" w:lineRule="auto"/>
              <w:ind w:firstLine="480" w:firstLineChars="200"/>
              <w:rPr>
                <w:b/>
                <w:bCs/>
                <w:color w:val="auto"/>
                <w:highlight w:val="none"/>
              </w:rPr>
            </w:pPr>
            <w:r>
              <w:rPr>
                <w:rFonts w:hint="eastAsia"/>
                <w:color w:val="auto"/>
                <w:sz w:val="24"/>
                <w:highlight w:val="none"/>
              </w:rPr>
              <w:t>根据长春市声环境功能区划图，</w:t>
            </w:r>
            <w:r>
              <w:rPr>
                <w:rFonts w:hint="eastAsia"/>
                <w:color w:val="auto"/>
                <w:sz w:val="24"/>
                <w:highlight w:val="none"/>
              </w:rPr>
              <w:t>本项目属于2类区</w:t>
            </w:r>
            <w:r>
              <w:rPr>
                <w:rFonts w:hint="eastAsia"/>
                <w:color w:val="auto"/>
                <w:sz w:val="24"/>
                <w:highlight w:val="none"/>
              </w:rPr>
              <w:t>，厂界</w:t>
            </w:r>
            <w:r>
              <w:rPr>
                <w:color w:val="auto"/>
                <w:sz w:val="24"/>
                <w:highlight w:val="none"/>
              </w:rPr>
              <w:t>噪声执行《工业企业厂界环境噪声排放标准》（GB12348-2008）中2类</w:t>
            </w:r>
            <w:r>
              <w:rPr>
                <w:rFonts w:hint="eastAsia"/>
                <w:color w:val="auto"/>
                <w:sz w:val="24"/>
                <w:highlight w:val="none"/>
              </w:rPr>
              <w:t>区</w:t>
            </w:r>
            <w:r>
              <w:rPr>
                <w:color w:val="auto"/>
                <w:sz w:val="24"/>
                <w:highlight w:val="none"/>
              </w:rPr>
              <w:t>标准，</w:t>
            </w:r>
            <w:r>
              <w:rPr>
                <w:rFonts w:hint="eastAsia"/>
                <w:color w:val="auto"/>
                <w:sz w:val="24"/>
                <w:highlight w:val="none"/>
              </w:rPr>
              <w:t>执行</w:t>
            </w:r>
            <w:r>
              <w:rPr>
                <w:color w:val="auto"/>
                <w:sz w:val="24"/>
                <w:highlight w:val="none"/>
              </w:rPr>
              <w:t>详见下表。</w:t>
            </w:r>
          </w:p>
          <w:p w14:paraId="5FF8BFCF">
            <w:pPr>
              <w:pStyle w:val="23"/>
              <w:ind w:left="420"/>
              <w:jc w:val="center"/>
              <w:rPr>
                <w:bCs/>
                <w:color w:val="auto"/>
                <w:sz w:val="24"/>
                <w:highlight w:val="none"/>
              </w:rPr>
            </w:pPr>
            <w:r>
              <w:rPr>
                <w:bCs/>
                <w:color w:val="auto"/>
                <w:sz w:val="24"/>
                <w:highlight w:val="none"/>
              </w:rPr>
              <w:t>表3-</w:t>
            </w:r>
            <w:r>
              <w:rPr>
                <w:rFonts w:hint="eastAsia"/>
                <w:bCs/>
                <w:color w:val="auto"/>
                <w:sz w:val="24"/>
                <w:highlight w:val="none"/>
                <w:lang w:val="en-US" w:eastAsia="zh-CN"/>
              </w:rPr>
              <w:t>8</w:t>
            </w:r>
            <w:r>
              <w:rPr>
                <w:bCs/>
                <w:color w:val="auto"/>
                <w:sz w:val="24"/>
                <w:highlight w:val="none"/>
              </w:rPr>
              <w:t xml:space="preserve"> 工业企业厂界环境噪声排放标准单位：dB（A）</w:t>
            </w:r>
          </w:p>
          <w:tbl>
            <w:tblPr>
              <w:tblStyle w:val="28"/>
              <w:tblW w:w="4988" w:type="pct"/>
              <w:tblInd w:w="0"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812"/>
              <w:gridCol w:w="1812"/>
              <w:gridCol w:w="2638"/>
            </w:tblGrid>
            <w:tr w14:paraId="4B98B65E">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253" w:type="pct"/>
                  <w:vMerge w:val="restart"/>
                  <w:tcBorders>
                    <w:top w:val="single" w:color="auto" w:sz="12" w:space="0"/>
                    <w:left w:val="nil"/>
                  </w:tcBorders>
                  <w:vAlign w:val="center"/>
                </w:tcPr>
                <w:p w14:paraId="64E3481B">
                  <w:pPr>
                    <w:jc w:val="center"/>
                    <w:rPr>
                      <w:color w:val="auto"/>
                      <w:szCs w:val="21"/>
                      <w:highlight w:val="none"/>
                    </w:rPr>
                  </w:pPr>
                  <w:r>
                    <w:rPr>
                      <w:color w:val="auto"/>
                      <w:szCs w:val="21"/>
                      <w:highlight w:val="none"/>
                    </w:rPr>
                    <w:t>类别</w:t>
                  </w:r>
                </w:p>
              </w:tc>
              <w:tc>
                <w:tcPr>
                  <w:tcW w:w="2168" w:type="pct"/>
                  <w:gridSpan w:val="2"/>
                  <w:tcBorders>
                    <w:top w:val="single" w:color="auto" w:sz="12" w:space="0"/>
                    <w:right w:val="single" w:color="auto" w:sz="2" w:space="0"/>
                  </w:tcBorders>
                  <w:vAlign w:val="center"/>
                </w:tcPr>
                <w:p w14:paraId="7E5220D3">
                  <w:pPr>
                    <w:jc w:val="center"/>
                    <w:rPr>
                      <w:color w:val="auto"/>
                      <w:szCs w:val="21"/>
                      <w:highlight w:val="none"/>
                    </w:rPr>
                  </w:pPr>
                  <w:r>
                    <w:rPr>
                      <w:color w:val="auto"/>
                      <w:szCs w:val="21"/>
                      <w:highlight w:val="none"/>
                    </w:rPr>
                    <w:t>标准值</w:t>
                  </w:r>
                </w:p>
              </w:tc>
              <w:tc>
                <w:tcPr>
                  <w:tcW w:w="1577" w:type="pct"/>
                  <w:vMerge w:val="restart"/>
                  <w:tcBorders>
                    <w:top w:val="single" w:color="auto" w:sz="12" w:space="0"/>
                    <w:left w:val="single" w:color="auto" w:sz="2" w:space="0"/>
                    <w:right w:val="nil"/>
                  </w:tcBorders>
                  <w:vAlign w:val="center"/>
                </w:tcPr>
                <w:p w14:paraId="2FC249DF">
                  <w:pPr>
                    <w:jc w:val="center"/>
                    <w:rPr>
                      <w:color w:val="auto"/>
                      <w:szCs w:val="21"/>
                      <w:highlight w:val="none"/>
                    </w:rPr>
                  </w:pPr>
                  <w:r>
                    <w:rPr>
                      <w:color w:val="auto"/>
                      <w:szCs w:val="21"/>
                      <w:highlight w:val="none"/>
                    </w:rPr>
                    <w:t>标准来源</w:t>
                  </w:r>
                </w:p>
              </w:tc>
            </w:tr>
            <w:tr w14:paraId="125AF83A">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253" w:type="pct"/>
                  <w:vMerge w:val="continue"/>
                  <w:tcBorders>
                    <w:left w:val="nil"/>
                  </w:tcBorders>
                  <w:vAlign w:val="center"/>
                </w:tcPr>
                <w:p w14:paraId="3C99237E">
                  <w:pPr>
                    <w:jc w:val="center"/>
                    <w:rPr>
                      <w:color w:val="auto"/>
                      <w:szCs w:val="21"/>
                      <w:highlight w:val="none"/>
                    </w:rPr>
                  </w:pPr>
                </w:p>
              </w:tc>
              <w:tc>
                <w:tcPr>
                  <w:tcW w:w="1084" w:type="pct"/>
                  <w:vAlign w:val="center"/>
                </w:tcPr>
                <w:p w14:paraId="59F36F77">
                  <w:pPr>
                    <w:jc w:val="center"/>
                    <w:rPr>
                      <w:color w:val="auto"/>
                      <w:szCs w:val="21"/>
                      <w:highlight w:val="none"/>
                    </w:rPr>
                  </w:pPr>
                  <w:r>
                    <w:rPr>
                      <w:color w:val="auto"/>
                      <w:szCs w:val="21"/>
                      <w:highlight w:val="none"/>
                    </w:rPr>
                    <w:t>昼间</w:t>
                  </w:r>
                </w:p>
              </w:tc>
              <w:tc>
                <w:tcPr>
                  <w:tcW w:w="1084" w:type="pct"/>
                  <w:tcBorders>
                    <w:right w:val="single" w:color="auto" w:sz="2" w:space="0"/>
                  </w:tcBorders>
                  <w:vAlign w:val="center"/>
                </w:tcPr>
                <w:p w14:paraId="6B080823">
                  <w:pPr>
                    <w:spacing w:line="280" w:lineRule="exact"/>
                    <w:jc w:val="center"/>
                    <w:rPr>
                      <w:color w:val="auto"/>
                      <w:szCs w:val="21"/>
                      <w:highlight w:val="none"/>
                    </w:rPr>
                  </w:pPr>
                  <w:r>
                    <w:rPr>
                      <w:color w:val="auto"/>
                      <w:szCs w:val="21"/>
                      <w:highlight w:val="none"/>
                    </w:rPr>
                    <w:t>夜间</w:t>
                  </w:r>
                </w:p>
              </w:tc>
              <w:tc>
                <w:tcPr>
                  <w:tcW w:w="1577" w:type="pct"/>
                  <w:vMerge w:val="continue"/>
                  <w:tcBorders>
                    <w:left w:val="single" w:color="auto" w:sz="2" w:space="0"/>
                    <w:right w:val="nil"/>
                  </w:tcBorders>
                  <w:vAlign w:val="center"/>
                </w:tcPr>
                <w:p w14:paraId="2E2D13BD">
                  <w:pPr>
                    <w:jc w:val="center"/>
                    <w:rPr>
                      <w:color w:val="auto"/>
                      <w:szCs w:val="21"/>
                      <w:highlight w:val="none"/>
                    </w:rPr>
                  </w:pPr>
                </w:p>
              </w:tc>
            </w:tr>
            <w:tr w14:paraId="0D97E090">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53" w:type="pct"/>
                  <w:tcBorders>
                    <w:left w:val="nil"/>
                  </w:tcBorders>
                  <w:vAlign w:val="center"/>
                </w:tcPr>
                <w:p w14:paraId="46F1963F">
                  <w:pPr>
                    <w:spacing w:line="280" w:lineRule="exact"/>
                    <w:jc w:val="center"/>
                    <w:rPr>
                      <w:color w:val="auto"/>
                      <w:szCs w:val="21"/>
                      <w:highlight w:val="none"/>
                    </w:rPr>
                  </w:pPr>
                  <w:r>
                    <w:rPr>
                      <w:color w:val="auto"/>
                      <w:szCs w:val="21"/>
                      <w:highlight w:val="none"/>
                    </w:rPr>
                    <w:t>2类</w:t>
                  </w:r>
                </w:p>
              </w:tc>
              <w:tc>
                <w:tcPr>
                  <w:tcW w:w="1084" w:type="pct"/>
                  <w:vAlign w:val="center"/>
                </w:tcPr>
                <w:p w14:paraId="3D1DCC2C">
                  <w:pPr>
                    <w:spacing w:line="280" w:lineRule="exact"/>
                    <w:jc w:val="center"/>
                    <w:rPr>
                      <w:color w:val="auto"/>
                      <w:szCs w:val="21"/>
                      <w:highlight w:val="none"/>
                    </w:rPr>
                  </w:pPr>
                  <w:r>
                    <w:rPr>
                      <w:color w:val="auto"/>
                      <w:szCs w:val="21"/>
                      <w:highlight w:val="none"/>
                    </w:rPr>
                    <w:t>60</w:t>
                  </w:r>
                </w:p>
              </w:tc>
              <w:tc>
                <w:tcPr>
                  <w:tcW w:w="1084" w:type="pct"/>
                  <w:tcBorders>
                    <w:right w:val="single" w:color="auto" w:sz="2" w:space="0"/>
                  </w:tcBorders>
                  <w:vAlign w:val="center"/>
                </w:tcPr>
                <w:p w14:paraId="3B2E934B">
                  <w:pPr>
                    <w:spacing w:line="280" w:lineRule="exact"/>
                    <w:jc w:val="center"/>
                    <w:rPr>
                      <w:color w:val="auto"/>
                      <w:szCs w:val="21"/>
                      <w:highlight w:val="none"/>
                    </w:rPr>
                  </w:pPr>
                  <w:r>
                    <w:rPr>
                      <w:color w:val="auto"/>
                      <w:szCs w:val="21"/>
                      <w:highlight w:val="none"/>
                    </w:rPr>
                    <w:t>50</w:t>
                  </w:r>
                </w:p>
              </w:tc>
              <w:tc>
                <w:tcPr>
                  <w:tcW w:w="1577" w:type="pct"/>
                  <w:tcBorders>
                    <w:left w:val="single" w:color="auto" w:sz="2" w:space="0"/>
                    <w:right w:val="nil"/>
                  </w:tcBorders>
                  <w:vAlign w:val="center"/>
                </w:tcPr>
                <w:p w14:paraId="04D57FE3">
                  <w:pPr>
                    <w:jc w:val="center"/>
                    <w:rPr>
                      <w:color w:val="auto"/>
                      <w:szCs w:val="21"/>
                      <w:highlight w:val="none"/>
                    </w:rPr>
                  </w:pPr>
                  <w:r>
                    <w:rPr>
                      <w:color w:val="auto"/>
                      <w:szCs w:val="21"/>
                      <w:highlight w:val="none"/>
                    </w:rPr>
                    <w:t>GB12348-2008</w:t>
                  </w:r>
                </w:p>
              </w:tc>
            </w:tr>
          </w:tbl>
          <w:p w14:paraId="168EB787">
            <w:pPr>
              <w:snapToGrid w:val="0"/>
              <w:spacing w:line="360" w:lineRule="auto"/>
              <w:ind w:firstLine="482" w:firstLineChars="200"/>
              <w:jc w:val="left"/>
              <w:rPr>
                <w:b/>
                <w:bCs/>
                <w:color w:val="auto"/>
                <w:sz w:val="24"/>
                <w:highlight w:val="none"/>
              </w:rPr>
            </w:pPr>
          </w:p>
          <w:p w14:paraId="7C2366E5">
            <w:pPr>
              <w:snapToGrid w:val="0"/>
              <w:spacing w:line="360" w:lineRule="auto"/>
              <w:ind w:firstLine="482" w:firstLineChars="200"/>
              <w:jc w:val="left"/>
              <w:rPr>
                <w:b/>
                <w:bCs/>
                <w:color w:val="auto"/>
                <w:sz w:val="24"/>
                <w:highlight w:val="none"/>
              </w:rPr>
            </w:pPr>
            <w:r>
              <w:rPr>
                <w:b/>
                <w:bCs/>
                <w:color w:val="auto"/>
                <w:sz w:val="24"/>
                <w:highlight w:val="none"/>
              </w:rPr>
              <w:t>3</w:t>
            </w:r>
            <w:r>
              <w:rPr>
                <w:rFonts w:hint="eastAsia"/>
                <w:b/>
                <w:bCs/>
                <w:color w:val="auto"/>
                <w:sz w:val="24"/>
                <w:highlight w:val="none"/>
              </w:rPr>
              <w:t>、</w:t>
            </w:r>
            <w:r>
              <w:rPr>
                <w:b/>
                <w:bCs/>
                <w:color w:val="auto"/>
                <w:sz w:val="24"/>
                <w:highlight w:val="none"/>
              </w:rPr>
              <w:t>废水</w:t>
            </w:r>
          </w:p>
          <w:p w14:paraId="752F4983">
            <w:pPr>
              <w:spacing w:line="360" w:lineRule="auto"/>
              <w:ind w:firstLine="480" w:firstLineChars="200"/>
              <w:rPr>
                <w:color w:val="auto"/>
                <w:highlight w:val="none"/>
              </w:rPr>
            </w:pPr>
            <w:r>
              <w:rPr>
                <w:rFonts w:hint="eastAsia"/>
                <w:color w:val="auto"/>
                <w:sz w:val="24"/>
                <w:highlight w:val="none"/>
              </w:rPr>
              <w:t>本项目废水主要为</w:t>
            </w:r>
            <w:r>
              <w:rPr>
                <w:color w:val="auto"/>
                <w:sz w:val="24"/>
                <w:highlight w:val="none"/>
              </w:rPr>
              <w:t>生活</w:t>
            </w:r>
            <w:r>
              <w:rPr>
                <w:rFonts w:hint="eastAsia"/>
                <w:color w:val="auto"/>
                <w:sz w:val="24"/>
                <w:highlight w:val="none"/>
              </w:rPr>
              <w:t>污</w:t>
            </w:r>
            <w:r>
              <w:rPr>
                <w:color w:val="auto"/>
                <w:sz w:val="24"/>
                <w:highlight w:val="none"/>
              </w:rPr>
              <w:t>水、住院病房</w:t>
            </w:r>
            <w:r>
              <w:rPr>
                <w:rFonts w:hint="eastAsia"/>
                <w:color w:val="auto"/>
                <w:sz w:val="24"/>
                <w:highlight w:val="none"/>
              </w:rPr>
              <w:t>废</w:t>
            </w:r>
            <w:r>
              <w:rPr>
                <w:color w:val="auto"/>
                <w:sz w:val="24"/>
                <w:highlight w:val="none"/>
              </w:rPr>
              <w:t>水、门诊患者</w:t>
            </w:r>
            <w:r>
              <w:rPr>
                <w:rFonts w:hint="eastAsia"/>
                <w:color w:val="auto"/>
                <w:sz w:val="24"/>
                <w:highlight w:val="none"/>
              </w:rPr>
              <w:t>废</w:t>
            </w:r>
            <w:r>
              <w:rPr>
                <w:color w:val="auto"/>
                <w:sz w:val="24"/>
                <w:highlight w:val="none"/>
              </w:rPr>
              <w:t>水、地面清洁</w:t>
            </w:r>
            <w:r>
              <w:rPr>
                <w:rFonts w:hint="eastAsia"/>
                <w:color w:val="auto"/>
                <w:sz w:val="24"/>
                <w:highlight w:val="none"/>
              </w:rPr>
              <w:t>废</w:t>
            </w:r>
            <w:r>
              <w:rPr>
                <w:color w:val="auto"/>
                <w:sz w:val="24"/>
                <w:highlight w:val="none"/>
              </w:rPr>
              <w:t>水、化验室</w:t>
            </w:r>
            <w:r>
              <w:rPr>
                <w:rFonts w:hint="eastAsia"/>
                <w:color w:val="auto"/>
                <w:sz w:val="24"/>
                <w:highlight w:val="none"/>
              </w:rPr>
              <w:t>废</w:t>
            </w:r>
            <w:r>
              <w:rPr>
                <w:color w:val="auto"/>
                <w:sz w:val="24"/>
                <w:highlight w:val="none"/>
              </w:rPr>
              <w:t>水、食堂</w:t>
            </w:r>
            <w:r>
              <w:rPr>
                <w:rFonts w:hint="eastAsia"/>
                <w:color w:val="auto"/>
                <w:sz w:val="24"/>
                <w:highlight w:val="none"/>
              </w:rPr>
              <w:t>废</w:t>
            </w:r>
            <w:r>
              <w:rPr>
                <w:color w:val="auto"/>
                <w:sz w:val="24"/>
                <w:highlight w:val="none"/>
              </w:rPr>
              <w:t>水、中药室</w:t>
            </w:r>
            <w:r>
              <w:rPr>
                <w:rFonts w:hint="eastAsia"/>
                <w:color w:val="auto"/>
                <w:sz w:val="24"/>
                <w:highlight w:val="none"/>
              </w:rPr>
              <w:t>废</w:t>
            </w:r>
            <w:r>
              <w:rPr>
                <w:color w:val="auto"/>
                <w:sz w:val="24"/>
                <w:highlight w:val="none"/>
              </w:rPr>
              <w:t>水</w:t>
            </w:r>
            <w:r>
              <w:rPr>
                <w:rFonts w:hint="eastAsia"/>
                <w:color w:val="auto"/>
                <w:sz w:val="24"/>
                <w:highlight w:val="none"/>
              </w:rPr>
              <w:t>，污水全部排入化粪池后经污水站处理，通</w:t>
            </w:r>
            <w:r>
              <w:rPr>
                <w:color w:val="auto"/>
                <w:sz w:val="24"/>
                <w:highlight w:val="none"/>
              </w:rPr>
              <w:t>过市政管网排入长春市</w:t>
            </w:r>
            <w:r>
              <w:rPr>
                <w:rFonts w:hint="eastAsia"/>
                <w:color w:val="auto"/>
                <w:sz w:val="24"/>
                <w:highlight w:val="none"/>
              </w:rPr>
              <w:t>南部</w:t>
            </w:r>
            <w:r>
              <w:rPr>
                <w:color w:val="auto"/>
                <w:sz w:val="24"/>
                <w:highlight w:val="none"/>
              </w:rPr>
              <w:t>污水处理厂</w:t>
            </w:r>
            <w:r>
              <w:rPr>
                <w:rFonts w:hint="eastAsia"/>
                <w:color w:val="auto"/>
                <w:sz w:val="24"/>
                <w:highlight w:val="none"/>
              </w:rPr>
              <w:t>。废水</w:t>
            </w:r>
            <w:r>
              <w:rPr>
                <w:color w:val="auto"/>
                <w:sz w:val="24"/>
                <w:highlight w:val="none"/>
              </w:rPr>
              <w:t>排放标准执行《医疗机构水污染物排放标准》（GB18466-2005）表2中</w:t>
            </w:r>
            <w:r>
              <w:rPr>
                <w:rFonts w:hint="eastAsia"/>
                <w:color w:val="auto"/>
                <w:sz w:val="24"/>
                <w:highlight w:val="none"/>
              </w:rPr>
              <w:t>预处理</w:t>
            </w:r>
            <w:r>
              <w:rPr>
                <w:color w:val="auto"/>
                <w:sz w:val="24"/>
                <w:highlight w:val="none"/>
              </w:rPr>
              <w:t>标准。标准值详见下表。</w:t>
            </w:r>
          </w:p>
          <w:p w14:paraId="32241D34">
            <w:pPr>
              <w:widowControl/>
              <w:jc w:val="center"/>
              <w:rPr>
                <w:b/>
                <w:bCs/>
                <w:color w:val="auto"/>
                <w:sz w:val="24"/>
                <w:highlight w:val="none"/>
              </w:rPr>
            </w:pPr>
            <w:r>
              <w:rPr>
                <w:b/>
                <w:bCs/>
                <w:color w:val="auto"/>
                <w:sz w:val="24"/>
                <w:highlight w:val="none"/>
              </w:rPr>
              <w:t>表3-</w:t>
            </w:r>
            <w:r>
              <w:rPr>
                <w:rFonts w:hint="eastAsia"/>
                <w:b/>
                <w:bCs/>
                <w:color w:val="auto"/>
                <w:sz w:val="24"/>
                <w:highlight w:val="none"/>
                <w:lang w:val="en-US" w:eastAsia="zh-CN"/>
              </w:rPr>
              <w:t>9</w:t>
            </w:r>
            <w:r>
              <w:rPr>
                <w:b/>
                <w:bCs/>
                <w:color w:val="auto"/>
                <w:sz w:val="24"/>
                <w:highlight w:val="none"/>
              </w:rPr>
              <w:t xml:space="preserve"> 《医疗机构水污染物排放标准》（GB18466-2005）</w:t>
            </w:r>
          </w:p>
          <w:tbl>
            <w:tblPr>
              <w:tblStyle w:val="28"/>
              <w:tblpPr w:leftFromText="180" w:rightFromText="180" w:vertAnchor="text" w:horzAnchor="page" w:tblpX="139" w:tblpY="25"/>
              <w:tblOverlap w:val="never"/>
              <w:tblW w:w="83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747"/>
              <w:gridCol w:w="2461"/>
              <w:gridCol w:w="2461"/>
            </w:tblGrid>
            <w:tr w14:paraId="11CA56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8" w:type="dxa"/>
                </w:tcPr>
                <w:p w14:paraId="2E811C0C">
                  <w:pPr>
                    <w:widowControl/>
                    <w:jc w:val="center"/>
                    <w:rPr>
                      <w:color w:val="auto"/>
                      <w:highlight w:val="none"/>
                    </w:rPr>
                  </w:pPr>
                  <w:r>
                    <w:rPr>
                      <w:color w:val="auto"/>
                      <w:highlight w:val="none"/>
                    </w:rPr>
                    <w:t>污染物名称</w:t>
                  </w:r>
                </w:p>
              </w:tc>
              <w:tc>
                <w:tcPr>
                  <w:tcW w:w="1747" w:type="dxa"/>
                </w:tcPr>
                <w:p w14:paraId="2A1DCF21">
                  <w:pPr>
                    <w:widowControl/>
                    <w:jc w:val="center"/>
                    <w:rPr>
                      <w:color w:val="auto"/>
                      <w:highlight w:val="none"/>
                    </w:rPr>
                  </w:pPr>
                  <w:r>
                    <w:rPr>
                      <w:rFonts w:hint="eastAsia"/>
                      <w:color w:val="auto"/>
                      <w:highlight w:val="none"/>
                    </w:rPr>
                    <w:t>预处理标准</w:t>
                  </w:r>
                </w:p>
              </w:tc>
              <w:tc>
                <w:tcPr>
                  <w:tcW w:w="2461" w:type="dxa"/>
                </w:tcPr>
                <w:p w14:paraId="549FE580">
                  <w:pPr>
                    <w:widowControl/>
                    <w:jc w:val="center"/>
                    <w:rPr>
                      <w:color w:val="auto"/>
                      <w:highlight w:val="none"/>
                    </w:rPr>
                  </w:pPr>
                  <w:r>
                    <w:rPr>
                      <w:color w:val="auto"/>
                      <w:highlight w:val="none"/>
                    </w:rPr>
                    <w:t>单位</w:t>
                  </w:r>
                </w:p>
              </w:tc>
              <w:tc>
                <w:tcPr>
                  <w:tcW w:w="2461" w:type="dxa"/>
                </w:tcPr>
                <w:p w14:paraId="15344867">
                  <w:pPr>
                    <w:widowControl/>
                    <w:jc w:val="center"/>
                    <w:rPr>
                      <w:color w:val="auto"/>
                      <w:highlight w:val="none"/>
                    </w:rPr>
                  </w:pPr>
                  <w:r>
                    <w:rPr>
                      <w:color w:val="auto"/>
                      <w:highlight w:val="none"/>
                    </w:rPr>
                    <w:t>标准来源</w:t>
                  </w:r>
                </w:p>
              </w:tc>
            </w:tr>
            <w:tr w14:paraId="6E013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1A5CF135">
                  <w:pPr>
                    <w:widowControl/>
                    <w:jc w:val="center"/>
                    <w:rPr>
                      <w:color w:val="auto"/>
                      <w:highlight w:val="none"/>
                    </w:rPr>
                  </w:pPr>
                  <w:r>
                    <w:rPr>
                      <w:color w:val="auto"/>
                      <w:highlight w:val="none"/>
                    </w:rPr>
                    <w:t>pH</w:t>
                  </w:r>
                </w:p>
              </w:tc>
              <w:tc>
                <w:tcPr>
                  <w:tcW w:w="1747" w:type="dxa"/>
                </w:tcPr>
                <w:p w14:paraId="7A9E4B0D">
                  <w:pPr>
                    <w:widowControl/>
                    <w:jc w:val="center"/>
                    <w:rPr>
                      <w:color w:val="auto"/>
                      <w:highlight w:val="none"/>
                    </w:rPr>
                  </w:pPr>
                  <w:r>
                    <w:rPr>
                      <w:color w:val="auto"/>
                      <w:szCs w:val="21"/>
                      <w:highlight w:val="none"/>
                    </w:rPr>
                    <w:t>6-9</w:t>
                  </w:r>
                </w:p>
              </w:tc>
              <w:tc>
                <w:tcPr>
                  <w:tcW w:w="2461" w:type="dxa"/>
                </w:tcPr>
                <w:p w14:paraId="25B238E5">
                  <w:pPr>
                    <w:widowControl/>
                    <w:jc w:val="center"/>
                    <w:rPr>
                      <w:color w:val="auto"/>
                      <w:highlight w:val="none"/>
                    </w:rPr>
                  </w:pPr>
                  <w:r>
                    <w:rPr>
                      <w:color w:val="auto"/>
                      <w:highlight w:val="none"/>
                    </w:rPr>
                    <w:t>无量纲</w:t>
                  </w:r>
                </w:p>
              </w:tc>
              <w:tc>
                <w:tcPr>
                  <w:tcW w:w="2461" w:type="dxa"/>
                  <w:vMerge w:val="restart"/>
                  <w:vAlign w:val="center"/>
                </w:tcPr>
                <w:p w14:paraId="413D76BE">
                  <w:pPr>
                    <w:widowControl/>
                    <w:jc w:val="center"/>
                    <w:rPr>
                      <w:color w:val="auto"/>
                      <w:highlight w:val="none"/>
                    </w:rPr>
                  </w:pPr>
                  <w:r>
                    <w:rPr>
                      <w:color w:val="auto"/>
                      <w:highlight w:val="none"/>
                    </w:rPr>
                    <w:t>《医疗机构水污染物排放标准》（GB18466-2005）</w:t>
                  </w:r>
                </w:p>
              </w:tc>
            </w:tr>
            <w:tr w14:paraId="22748A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3EB98016">
                  <w:pPr>
                    <w:widowControl/>
                    <w:jc w:val="center"/>
                    <w:rPr>
                      <w:color w:val="auto"/>
                      <w:highlight w:val="none"/>
                    </w:rPr>
                  </w:pPr>
                  <w:r>
                    <w:rPr>
                      <w:color w:val="auto"/>
                      <w:highlight w:val="none"/>
                    </w:rPr>
                    <w:t>氨氮≦</w:t>
                  </w:r>
                </w:p>
              </w:tc>
              <w:tc>
                <w:tcPr>
                  <w:tcW w:w="1747" w:type="dxa"/>
                </w:tcPr>
                <w:p w14:paraId="6D73A993">
                  <w:pPr>
                    <w:widowControl/>
                    <w:jc w:val="center"/>
                    <w:rPr>
                      <w:color w:val="auto"/>
                      <w:highlight w:val="none"/>
                    </w:rPr>
                  </w:pPr>
                  <w:r>
                    <w:rPr>
                      <w:rFonts w:hint="eastAsia"/>
                      <w:color w:val="auto"/>
                      <w:highlight w:val="none"/>
                    </w:rPr>
                    <w:t>--</w:t>
                  </w:r>
                </w:p>
              </w:tc>
              <w:tc>
                <w:tcPr>
                  <w:tcW w:w="2461" w:type="dxa"/>
                </w:tcPr>
                <w:p w14:paraId="093D6797">
                  <w:pPr>
                    <w:widowControl/>
                    <w:jc w:val="center"/>
                    <w:rPr>
                      <w:color w:val="auto"/>
                      <w:highlight w:val="none"/>
                    </w:rPr>
                  </w:pPr>
                  <w:r>
                    <w:rPr>
                      <w:color w:val="auto"/>
                      <w:highlight w:val="none"/>
                    </w:rPr>
                    <w:t>mg/L</w:t>
                  </w:r>
                </w:p>
              </w:tc>
              <w:tc>
                <w:tcPr>
                  <w:tcW w:w="2461" w:type="dxa"/>
                  <w:vMerge w:val="continue"/>
                </w:tcPr>
                <w:p w14:paraId="13BBB0A6">
                  <w:pPr>
                    <w:widowControl/>
                    <w:jc w:val="center"/>
                    <w:rPr>
                      <w:color w:val="auto"/>
                      <w:highlight w:val="none"/>
                    </w:rPr>
                  </w:pPr>
                </w:p>
              </w:tc>
            </w:tr>
            <w:tr w14:paraId="0BE3A9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6C01750A">
                  <w:pPr>
                    <w:widowControl/>
                    <w:jc w:val="center"/>
                    <w:rPr>
                      <w:color w:val="auto"/>
                      <w:highlight w:val="none"/>
                    </w:rPr>
                  </w:pPr>
                  <w:r>
                    <w:rPr>
                      <w:color w:val="auto"/>
                      <w:highlight w:val="none"/>
                    </w:rPr>
                    <w:t>COD≦</w:t>
                  </w:r>
                </w:p>
              </w:tc>
              <w:tc>
                <w:tcPr>
                  <w:tcW w:w="1747" w:type="dxa"/>
                </w:tcPr>
                <w:p w14:paraId="0EF3F885">
                  <w:pPr>
                    <w:widowControl/>
                    <w:jc w:val="center"/>
                    <w:rPr>
                      <w:color w:val="auto"/>
                      <w:highlight w:val="none"/>
                    </w:rPr>
                  </w:pPr>
                  <w:r>
                    <w:rPr>
                      <w:rFonts w:hint="eastAsia"/>
                      <w:color w:val="auto"/>
                      <w:highlight w:val="none"/>
                    </w:rPr>
                    <w:t>250</w:t>
                  </w:r>
                </w:p>
              </w:tc>
              <w:tc>
                <w:tcPr>
                  <w:tcW w:w="2461" w:type="dxa"/>
                </w:tcPr>
                <w:p w14:paraId="4091D1C5">
                  <w:pPr>
                    <w:widowControl/>
                    <w:jc w:val="center"/>
                    <w:rPr>
                      <w:color w:val="auto"/>
                      <w:highlight w:val="none"/>
                    </w:rPr>
                  </w:pPr>
                  <w:r>
                    <w:rPr>
                      <w:color w:val="auto"/>
                      <w:highlight w:val="none"/>
                    </w:rPr>
                    <w:t>mg/L</w:t>
                  </w:r>
                </w:p>
              </w:tc>
              <w:tc>
                <w:tcPr>
                  <w:tcW w:w="2461" w:type="dxa"/>
                  <w:vMerge w:val="continue"/>
                </w:tcPr>
                <w:p w14:paraId="35294909">
                  <w:pPr>
                    <w:widowControl/>
                    <w:jc w:val="center"/>
                    <w:rPr>
                      <w:color w:val="auto"/>
                      <w:highlight w:val="none"/>
                    </w:rPr>
                  </w:pPr>
                </w:p>
              </w:tc>
            </w:tr>
            <w:tr w14:paraId="5A5237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37E1B573">
                  <w:pPr>
                    <w:widowControl/>
                    <w:jc w:val="center"/>
                    <w:rPr>
                      <w:color w:val="auto"/>
                      <w:highlight w:val="none"/>
                    </w:rPr>
                  </w:pPr>
                  <w:r>
                    <w:rPr>
                      <w:color w:val="auto"/>
                      <w:highlight w:val="none"/>
                    </w:rPr>
                    <w:t>BOD</w:t>
                  </w:r>
                  <w:r>
                    <w:rPr>
                      <w:color w:val="auto"/>
                      <w:highlight w:val="none"/>
                      <w:vertAlign w:val="subscript"/>
                    </w:rPr>
                    <w:t>5</w:t>
                  </w:r>
                  <w:r>
                    <w:rPr>
                      <w:color w:val="auto"/>
                      <w:highlight w:val="none"/>
                    </w:rPr>
                    <w:t>≦</w:t>
                  </w:r>
                </w:p>
              </w:tc>
              <w:tc>
                <w:tcPr>
                  <w:tcW w:w="1747" w:type="dxa"/>
                </w:tcPr>
                <w:p w14:paraId="68FAE081">
                  <w:pPr>
                    <w:widowControl/>
                    <w:jc w:val="center"/>
                    <w:rPr>
                      <w:color w:val="auto"/>
                      <w:highlight w:val="none"/>
                    </w:rPr>
                  </w:pPr>
                  <w:r>
                    <w:rPr>
                      <w:rFonts w:hint="eastAsia"/>
                      <w:color w:val="auto"/>
                      <w:highlight w:val="none"/>
                    </w:rPr>
                    <w:t>100</w:t>
                  </w:r>
                </w:p>
              </w:tc>
              <w:tc>
                <w:tcPr>
                  <w:tcW w:w="2461" w:type="dxa"/>
                </w:tcPr>
                <w:p w14:paraId="7B83ABFF">
                  <w:pPr>
                    <w:widowControl/>
                    <w:jc w:val="center"/>
                    <w:rPr>
                      <w:color w:val="auto"/>
                      <w:highlight w:val="none"/>
                    </w:rPr>
                  </w:pPr>
                  <w:r>
                    <w:rPr>
                      <w:color w:val="auto"/>
                      <w:highlight w:val="none"/>
                    </w:rPr>
                    <w:t>mg/L</w:t>
                  </w:r>
                </w:p>
              </w:tc>
              <w:tc>
                <w:tcPr>
                  <w:tcW w:w="2461" w:type="dxa"/>
                  <w:vMerge w:val="continue"/>
                </w:tcPr>
                <w:p w14:paraId="056A4E80">
                  <w:pPr>
                    <w:widowControl/>
                    <w:jc w:val="center"/>
                    <w:rPr>
                      <w:color w:val="auto"/>
                      <w:highlight w:val="none"/>
                    </w:rPr>
                  </w:pPr>
                </w:p>
              </w:tc>
            </w:tr>
            <w:tr w14:paraId="301BCE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1F290445">
                  <w:pPr>
                    <w:widowControl/>
                    <w:jc w:val="center"/>
                    <w:rPr>
                      <w:color w:val="auto"/>
                      <w:highlight w:val="none"/>
                    </w:rPr>
                  </w:pPr>
                  <w:r>
                    <w:rPr>
                      <w:color w:val="auto"/>
                      <w:highlight w:val="none"/>
                    </w:rPr>
                    <w:t>SS≦</w:t>
                  </w:r>
                </w:p>
              </w:tc>
              <w:tc>
                <w:tcPr>
                  <w:tcW w:w="1747" w:type="dxa"/>
                </w:tcPr>
                <w:p w14:paraId="039596D3">
                  <w:pPr>
                    <w:widowControl/>
                    <w:jc w:val="center"/>
                    <w:rPr>
                      <w:color w:val="auto"/>
                      <w:highlight w:val="none"/>
                    </w:rPr>
                  </w:pPr>
                  <w:r>
                    <w:rPr>
                      <w:rFonts w:hint="eastAsia"/>
                      <w:color w:val="auto"/>
                      <w:highlight w:val="none"/>
                    </w:rPr>
                    <w:t>60</w:t>
                  </w:r>
                </w:p>
              </w:tc>
              <w:tc>
                <w:tcPr>
                  <w:tcW w:w="2461" w:type="dxa"/>
                </w:tcPr>
                <w:p w14:paraId="1CC7C245">
                  <w:pPr>
                    <w:widowControl/>
                    <w:jc w:val="center"/>
                    <w:rPr>
                      <w:color w:val="auto"/>
                      <w:highlight w:val="none"/>
                    </w:rPr>
                  </w:pPr>
                  <w:r>
                    <w:rPr>
                      <w:color w:val="auto"/>
                      <w:highlight w:val="none"/>
                    </w:rPr>
                    <w:t>mg/L</w:t>
                  </w:r>
                </w:p>
              </w:tc>
              <w:tc>
                <w:tcPr>
                  <w:tcW w:w="2461" w:type="dxa"/>
                  <w:vMerge w:val="continue"/>
                </w:tcPr>
                <w:p w14:paraId="36748B96">
                  <w:pPr>
                    <w:widowControl/>
                    <w:jc w:val="center"/>
                    <w:rPr>
                      <w:color w:val="auto"/>
                      <w:highlight w:val="none"/>
                    </w:rPr>
                  </w:pPr>
                </w:p>
              </w:tc>
            </w:tr>
            <w:tr w14:paraId="7ABA78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35BB1EBC">
                  <w:pPr>
                    <w:widowControl/>
                    <w:jc w:val="center"/>
                    <w:rPr>
                      <w:color w:val="auto"/>
                      <w:highlight w:val="none"/>
                    </w:rPr>
                  </w:pPr>
                  <w:r>
                    <w:rPr>
                      <w:color w:val="auto"/>
                      <w:highlight w:val="none"/>
                    </w:rPr>
                    <w:t>粪大肠</w:t>
                  </w:r>
                  <w:r>
                    <w:rPr>
                      <w:rFonts w:hint="eastAsia"/>
                      <w:color w:val="auto"/>
                      <w:highlight w:val="none"/>
                    </w:rPr>
                    <w:t>菌群数</w:t>
                  </w:r>
                  <w:r>
                    <w:rPr>
                      <w:color w:val="auto"/>
                      <w:highlight w:val="none"/>
                    </w:rPr>
                    <w:t>≦</w:t>
                  </w:r>
                </w:p>
              </w:tc>
              <w:tc>
                <w:tcPr>
                  <w:tcW w:w="1747" w:type="dxa"/>
                </w:tcPr>
                <w:p w14:paraId="6696DD5F">
                  <w:pPr>
                    <w:widowControl/>
                    <w:jc w:val="center"/>
                    <w:rPr>
                      <w:color w:val="auto"/>
                      <w:highlight w:val="none"/>
                    </w:rPr>
                  </w:pPr>
                  <w:r>
                    <w:rPr>
                      <w:color w:val="auto"/>
                      <w:highlight w:val="none"/>
                    </w:rPr>
                    <w:t>500</w:t>
                  </w:r>
                  <w:r>
                    <w:rPr>
                      <w:rFonts w:hint="eastAsia"/>
                      <w:color w:val="auto"/>
                      <w:highlight w:val="none"/>
                    </w:rPr>
                    <w:t>0</w:t>
                  </w:r>
                </w:p>
              </w:tc>
              <w:tc>
                <w:tcPr>
                  <w:tcW w:w="2461" w:type="dxa"/>
                </w:tcPr>
                <w:p w14:paraId="44B785DD">
                  <w:pPr>
                    <w:widowControl/>
                    <w:jc w:val="center"/>
                    <w:rPr>
                      <w:color w:val="auto"/>
                      <w:highlight w:val="none"/>
                    </w:rPr>
                  </w:pPr>
                  <w:r>
                    <w:rPr>
                      <w:color w:val="auto"/>
                      <w:highlight w:val="none"/>
                    </w:rPr>
                    <w:t>MPN/L</w:t>
                  </w:r>
                </w:p>
              </w:tc>
              <w:tc>
                <w:tcPr>
                  <w:tcW w:w="2461" w:type="dxa"/>
                  <w:vMerge w:val="continue"/>
                </w:tcPr>
                <w:p w14:paraId="4F974EE5">
                  <w:pPr>
                    <w:widowControl/>
                    <w:jc w:val="center"/>
                    <w:rPr>
                      <w:color w:val="auto"/>
                      <w:highlight w:val="none"/>
                    </w:rPr>
                  </w:pPr>
                </w:p>
              </w:tc>
            </w:tr>
            <w:tr w14:paraId="667998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5EA77094">
                  <w:pPr>
                    <w:widowControl/>
                    <w:jc w:val="center"/>
                    <w:rPr>
                      <w:color w:val="auto"/>
                      <w:highlight w:val="none"/>
                    </w:rPr>
                  </w:pPr>
                  <w:r>
                    <w:rPr>
                      <w:rFonts w:hint="eastAsia"/>
                      <w:color w:val="auto"/>
                      <w:highlight w:val="none"/>
                    </w:rPr>
                    <w:t>动植物油</w:t>
                  </w:r>
                </w:p>
              </w:tc>
              <w:tc>
                <w:tcPr>
                  <w:tcW w:w="1747" w:type="dxa"/>
                </w:tcPr>
                <w:p w14:paraId="5896C8FD">
                  <w:pPr>
                    <w:widowControl/>
                    <w:jc w:val="center"/>
                    <w:rPr>
                      <w:color w:val="auto"/>
                      <w:highlight w:val="none"/>
                    </w:rPr>
                  </w:pPr>
                  <w:r>
                    <w:rPr>
                      <w:rFonts w:hint="eastAsia"/>
                      <w:color w:val="auto"/>
                      <w:highlight w:val="none"/>
                    </w:rPr>
                    <w:t>20</w:t>
                  </w:r>
                </w:p>
              </w:tc>
              <w:tc>
                <w:tcPr>
                  <w:tcW w:w="2461" w:type="dxa"/>
                </w:tcPr>
                <w:p w14:paraId="2BA968FA">
                  <w:pPr>
                    <w:widowControl/>
                    <w:jc w:val="center"/>
                    <w:rPr>
                      <w:color w:val="auto"/>
                      <w:highlight w:val="none"/>
                    </w:rPr>
                  </w:pPr>
                  <w:r>
                    <w:rPr>
                      <w:color w:val="auto"/>
                      <w:highlight w:val="none"/>
                    </w:rPr>
                    <w:t>mg/L</w:t>
                  </w:r>
                </w:p>
              </w:tc>
              <w:tc>
                <w:tcPr>
                  <w:tcW w:w="2461" w:type="dxa"/>
                  <w:vMerge w:val="continue"/>
                </w:tcPr>
                <w:p w14:paraId="1D2D1B36">
                  <w:pPr>
                    <w:widowControl/>
                    <w:jc w:val="center"/>
                    <w:rPr>
                      <w:color w:val="auto"/>
                      <w:highlight w:val="none"/>
                    </w:rPr>
                  </w:pPr>
                </w:p>
              </w:tc>
            </w:tr>
          </w:tbl>
          <w:p w14:paraId="61E2BED9">
            <w:pPr>
              <w:snapToGrid w:val="0"/>
              <w:spacing w:line="360" w:lineRule="auto"/>
              <w:ind w:firstLine="482" w:firstLineChars="200"/>
              <w:jc w:val="left"/>
              <w:rPr>
                <w:b/>
                <w:bCs/>
                <w:color w:val="auto"/>
                <w:sz w:val="24"/>
                <w:highlight w:val="none"/>
              </w:rPr>
            </w:pPr>
          </w:p>
          <w:p w14:paraId="52C065CB">
            <w:pPr>
              <w:snapToGrid w:val="0"/>
              <w:spacing w:line="360" w:lineRule="auto"/>
              <w:ind w:firstLine="482" w:firstLineChars="200"/>
              <w:jc w:val="left"/>
              <w:rPr>
                <w:b/>
                <w:bCs/>
                <w:color w:val="auto"/>
                <w:sz w:val="24"/>
                <w:highlight w:val="none"/>
              </w:rPr>
            </w:pPr>
            <w:r>
              <w:rPr>
                <w:b/>
                <w:bCs/>
                <w:color w:val="auto"/>
                <w:sz w:val="24"/>
                <w:highlight w:val="none"/>
              </w:rPr>
              <w:t>4</w:t>
            </w:r>
            <w:r>
              <w:rPr>
                <w:rFonts w:hint="eastAsia"/>
                <w:b/>
                <w:bCs/>
                <w:color w:val="auto"/>
                <w:sz w:val="24"/>
                <w:highlight w:val="none"/>
              </w:rPr>
              <w:t>、</w:t>
            </w:r>
            <w:r>
              <w:rPr>
                <w:b/>
                <w:bCs/>
                <w:color w:val="auto"/>
                <w:sz w:val="24"/>
                <w:highlight w:val="none"/>
              </w:rPr>
              <w:t>固体废物</w:t>
            </w:r>
          </w:p>
          <w:p w14:paraId="3A0E0A38">
            <w:pPr>
              <w:spacing w:line="360" w:lineRule="auto"/>
              <w:ind w:firstLine="480" w:firstLineChars="200"/>
              <w:rPr>
                <w:color w:val="auto"/>
                <w:sz w:val="24"/>
                <w:highlight w:val="none"/>
              </w:rPr>
            </w:pPr>
            <w:r>
              <w:rPr>
                <w:color w:val="auto"/>
                <w:sz w:val="24"/>
                <w:highlight w:val="none"/>
              </w:rPr>
              <w:t>污水处理站污泥执行《医疗机构水污染物排放标准》（GB18466-2005）医疗机构污泥控制标准，详见下表。</w:t>
            </w:r>
          </w:p>
          <w:p w14:paraId="5A85A346">
            <w:pPr>
              <w:autoSpaceDE w:val="0"/>
              <w:autoSpaceDN w:val="0"/>
              <w:adjustRightInd w:val="0"/>
              <w:jc w:val="center"/>
              <w:rPr>
                <w:b/>
                <w:bCs/>
                <w:color w:val="auto"/>
                <w:sz w:val="24"/>
                <w:highlight w:val="none"/>
              </w:rPr>
            </w:pPr>
          </w:p>
          <w:p w14:paraId="47AAC848">
            <w:pPr>
              <w:autoSpaceDE w:val="0"/>
              <w:autoSpaceDN w:val="0"/>
              <w:adjustRightInd w:val="0"/>
              <w:jc w:val="center"/>
              <w:rPr>
                <w:b/>
                <w:bCs/>
                <w:color w:val="auto"/>
                <w:sz w:val="24"/>
                <w:highlight w:val="none"/>
              </w:rPr>
            </w:pPr>
            <w:r>
              <w:rPr>
                <w:b/>
                <w:bCs/>
                <w:color w:val="auto"/>
                <w:sz w:val="24"/>
                <w:highlight w:val="none"/>
              </w:rPr>
              <w:t>表</w:t>
            </w:r>
            <w:r>
              <w:rPr>
                <w:rFonts w:hint="eastAsia"/>
                <w:b/>
                <w:bCs/>
                <w:color w:val="auto"/>
                <w:sz w:val="24"/>
                <w:highlight w:val="none"/>
              </w:rPr>
              <w:t>3-</w:t>
            </w:r>
            <w:r>
              <w:rPr>
                <w:rFonts w:hint="eastAsia"/>
                <w:b/>
                <w:bCs/>
                <w:color w:val="auto"/>
                <w:sz w:val="24"/>
                <w:highlight w:val="none"/>
                <w:lang w:val="en-US" w:eastAsia="zh-CN"/>
              </w:rPr>
              <w:t>10</w:t>
            </w:r>
            <w:r>
              <w:rPr>
                <w:rFonts w:hint="eastAsia"/>
                <w:b/>
                <w:bCs/>
                <w:color w:val="auto"/>
                <w:sz w:val="24"/>
                <w:highlight w:val="none"/>
              </w:rPr>
              <w:t xml:space="preserve"> </w:t>
            </w:r>
            <w:r>
              <w:rPr>
                <w:b/>
                <w:bCs/>
                <w:color w:val="auto"/>
                <w:sz w:val="24"/>
                <w:highlight w:val="none"/>
              </w:rPr>
              <w:t>医疗机构污泥控制标准表</w:t>
            </w:r>
          </w:p>
          <w:tbl>
            <w:tblPr>
              <w:tblStyle w:val="29"/>
              <w:tblW w:w="5000" w:type="pct"/>
              <w:tblInd w:w="5"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395"/>
              <w:gridCol w:w="1399"/>
              <w:gridCol w:w="1398"/>
              <w:gridCol w:w="1398"/>
              <w:gridCol w:w="1398"/>
              <w:gridCol w:w="1399"/>
            </w:tblGrid>
            <w:tr w14:paraId="2534684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832" w:type="pct"/>
                  <w:tcBorders>
                    <w:tl2br w:val="nil"/>
                    <w:tr2bl w:val="nil"/>
                  </w:tcBorders>
                  <w:vAlign w:val="center"/>
                </w:tcPr>
                <w:p w14:paraId="7DD245FF">
                  <w:pPr>
                    <w:jc w:val="center"/>
                    <w:rPr>
                      <w:color w:val="auto"/>
                      <w:highlight w:val="none"/>
                    </w:rPr>
                  </w:pPr>
                  <w:r>
                    <w:rPr>
                      <w:rFonts w:hint="eastAsia"/>
                      <w:color w:val="auto"/>
                      <w:highlight w:val="none"/>
                    </w:rPr>
                    <w:t>医疗机构类别</w:t>
                  </w:r>
                </w:p>
              </w:tc>
              <w:tc>
                <w:tcPr>
                  <w:tcW w:w="834" w:type="pct"/>
                  <w:tcBorders>
                    <w:tl2br w:val="nil"/>
                    <w:tr2bl w:val="nil"/>
                  </w:tcBorders>
                  <w:vAlign w:val="center"/>
                </w:tcPr>
                <w:p w14:paraId="06D451A9">
                  <w:pPr>
                    <w:jc w:val="center"/>
                    <w:rPr>
                      <w:color w:val="auto"/>
                      <w:highlight w:val="none"/>
                    </w:rPr>
                  </w:pPr>
                  <w:r>
                    <w:rPr>
                      <w:rFonts w:hint="eastAsia"/>
                      <w:color w:val="auto"/>
                      <w:highlight w:val="none"/>
                    </w:rPr>
                    <w:t>粪大肠菌群数</w:t>
                  </w:r>
                </w:p>
                <w:p w14:paraId="1A4D63FD">
                  <w:pPr>
                    <w:jc w:val="center"/>
                    <w:rPr>
                      <w:color w:val="auto"/>
                      <w:highlight w:val="none"/>
                    </w:rPr>
                  </w:pPr>
                  <w:r>
                    <w:rPr>
                      <w:rFonts w:hint="eastAsia"/>
                      <w:color w:val="auto"/>
                      <w:highlight w:val="none"/>
                    </w:rPr>
                    <w:t>（MPN/g）</w:t>
                  </w:r>
                </w:p>
              </w:tc>
              <w:tc>
                <w:tcPr>
                  <w:tcW w:w="833" w:type="pct"/>
                  <w:tcBorders>
                    <w:tl2br w:val="nil"/>
                    <w:tr2bl w:val="nil"/>
                  </w:tcBorders>
                  <w:vAlign w:val="center"/>
                </w:tcPr>
                <w:p w14:paraId="26019F1A">
                  <w:pPr>
                    <w:jc w:val="center"/>
                    <w:rPr>
                      <w:color w:val="auto"/>
                      <w:highlight w:val="none"/>
                    </w:rPr>
                  </w:pPr>
                  <w:r>
                    <w:rPr>
                      <w:rFonts w:hint="eastAsia"/>
                      <w:color w:val="auto"/>
                      <w:highlight w:val="none"/>
                    </w:rPr>
                    <w:t>肠道致病</w:t>
                  </w:r>
                </w:p>
                <w:p w14:paraId="27417925">
                  <w:pPr>
                    <w:jc w:val="center"/>
                    <w:rPr>
                      <w:color w:val="auto"/>
                      <w:highlight w:val="none"/>
                    </w:rPr>
                  </w:pPr>
                  <w:r>
                    <w:rPr>
                      <w:rFonts w:hint="eastAsia"/>
                      <w:color w:val="auto"/>
                      <w:highlight w:val="none"/>
                    </w:rPr>
                    <w:t>菌</w:t>
                  </w:r>
                </w:p>
              </w:tc>
              <w:tc>
                <w:tcPr>
                  <w:tcW w:w="833" w:type="pct"/>
                  <w:tcBorders>
                    <w:tl2br w:val="nil"/>
                    <w:tr2bl w:val="nil"/>
                  </w:tcBorders>
                  <w:vAlign w:val="center"/>
                </w:tcPr>
                <w:p w14:paraId="15D14BF9">
                  <w:pPr>
                    <w:jc w:val="center"/>
                    <w:rPr>
                      <w:color w:val="auto"/>
                      <w:highlight w:val="none"/>
                    </w:rPr>
                  </w:pPr>
                  <w:r>
                    <w:rPr>
                      <w:rFonts w:hint="eastAsia"/>
                      <w:color w:val="auto"/>
                      <w:highlight w:val="none"/>
                    </w:rPr>
                    <w:t>肠道病菌</w:t>
                  </w:r>
                </w:p>
              </w:tc>
              <w:tc>
                <w:tcPr>
                  <w:tcW w:w="833" w:type="pct"/>
                  <w:tcBorders>
                    <w:tl2br w:val="nil"/>
                    <w:tr2bl w:val="nil"/>
                  </w:tcBorders>
                  <w:vAlign w:val="center"/>
                </w:tcPr>
                <w:p w14:paraId="195C4688">
                  <w:pPr>
                    <w:jc w:val="center"/>
                    <w:rPr>
                      <w:color w:val="auto"/>
                      <w:highlight w:val="none"/>
                    </w:rPr>
                  </w:pPr>
                  <w:r>
                    <w:rPr>
                      <w:rFonts w:hint="eastAsia"/>
                      <w:color w:val="auto"/>
                      <w:highlight w:val="none"/>
                    </w:rPr>
                    <w:t>结核杆菌</w:t>
                  </w:r>
                </w:p>
              </w:tc>
              <w:tc>
                <w:tcPr>
                  <w:tcW w:w="834" w:type="pct"/>
                  <w:tcBorders>
                    <w:tl2br w:val="nil"/>
                    <w:tr2bl w:val="nil"/>
                  </w:tcBorders>
                  <w:vAlign w:val="center"/>
                </w:tcPr>
                <w:p w14:paraId="040A964B">
                  <w:pPr>
                    <w:jc w:val="center"/>
                    <w:rPr>
                      <w:color w:val="auto"/>
                      <w:highlight w:val="none"/>
                    </w:rPr>
                  </w:pPr>
                  <w:r>
                    <w:rPr>
                      <w:rFonts w:hint="eastAsia"/>
                      <w:color w:val="auto"/>
                      <w:highlight w:val="none"/>
                    </w:rPr>
                    <w:t>蛔虫卵死亡率（%）</w:t>
                  </w:r>
                </w:p>
              </w:tc>
            </w:tr>
            <w:tr w14:paraId="623CE29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832" w:type="pct"/>
                  <w:tcBorders>
                    <w:tl2br w:val="nil"/>
                    <w:tr2bl w:val="nil"/>
                  </w:tcBorders>
                  <w:vAlign w:val="center"/>
                </w:tcPr>
                <w:p w14:paraId="66914C00">
                  <w:pPr>
                    <w:jc w:val="center"/>
                    <w:rPr>
                      <w:color w:val="auto"/>
                      <w:highlight w:val="none"/>
                    </w:rPr>
                  </w:pPr>
                  <w:r>
                    <w:rPr>
                      <w:rFonts w:hint="eastAsia"/>
                      <w:color w:val="auto"/>
                      <w:highlight w:val="none"/>
                    </w:rPr>
                    <w:t>综合医疗机构和其他医疗机构</w:t>
                  </w:r>
                </w:p>
              </w:tc>
              <w:tc>
                <w:tcPr>
                  <w:tcW w:w="834" w:type="pct"/>
                  <w:tcBorders>
                    <w:tl2br w:val="nil"/>
                    <w:tr2bl w:val="nil"/>
                  </w:tcBorders>
                  <w:vAlign w:val="center"/>
                </w:tcPr>
                <w:p w14:paraId="6F1D7E87">
                  <w:pPr>
                    <w:jc w:val="center"/>
                    <w:rPr>
                      <w:color w:val="auto"/>
                      <w:highlight w:val="none"/>
                    </w:rPr>
                  </w:pPr>
                  <w:r>
                    <w:rPr>
                      <w:rFonts w:hint="eastAsia"/>
                      <w:color w:val="auto"/>
                      <w:highlight w:val="none"/>
                    </w:rPr>
                    <w:t>≤100</w:t>
                  </w:r>
                </w:p>
              </w:tc>
              <w:tc>
                <w:tcPr>
                  <w:tcW w:w="833" w:type="pct"/>
                  <w:tcBorders>
                    <w:tl2br w:val="nil"/>
                    <w:tr2bl w:val="nil"/>
                  </w:tcBorders>
                  <w:vAlign w:val="center"/>
                </w:tcPr>
                <w:p w14:paraId="598BFBC6">
                  <w:pPr>
                    <w:jc w:val="center"/>
                    <w:rPr>
                      <w:color w:val="auto"/>
                      <w:highlight w:val="none"/>
                    </w:rPr>
                  </w:pPr>
                  <w:r>
                    <w:rPr>
                      <w:rFonts w:hint="eastAsia"/>
                      <w:color w:val="auto"/>
                      <w:highlight w:val="none"/>
                    </w:rPr>
                    <w:t>/</w:t>
                  </w:r>
                </w:p>
              </w:tc>
              <w:tc>
                <w:tcPr>
                  <w:tcW w:w="833" w:type="pct"/>
                  <w:tcBorders>
                    <w:tl2br w:val="nil"/>
                    <w:tr2bl w:val="nil"/>
                  </w:tcBorders>
                  <w:vAlign w:val="center"/>
                </w:tcPr>
                <w:p w14:paraId="6A46C926">
                  <w:pPr>
                    <w:jc w:val="center"/>
                    <w:rPr>
                      <w:color w:val="auto"/>
                      <w:highlight w:val="none"/>
                    </w:rPr>
                  </w:pPr>
                  <w:r>
                    <w:rPr>
                      <w:rFonts w:hint="eastAsia"/>
                      <w:color w:val="auto"/>
                      <w:highlight w:val="none"/>
                    </w:rPr>
                    <w:t>/</w:t>
                  </w:r>
                </w:p>
              </w:tc>
              <w:tc>
                <w:tcPr>
                  <w:tcW w:w="833" w:type="pct"/>
                  <w:tcBorders>
                    <w:tl2br w:val="nil"/>
                    <w:tr2bl w:val="nil"/>
                  </w:tcBorders>
                  <w:vAlign w:val="center"/>
                </w:tcPr>
                <w:p w14:paraId="389F9810">
                  <w:pPr>
                    <w:jc w:val="center"/>
                    <w:rPr>
                      <w:color w:val="auto"/>
                      <w:highlight w:val="none"/>
                    </w:rPr>
                  </w:pPr>
                  <w:r>
                    <w:rPr>
                      <w:rFonts w:hint="eastAsia"/>
                      <w:color w:val="auto"/>
                      <w:highlight w:val="none"/>
                    </w:rPr>
                    <w:t>/</w:t>
                  </w:r>
                </w:p>
              </w:tc>
              <w:tc>
                <w:tcPr>
                  <w:tcW w:w="834" w:type="pct"/>
                  <w:tcBorders>
                    <w:tl2br w:val="nil"/>
                    <w:tr2bl w:val="nil"/>
                  </w:tcBorders>
                  <w:vAlign w:val="center"/>
                </w:tcPr>
                <w:p w14:paraId="5D996ECF">
                  <w:pPr>
                    <w:jc w:val="center"/>
                    <w:rPr>
                      <w:color w:val="auto"/>
                      <w:highlight w:val="none"/>
                    </w:rPr>
                  </w:pPr>
                  <w:r>
                    <w:rPr>
                      <w:rFonts w:hint="eastAsia"/>
                      <w:color w:val="auto"/>
                      <w:highlight w:val="none"/>
                    </w:rPr>
                    <w:t>&gt;95</w:t>
                  </w:r>
                </w:p>
              </w:tc>
            </w:tr>
          </w:tbl>
          <w:p w14:paraId="54CDFAE5">
            <w:pPr>
              <w:spacing w:line="360" w:lineRule="auto"/>
              <w:ind w:firstLine="480" w:firstLineChars="200"/>
              <w:rPr>
                <w:color w:val="auto"/>
                <w:sz w:val="24"/>
                <w:highlight w:val="none"/>
              </w:rPr>
            </w:pPr>
          </w:p>
          <w:p w14:paraId="7D1F11EF">
            <w:pPr>
              <w:spacing w:line="360" w:lineRule="auto"/>
              <w:ind w:firstLine="480" w:firstLineChars="200"/>
              <w:rPr>
                <w:color w:val="auto"/>
                <w:sz w:val="24"/>
                <w:highlight w:val="none"/>
              </w:rPr>
            </w:pPr>
            <w:r>
              <w:rPr>
                <w:color w:val="auto"/>
                <w:sz w:val="24"/>
                <w:highlight w:val="none"/>
              </w:rPr>
              <w:t>根据国务院令第380号《医疗废物管理条例》规定，医疗卫生机构应当建立医疗废物的暂时贮存设施、设备，不得露天存放医疗废物，禁止在非收集、非暂时贮存地点倾倒、堆放医疗废物，禁止将医疗废物混入其他废物的生活垃圾；医疗废物应分类收集，并采用符合HJ421要求的包装物进行包装，暂时贮存的时间不得超过2d。医疗废物的贮存执行《危险废物贮存污染控制标准》（GB18597-20</w:t>
            </w:r>
            <w:r>
              <w:rPr>
                <w:rFonts w:hint="eastAsia"/>
                <w:color w:val="auto"/>
                <w:sz w:val="24"/>
                <w:highlight w:val="none"/>
              </w:rPr>
              <w:t>23</w:t>
            </w:r>
            <w:r>
              <w:rPr>
                <w:color w:val="auto"/>
                <w:sz w:val="24"/>
                <w:highlight w:val="none"/>
              </w:rPr>
              <w:t>）中相关要求，医院产生的临床废物，必须当日消毒，消毒后装入容器。</w:t>
            </w:r>
          </w:p>
          <w:p w14:paraId="2BFFE97F">
            <w:pPr>
              <w:spacing w:line="360" w:lineRule="auto"/>
              <w:ind w:firstLine="480" w:firstLineChars="200"/>
              <w:rPr>
                <w:color w:val="auto"/>
                <w:highlight w:val="none"/>
              </w:rPr>
            </w:pPr>
            <w:r>
              <w:rPr>
                <w:color w:val="auto"/>
                <w:sz w:val="24"/>
                <w:highlight w:val="none"/>
              </w:rPr>
              <w:t>一般固废暂存和处置执行《一般工业固体废物贮存和填埋污染控制标准》</w:t>
            </w:r>
            <w:r>
              <w:rPr>
                <w:rFonts w:hint="eastAsia"/>
                <w:color w:val="auto"/>
                <w:sz w:val="24"/>
                <w:highlight w:val="none"/>
                <w:lang w:eastAsia="zh-CN"/>
              </w:rPr>
              <w:t>（</w:t>
            </w:r>
            <w:r>
              <w:rPr>
                <w:color w:val="auto"/>
                <w:sz w:val="24"/>
                <w:highlight w:val="none"/>
              </w:rPr>
              <w:t>GB18599-2020</w:t>
            </w:r>
            <w:r>
              <w:rPr>
                <w:rFonts w:hint="eastAsia"/>
                <w:color w:val="auto"/>
                <w:sz w:val="24"/>
                <w:highlight w:val="none"/>
                <w:lang w:eastAsia="zh-CN"/>
              </w:rPr>
              <w:t>）</w:t>
            </w:r>
            <w:r>
              <w:rPr>
                <w:color w:val="auto"/>
                <w:sz w:val="24"/>
                <w:highlight w:val="none"/>
              </w:rPr>
              <w:t>，危险废物暂存和处置执行《危险废物贮存污染控制标准》（GB18597-20</w:t>
            </w:r>
            <w:r>
              <w:rPr>
                <w:rFonts w:hint="eastAsia"/>
                <w:color w:val="auto"/>
                <w:sz w:val="24"/>
                <w:highlight w:val="none"/>
              </w:rPr>
              <w:t>23</w:t>
            </w:r>
            <w:r>
              <w:rPr>
                <w:color w:val="auto"/>
                <w:sz w:val="24"/>
                <w:highlight w:val="none"/>
              </w:rPr>
              <w:t>）及其修改单要求。</w:t>
            </w:r>
          </w:p>
        </w:tc>
      </w:tr>
      <w:tr w14:paraId="517CD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033CB534">
            <w:pPr>
              <w:adjustRightInd w:val="0"/>
              <w:snapToGrid w:val="0"/>
              <w:jc w:val="center"/>
              <w:rPr>
                <w:color w:val="auto"/>
                <w:kern w:val="0"/>
                <w:sz w:val="24"/>
                <w:highlight w:val="none"/>
              </w:rPr>
            </w:pPr>
            <w:r>
              <w:rPr>
                <w:color w:val="auto"/>
                <w:kern w:val="0"/>
                <w:sz w:val="24"/>
                <w:highlight w:val="none"/>
              </w:rPr>
              <w:t>总量</w:t>
            </w:r>
          </w:p>
          <w:p w14:paraId="4B003C12">
            <w:pPr>
              <w:adjustRightInd w:val="0"/>
              <w:snapToGrid w:val="0"/>
              <w:jc w:val="center"/>
              <w:rPr>
                <w:color w:val="auto"/>
                <w:kern w:val="0"/>
                <w:sz w:val="24"/>
                <w:highlight w:val="none"/>
              </w:rPr>
            </w:pPr>
            <w:r>
              <w:rPr>
                <w:color w:val="auto"/>
                <w:kern w:val="0"/>
                <w:sz w:val="24"/>
                <w:highlight w:val="none"/>
              </w:rPr>
              <w:t>控制</w:t>
            </w:r>
          </w:p>
          <w:p w14:paraId="630D5083">
            <w:pPr>
              <w:adjustRightInd w:val="0"/>
              <w:snapToGrid w:val="0"/>
              <w:jc w:val="center"/>
              <w:rPr>
                <w:color w:val="auto"/>
                <w:kern w:val="0"/>
                <w:szCs w:val="21"/>
                <w:highlight w:val="none"/>
              </w:rPr>
            </w:pPr>
            <w:r>
              <w:rPr>
                <w:color w:val="auto"/>
                <w:kern w:val="0"/>
                <w:sz w:val="24"/>
                <w:highlight w:val="none"/>
              </w:rPr>
              <w:t>指标</w:t>
            </w:r>
          </w:p>
        </w:tc>
        <w:tc>
          <w:tcPr>
            <w:tcW w:w="8190" w:type="dxa"/>
            <w:vAlign w:val="center"/>
          </w:tcPr>
          <w:p w14:paraId="10D6977F">
            <w:pPr>
              <w:spacing w:line="360" w:lineRule="auto"/>
              <w:ind w:firstLine="480" w:firstLineChars="200"/>
              <w:rPr>
                <w:color w:val="auto"/>
                <w:kern w:val="0"/>
                <w:sz w:val="24"/>
                <w:highlight w:val="none"/>
                <w:lang w:val="zh-CN"/>
              </w:rPr>
            </w:pPr>
            <w:r>
              <w:rPr>
                <w:color w:val="auto"/>
                <w:kern w:val="0"/>
                <w:sz w:val="24"/>
                <w:highlight w:val="none"/>
                <w:lang w:val="zh-CN"/>
              </w:rPr>
              <w:t>根据吉林省生态环境厅《关于进一步明确建设项目主要污染物排放总量审核有关事宜的复函》(2022年5月10日）要求按照行业排污绩效，将建设项目污染物排放总量分为重点行业排放管理、一般行业排放管理和其他行业排放管理三类管理方式。</w:t>
            </w:r>
          </w:p>
          <w:p w14:paraId="137E97D0">
            <w:pPr>
              <w:spacing w:line="360" w:lineRule="auto"/>
              <w:ind w:firstLine="480" w:firstLineChars="200"/>
              <w:rPr>
                <w:color w:val="auto"/>
                <w:sz w:val="24"/>
                <w:highlight w:val="none"/>
              </w:rPr>
            </w:pPr>
            <w:r>
              <w:rPr>
                <w:color w:val="auto"/>
                <w:kern w:val="0"/>
                <w:sz w:val="24"/>
                <w:highlight w:val="none"/>
                <w:lang w:val="zh-CN"/>
              </w:rPr>
              <w:t>本项目属于</w:t>
            </w:r>
            <w:r>
              <w:rPr>
                <w:rFonts w:hint="eastAsia"/>
                <w:color w:val="auto"/>
                <w:kern w:val="0"/>
                <w:sz w:val="24"/>
                <w:highlight w:val="none"/>
              </w:rPr>
              <w:t>其他</w:t>
            </w:r>
            <w:r>
              <w:rPr>
                <w:color w:val="auto"/>
                <w:kern w:val="0"/>
                <w:sz w:val="24"/>
                <w:highlight w:val="none"/>
                <w:lang w:val="zh-CN"/>
              </w:rPr>
              <w:t>行业，根据《关于进一步明确建设项目主要污染物排放总量审核有关事宜的复函》(2022年5月10日)中</w:t>
            </w:r>
            <w:r>
              <w:rPr>
                <w:rFonts w:hint="eastAsia"/>
                <w:color w:val="auto"/>
                <w:kern w:val="0"/>
                <w:sz w:val="24"/>
                <w:highlight w:val="none"/>
                <w:lang w:val="zh-CN"/>
              </w:rPr>
              <w:t>“</w:t>
            </w:r>
            <w:r>
              <w:rPr>
                <w:color w:val="auto"/>
                <w:kern w:val="0"/>
                <w:sz w:val="24"/>
                <w:highlight w:val="none"/>
                <w:lang w:val="zh-CN"/>
              </w:rPr>
              <w:t>其他行业因排污量很少或基本不新增排污量，在环评审批过程中予以豁免主要污染物总量审核。各级环评审批部门应自行建立统计台账，纳入环境管理。</w:t>
            </w:r>
            <w:r>
              <w:rPr>
                <w:rFonts w:hint="eastAsia"/>
                <w:color w:val="auto"/>
                <w:kern w:val="0"/>
                <w:sz w:val="24"/>
                <w:highlight w:val="none"/>
                <w:lang w:val="zh-CN"/>
              </w:rPr>
              <w:t>”。</w:t>
            </w:r>
            <w:r>
              <w:rPr>
                <w:rFonts w:hint="eastAsia"/>
                <w:color w:val="auto"/>
                <w:kern w:val="0"/>
                <w:sz w:val="24"/>
                <w:highlight w:val="none"/>
              </w:rPr>
              <w:t>故本项目无需申请总量控制指标。</w:t>
            </w:r>
          </w:p>
          <w:p w14:paraId="7A92D4A2">
            <w:pPr>
              <w:pStyle w:val="33"/>
              <w:keepNext w:val="0"/>
              <w:keepLines w:val="0"/>
              <w:spacing w:before="0" w:after="0" w:line="360" w:lineRule="auto"/>
              <w:ind w:firstLine="480" w:firstLineChars="200"/>
              <w:rPr>
                <w:rFonts w:ascii="Times New Roman" w:hAnsi="Times New Roman" w:cs="Times New Roman"/>
                <w:b w:val="0"/>
                <w:bCs w:val="0"/>
                <w:color w:val="auto"/>
                <w:sz w:val="24"/>
                <w:szCs w:val="24"/>
                <w:highlight w:val="none"/>
              </w:rPr>
            </w:pPr>
            <w:r>
              <w:rPr>
                <w:rFonts w:hint="eastAsia" w:ascii="Times New Roman" w:hAnsi="Times New Roman" w:cs="Times New Roman"/>
                <w:b w:val="0"/>
                <w:bCs w:val="0"/>
                <w:iCs/>
                <w:color w:val="auto"/>
                <w:sz w:val="24"/>
                <w:szCs w:val="24"/>
                <w:highlight w:val="none"/>
              </w:rPr>
              <w:t>本项目COD排放量为0.2t/a；氨氮排放量为0.061t/a。</w:t>
            </w:r>
          </w:p>
          <w:p w14:paraId="6DF45564">
            <w:pPr>
              <w:pStyle w:val="33"/>
              <w:ind w:firstLine="0"/>
              <w:rPr>
                <w:rFonts w:hint="eastAsia"/>
                <w:color w:val="auto"/>
                <w:highlight w:val="none"/>
              </w:rPr>
            </w:pPr>
          </w:p>
        </w:tc>
      </w:tr>
    </w:tbl>
    <w:p w14:paraId="3D76C5B9">
      <w:pPr>
        <w:pStyle w:val="24"/>
        <w:spacing w:before="0" w:beforeAutospacing="0" w:after="0" w:afterAutospacing="0"/>
        <w:jc w:val="center"/>
        <w:outlineLvl w:val="0"/>
        <w:rPr>
          <w:rFonts w:hint="eastAsia" w:ascii="黑体" w:hAnsi="黑体" w:eastAsia="黑体"/>
          <w:snapToGrid w:val="0"/>
          <w:color w:val="auto"/>
          <w:sz w:val="30"/>
          <w:szCs w:val="30"/>
          <w:highlight w:val="none"/>
        </w:rPr>
      </w:pPr>
      <w:r>
        <w:rPr>
          <w:rFonts w:ascii="黑体" w:hAnsi="黑体" w:eastAsia="黑体"/>
          <w:snapToGrid w:val="0"/>
          <w:color w:val="auto"/>
          <w:sz w:val="36"/>
          <w:szCs w:val="36"/>
          <w:highlight w:val="none"/>
        </w:rPr>
        <w:br w:type="page"/>
      </w:r>
      <w:r>
        <w:rPr>
          <w:rFonts w:hint="eastAsia" w:ascii="Times New Roman" w:hAnsi="Times New Roman"/>
          <w:b/>
          <w:bCs/>
          <w:color w:val="auto"/>
          <w:kern w:val="44"/>
          <w:sz w:val="30"/>
          <w:szCs w:val="30"/>
          <w:highlight w:val="none"/>
        </w:rPr>
        <w:t>四、主要环境影响和保护措施</w:t>
      </w:r>
    </w:p>
    <w:tbl>
      <w:tblPr>
        <w:tblStyle w:val="28"/>
        <w:tblW w:w="90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
        <w:gridCol w:w="256"/>
        <w:gridCol w:w="98"/>
        <w:gridCol w:w="8587"/>
        <w:gridCol w:w="40"/>
      </w:tblGrid>
      <w:tr w14:paraId="0FCEC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40" w:type="dxa"/>
          <w:trHeight w:val="969" w:hRule="atLeast"/>
          <w:jc w:val="center"/>
        </w:trPr>
        <w:tc>
          <w:tcPr>
            <w:tcW w:w="354" w:type="dxa"/>
            <w:gridSpan w:val="2"/>
            <w:tcMar>
              <w:left w:w="28" w:type="dxa"/>
              <w:right w:w="28" w:type="dxa"/>
            </w:tcMar>
            <w:vAlign w:val="center"/>
          </w:tcPr>
          <w:p w14:paraId="108C289F">
            <w:pPr>
              <w:pStyle w:val="24"/>
              <w:adjustRightInd w:val="0"/>
              <w:snapToGrid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施工</w:t>
            </w:r>
          </w:p>
          <w:p w14:paraId="6BFF0A24">
            <w:pPr>
              <w:pStyle w:val="24"/>
              <w:adjustRightInd w:val="0"/>
              <w:snapToGrid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期环</w:t>
            </w:r>
          </w:p>
          <w:p w14:paraId="3234F1A1">
            <w:pPr>
              <w:pStyle w:val="24"/>
              <w:adjustRightInd w:val="0"/>
              <w:snapToGrid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境保</w:t>
            </w:r>
          </w:p>
          <w:p w14:paraId="34266C5B">
            <w:pPr>
              <w:pStyle w:val="24"/>
              <w:adjustRightInd w:val="0"/>
              <w:snapToGrid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护措</w:t>
            </w:r>
          </w:p>
          <w:p w14:paraId="4117A1BF">
            <w:pPr>
              <w:pStyle w:val="24"/>
              <w:adjustRightInd w:val="0"/>
              <w:snapToGrid w:val="0"/>
              <w:spacing w:before="0" w:beforeAutospacing="0" w:after="0" w:afterAutospacing="0"/>
              <w:jc w:val="center"/>
              <w:rPr>
                <w:rFonts w:ascii="Times New Roman" w:hAnsi="Times New Roman"/>
                <w:bCs/>
                <w:color w:val="auto"/>
                <w:kern w:val="2"/>
                <w:sz w:val="21"/>
                <w:szCs w:val="21"/>
                <w:highlight w:val="none"/>
              </w:rPr>
            </w:pPr>
            <w:r>
              <w:rPr>
                <w:rFonts w:ascii="Times New Roman" w:hAnsi="Times New Roman"/>
                <w:color w:val="auto"/>
                <w:kern w:val="2"/>
                <w:sz w:val="21"/>
                <w:szCs w:val="21"/>
                <w:highlight w:val="none"/>
              </w:rPr>
              <w:t>施</w:t>
            </w:r>
          </w:p>
        </w:tc>
        <w:tc>
          <w:tcPr>
            <w:tcW w:w="8627" w:type="dxa"/>
            <w:gridSpan w:val="2"/>
            <w:vAlign w:val="center"/>
          </w:tcPr>
          <w:p w14:paraId="42A4E930">
            <w:pPr>
              <w:spacing w:line="360" w:lineRule="auto"/>
              <w:ind w:firstLine="480" w:firstLineChars="200"/>
              <w:rPr>
                <w:color w:val="auto"/>
                <w:sz w:val="24"/>
                <w:highlight w:val="none"/>
              </w:rPr>
            </w:pPr>
            <w:bookmarkStart w:id="12" w:name="_Toc185689352"/>
            <w:bookmarkStart w:id="13" w:name="_Toc230591284"/>
            <w:bookmarkStart w:id="14" w:name="_Toc185687235"/>
            <w:bookmarkStart w:id="15" w:name="_Toc186358672"/>
            <w:bookmarkStart w:id="16" w:name="_Toc230590091"/>
            <w:r>
              <w:rPr>
                <w:color w:val="auto"/>
                <w:sz w:val="24"/>
                <w:highlight w:val="none"/>
                <w:lang w:val="zh-CN"/>
              </w:rPr>
              <w:t>本项目利用现有建筑</w:t>
            </w:r>
            <w:r>
              <w:rPr>
                <w:color w:val="auto"/>
                <w:sz w:val="24"/>
                <w:highlight w:val="none"/>
              </w:rPr>
              <w:t>进行生产</w:t>
            </w:r>
            <w:r>
              <w:rPr>
                <w:color w:val="auto"/>
                <w:sz w:val="24"/>
                <w:highlight w:val="none"/>
                <w:lang w:val="zh-CN"/>
              </w:rPr>
              <w:t>，仅进行内部装修及设备安装，</w:t>
            </w:r>
            <w:r>
              <w:rPr>
                <w:color w:val="auto"/>
                <w:sz w:val="24"/>
                <w:highlight w:val="none"/>
              </w:rPr>
              <w:t>工程均在室内进行，工程量很小，施工期间采取的污染防治措施如下：</w:t>
            </w:r>
          </w:p>
          <w:p w14:paraId="4B92B73F">
            <w:pPr>
              <w:snapToGrid w:val="0"/>
              <w:spacing w:line="360" w:lineRule="auto"/>
              <w:ind w:firstLine="482" w:firstLineChars="200"/>
              <w:rPr>
                <w:b/>
                <w:bCs/>
                <w:color w:val="auto"/>
                <w:sz w:val="24"/>
                <w:highlight w:val="none"/>
              </w:rPr>
            </w:pPr>
            <w:bookmarkStart w:id="17" w:name="_Toc433287227"/>
            <w:r>
              <w:rPr>
                <w:b/>
                <w:bCs/>
                <w:color w:val="auto"/>
                <w:sz w:val="24"/>
                <w:highlight w:val="none"/>
              </w:rPr>
              <w:t>1、施工废气污染防治措施与建议</w:t>
            </w:r>
            <w:bookmarkEnd w:id="12"/>
            <w:bookmarkEnd w:id="13"/>
            <w:bookmarkEnd w:id="14"/>
            <w:bookmarkEnd w:id="15"/>
            <w:bookmarkEnd w:id="16"/>
            <w:bookmarkEnd w:id="17"/>
          </w:p>
          <w:p w14:paraId="568CB970">
            <w:pPr>
              <w:spacing w:line="360" w:lineRule="auto"/>
              <w:ind w:firstLine="480" w:firstLineChars="200"/>
              <w:rPr>
                <w:color w:val="auto"/>
                <w:sz w:val="24"/>
                <w:highlight w:val="none"/>
              </w:rPr>
            </w:pPr>
            <w:bookmarkStart w:id="18" w:name="_Toc186358674"/>
            <w:bookmarkStart w:id="19" w:name="_Toc185689354"/>
            <w:bookmarkStart w:id="20" w:name="_Toc230591286"/>
            <w:bookmarkStart w:id="21" w:name="_Toc185687237"/>
            <w:bookmarkStart w:id="22" w:name="_Toc230590093"/>
            <w:r>
              <w:rPr>
                <w:color w:val="auto"/>
                <w:sz w:val="24"/>
                <w:highlight w:val="none"/>
              </w:rPr>
              <w:t>（</w:t>
            </w:r>
            <w:r>
              <w:rPr>
                <w:rFonts w:hint="eastAsia"/>
                <w:color w:val="auto"/>
                <w:sz w:val="24"/>
                <w:highlight w:val="none"/>
              </w:rPr>
              <w:t>1</w:t>
            </w:r>
            <w:r>
              <w:rPr>
                <w:color w:val="auto"/>
                <w:sz w:val="24"/>
                <w:highlight w:val="none"/>
              </w:rPr>
              <w:t>）施工期间保持室内空气通畅，避免有机废气危害职工身体健康。</w:t>
            </w:r>
          </w:p>
          <w:p w14:paraId="6FB2D773">
            <w:pPr>
              <w:spacing w:line="360" w:lineRule="auto"/>
              <w:ind w:firstLine="480" w:firstLineChars="200"/>
              <w:rPr>
                <w:color w:val="auto"/>
                <w:sz w:val="24"/>
                <w:highlight w:val="none"/>
              </w:rPr>
            </w:pPr>
            <w:r>
              <w:rPr>
                <w:color w:val="auto"/>
                <w:sz w:val="24"/>
                <w:highlight w:val="none"/>
              </w:rPr>
              <w:t>（</w:t>
            </w:r>
            <w:r>
              <w:rPr>
                <w:rFonts w:hint="eastAsia"/>
                <w:color w:val="auto"/>
                <w:sz w:val="24"/>
                <w:highlight w:val="none"/>
              </w:rPr>
              <w:t>2</w:t>
            </w:r>
            <w:r>
              <w:rPr>
                <w:color w:val="auto"/>
                <w:sz w:val="24"/>
                <w:highlight w:val="none"/>
              </w:rPr>
              <w:t>）工程建设期间，建设单位应负责工地周边道路的保洁与清洗责任。</w:t>
            </w:r>
          </w:p>
          <w:bookmarkEnd w:id="18"/>
          <w:bookmarkEnd w:id="19"/>
          <w:bookmarkEnd w:id="20"/>
          <w:bookmarkEnd w:id="21"/>
          <w:bookmarkEnd w:id="22"/>
          <w:p w14:paraId="3B0047D8">
            <w:pPr>
              <w:snapToGrid w:val="0"/>
              <w:spacing w:line="360" w:lineRule="auto"/>
              <w:ind w:firstLine="482" w:firstLineChars="200"/>
              <w:rPr>
                <w:b/>
                <w:bCs/>
                <w:color w:val="auto"/>
                <w:sz w:val="24"/>
                <w:highlight w:val="none"/>
              </w:rPr>
            </w:pPr>
            <w:bookmarkStart w:id="23" w:name="_Toc433287228"/>
            <w:r>
              <w:rPr>
                <w:b/>
                <w:bCs/>
                <w:color w:val="auto"/>
                <w:sz w:val="24"/>
                <w:highlight w:val="none"/>
              </w:rPr>
              <w:t>2、施工废水污染防治措施与建议</w:t>
            </w:r>
            <w:bookmarkEnd w:id="23"/>
          </w:p>
          <w:p w14:paraId="14D1070F">
            <w:pPr>
              <w:spacing w:line="360" w:lineRule="auto"/>
              <w:ind w:firstLine="480"/>
              <w:rPr>
                <w:color w:val="auto"/>
                <w:sz w:val="24"/>
                <w:highlight w:val="none"/>
              </w:rPr>
            </w:pPr>
            <w:bookmarkStart w:id="24" w:name="_Toc230590094"/>
            <w:bookmarkStart w:id="25" w:name="_Toc186358675"/>
            <w:bookmarkStart w:id="26" w:name="_Toc185689355"/>
            <w:bookmarkStart w:id="27" w:name="_Toc185687238"/>
            <w:bookmarkStart w:id="28" w:name="_Toc230591287"/>
            <w:r>
              <w:rPr>
                <w:color w:val="auto"/>
                <w:sz w:val="24"/>
                <w:highlight w:val="none"/>
              </w:rPr>
              <w:t>施工期废水主要为施工人员的生活污水，施工人员不在现场食宿，生活排污市政污水管网。因此，施工期废水不会对地表水环境和周围环境产生影响，防治措施可行。</w:t>
            </w:r>
          </w:p>
          <w:p w14:paraId="320878E8">
            <w:pPr>
              <w:snapToGrid w:val="0"/>
              <w:spacing w:line="360" w:lineRule="auto"/>
              <w:ind w:firstLine="482" w:firstLineChars="200"/>
              <w:rPr>
                <w:b/>
                <w:bCs/>
                <w:color w:val="auto"/>
                <w:sz w:val="24"/>
                <w:highlight w:val="none"/>
              </w:rPr>
            </w:pPr>
            <w:bookmarkStart w:id="29" w:name="_Toc433287229"/>
            <w:r>
              <w:rPr>
                <w:b/>
                <w:bCs/>
                <w:color w:val="auto"/>
                <w:sz w:val="24"/>
                <w:highlight w:val="none"/>
              </w:rPr>
              <w:t>3、施工噪声的污染防治措施</w:t>
            </w:r>
            <w:bookmarkEnd w:id="24"/>
            <w:bookmarkEnd w:id="25"/>
            <w:bookmarkEnd w:id="26"/>
            <w:bookmarkEnd w:id="27"/>
            <w:bookmarkEnd w:id="28"/>
            <w:bookmarkEnd w:id="29"/>
          </w:p>
          <w:p w14:paraId="0A132770">
            <w:pPr>
              <w:spacing w:line="360" w:lineRule="auto"/>
              <w:ind w:firstLine="480" w:firstLineChars="200"/>
              <w:rPr>
                <w:color w:val="auto"/>
                <w:sz w:val="24"/>
                <w:highlight w:val="none"/>
                <w:lang w:val="zh-CN"/>
              </w:rPr>
            </w:pPr>
            <w:r>
              <w:rPr>
                <w:color w:val="auto"/>
                <w:sz w:val="24"/>
                <w:highlight w:val="none"/>
                <w:lang w:val="zh-CN"/>
              </w:rPr>
              <w:t>（1）施工机械设备的选用</w:t>
            </w:r>
          </w:p>
          <w:p w14:paraId="1BDCAE49">
            <w:pPr>
              <w:spacing w:line="360" w:lineRule="auto"/>
              <w:ind w:firstLine="480" w:firstLineChars="200"/>
              <w:rPr>
                <w:color w:val="auto"/>
                <w:sz w:val="24"/>
                <w:highlight w:val="none"/>
                <w:lang w:val="zh-CN"/>
              </w:rPr>
            </w:pPr>
            <w:r>
              <w:rPr>
                <w:color w:val="auto"/>
                <w:sz w:val="24"/>
                <w:highlight w:val="none"/>
                <w:lang w:val="zh-CN"/>
              </w:rPr>
              <w:t>本项目施工期间无大型施工机械设备，噪声源为气泵、电锯等小型施工设备，施工单位应首先选用低噪声的设备，从源头上削减噪声；并应经常维修保养，使施工设备保持正常运转；同时，定期检验设备的噪声声级，以便有效地缩小施工期的噪声影响范围。</w:t>
            </w:r>
          </w:p>
          <w:p w14:paraId="7C16DBA4">
            <w:pPr>
              <w:spacing w:line="360" w:lineRule="auto"/>
              <w:ind w:firstLine="480" w:firstLineChars="200"/>
              <w:rPr>
                <w:color w:val="auto"/>
                <w:sz w:val="24"/>
                <w:highlight w:val="none"/>
                <w:lang w:val="zh-CN"/>
              </w:rPr>
            </w:pPr>
            <w:r>
              <w:rPr>
                <w:color w:val="auto"/>
                <w:sz w:val="24"/>
                <w:highlight w:val="none"/>
                <w:lang w:val="zh-CN"/>
              </w:rPr>
              <w:t>（2）施工设备的安置区域</w:t>
            </w:r>
          </w:p>
          <w:p w14:paraId="13F51A77">
            <w:pPr>
              <w:spacing w:line="360" w:lineRule="auto"/>
              <w:ind w:firstLine="480" w:firstLineChars="200"/>
              <w:rPr>
                <w:color w:val="auto"/>
                <w:sz w:val="24"/>
                <w:highlight w:val="none"/>
                <w:lang w:val="zh-CN"/>
              </w:rPr>
            </w:pPr>
            <w:r>
              <w:rPr>
                <w:color w:val="auto"/>
                <w:sz w:val="24"/>
                <w:highlight w:val="none"/>
                <w:lang w:val="zh-CN"/>
              </w:rPr>
              <w:t>本项目施工期工程基本在室内进行，施工设备运行期间，关闭门窗，可极大的降低施工噪声对环境的影响。</w:t>
            </w:r>
          </w:p>
          <w:p w14:paraId="3D0512AF">
            <w:pPr>
              <w:spacing w:line="360" w:lineRule="auto"/>
              <w:ind w:firstLine="480" w:firstLineChars="200"/>
              <w:rPr>
                <w:color w:val="auto"/>
                <w:sz w:val="24"/>
                <w:highlight w:val="none"/>
                <w:lang w:val="zh-CN"/>
              </w:rPr>
            </w:pPr>
            <w:r>
              <w:rPr>
                <w:color w:val="auto"/>
                <w:sz w:val="24"/>
                <w:highlight w:val="none"/>
                <w:lang w:val="zh-CN"/>
              </w:rPr>
              <w:t>（3）减少作业噪声</w:t>
            </w:r>
          </w:p>
          <w:p w14:paraId="06AA9A0C">
            <w:pPr>
              <w:spacing w:line="360" w:lineRule="auto"/>
              <w:ind w:firstLine="480" w:firstLineChars="200"/>
              <w:rPr>
                <w:color w:val="auto"/>
                <w:sz w:val="24"/>
                <w:highlight w:val="none"/>
                <w:lang w:val="zh-CN"/>
              </w:rPr>
            </w:pPr>
            <w:r>
              <w:rPr>
                <w:color w:val="auto"/>
                <w:sz w:val="24"/>
                <w:highlight w:val="none"/>
                <w:lang w:val="zh-CN"/>
              </w:rPr>
              <w:t>施工部门应统筹安排好施工时间，尽量避免高噪声设备同时、同点作业，以减少作业时的噪声声级。</w:t>
            </w:r>
          </w:p>
          <w:p w14:paraId="59E46300">
            <w:pPr>
              <w:spacing w:line="360" w:lineRule="auto"/>
              <w:ind w:firstLine="480" w:firstLineChars="200"/>
              <w:rPr>
                <w:color w:val="auto"/>
                <w:sz w:val="24"/>
                <w:highlight w:val="none"/>
                <w:lang w:val="zh-CN"/>
              </w:rPr>
            </w:pPr>
            <w:r>
              <w:rPr>
                <w:color w:val="auto"/>
                <w:sz w:val="24"/>
                <w:highlight w:val="none"/>
                <w:lang w:val="zh-CN"/>
              </w:rPr>
              <w:t>（4）施工时间的安排</w:t>
            </w:r>
          </w:p>
          <w:p w14:paraId="29B6CA06">
            <w:pPr>
              <w:spacing w:line="360" w:lineRule="auto"/>
              <w:ind w:firstLine="480" w:firstLineChars="200"/>
              <w:rPr>
                <w:color w:val="auto"/>
                <w:sz w:val="24"/>
                <w:highlight w:val="none"/>
                <w:lang w:val="zh-CN"/>
              </w:rPr>
            </w:pPr>
            <w:r>
              <w:rPr>
                <w:color w:val="auto"/>
                <w:sz w:val="24"/>
                <w:highlight w:val="none"/>
                <w:lang w:val="zh-CN"/>
              </w:rPr>
              <w:t>施工时间尽量安排在昼间，减少对周围环境的影响。</w:t>
            </w:r>
          </w:p>
          <w:p w14:paraId="6471058B">
            <w:pPr>
              <w:snapToGrid w:val="0"/>
              <w:spacing w:line="360" w:lineRule="auto"/>
              <w:ind w:firstLine="482" w:firstLineChars="200"/>
              <w:rPr>
                <w:b/>
                <w:bCs/>
                <w:color w:val="auto"/>
                <w:sz w:val="24"/>
                <w:highlight w:val="none"/>
              </w:rPr>
            </w:pPr>
            <w:bookmarkStart w:id="30" w:name="_Toc230590095"/>
            <w:bookmarkStart w:id="31" w:name="_Toc186358676"/>
            <w:bookmarkStart w:id="32" w:name="_Toc230591288"/>
            <w:bookmarkStart w:id="33" w:name="_Toc185689356"/>
            <w:bookmarkStart w:id="34" w:name="_Toc433287230"/>
            <w:bookmarkStart w:id="35" w:name="_Toc185687239"/>
            <w:r>
              <w:rPr>
                <w:b/>
                <w:bCs/>
                <w:color w:val="auto"/>
                <w:sz w:val="24"/>
                <w:highlight w:val="none"/>
              </w:rPr>
              <w:t>4、施工期固体废物的防治措施</w:t>
            </w:r>
            <w:bookmarkEnd w:id="30"/>
            <w:bookmarkEnd w:id="31"/>
            <w:bookmarkEnd w:id="32"/>
            <w:bookmarkEnd w:id="33"/>
            <w:bookmarkEnd w:id="34"/>
            <w:bookmarkEnd w:id="35"/>
          </w:p>
          <w:p w14:paraId="5EEE9CA1">
            <w:pPr>
              <w:spacing w:line="360" w:lineRule="auto"/>
              <w:ind w:firstLine="480" w:firstLineChars="200"/>
              <w:rPr>
                <w:color w:val="auto"/>
                <w:sz w:val="24"/>
                <w:highlight w:val="none"/>
                <w:lang w:val="zh-CN"/>
              </w:rPr>
            </w:pPr>
            <w:r>
              <w:rPr>
                <w:rFonts w:hint="eastAsia"/>
                <w:color w:val="auto"/>
                <w:sz w:val="24"/>
                <w:highlight w:val="none"/>
              </w:rPr>
              <w:t>本项目施工期主要进行设备安装，不涉及土建施工，</w:t>
            </w:r>
            <w:r>
              <w:rPr>
                <w:color w:val="auto"/>
                <w:sz w:val="24"/>
                <w:highlight w:val="none"/>
                <w:lang w:val="zh-CN"/>
              </w:rPr>
              <w:t>施工期产生的主要固体废物主要为施工人员的生活垃圾，产生量很少。</w:t>
            </w:r>
          </w:p>
          <w:p w14:paraId="02FBC55A">
            <w:pPr>
              <w:spacing w:line="360" w:lineRule="auto"/>
              <w:ind w:firstLine="480" w:firstLineChars="200"/>
              <w:rPr>
                <w:color w:val="auto"/>
                <w:highlight w:val="none"/>
              </w:rPr>
            </w:pPr>
            <w:r>
              <w:rPr>
                <w:color w:val="auto"/>
                <w:sz w:val="24"/>
                <w:highlight w:val="none"/>
                <w:lang w:val="zh-CN"/>
              </w:rPr>
              <w:t>施工期间生活垃圾统一收集，</w:t>
            </w:r>
            <w:r>
              <w:rPr>
                <w:color w:val="auto"/>
                <w:sz w:val="24"/>
                <w:highlight w:val="none"/>
              </w:rPr>
              <w:t>交由环卫部门统一处理</w:t>
            </w:r>
            <w:r>
              <w:rPr>
                <w:color w:val="auto"/>
                <w:sz w:val="24"/>
                <w:highlight w:val="none"/>
                <w:lang w:val="zh-CN"/>
              </w:rPr>
              <w:t>，避免随意抛弃。</w:t>
            </w:r>
            <w:r>
              <w:rPr>
                <w:bCs/>
                <w:color w:val="auto"/>
                <w:sz w:val="24"/>
                <w:highlight w:val="none"/>
                <w:lang w:val="zh-CN"/>
              </w:rPr>
              <w:t>垃圾及时清运，不会对周围环境产生较大的影响。</w:t>
            </w:r>
          </w:p>
        </w:tc>
      </w:tr>
      <w:tr w14:paraId="5C2F3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2482" w:hRule="atLeast"/>
          <w:jc w:val="center"/>
        </w:trPr>
        <w:tc>
          <w:tcPr>
            <w:tcW w:w="296" w:type="dxa"/>
            <w:gridSpan w:val="2"/>
            <w:tcMar>
              <w:left w:w="28" w:type="dxa"/>
              <w:right w:w="28" w:type="dxa"/>
            </w:tcMar>
            <w:vAlign w:val="center"/>
          </w:tcPr>
          <w:p w14:paraId="09C16791">
            <w:pPr>
              <w:adjustRightInd w:val="0"/>
              <w:snapToGrid w:val="0"/>
              <w:jc w:val="center"/>
              <w:rPr>
                <w:bCs/>
                <w:color w:val="auto"/>
                <w:szCs w:val="21"/>
                <w:highlight w:val="none"/>
              </w:rPr>
            </w:pPr>
            <w:bookmarkStart w:id="36" w:name="_Hlk181541817"/>
            <w:r>
              <w:rPr>
                <w:bCs/>
                <w:color w:val="auto"/>
                <w:szCs w:val="21"/>
                <w:highlight w:val="none"/>
              </w:rPr>
              <w:t>运营期环境影响和保护措施</w:t>
            </w:r>
          </w:p>
        </w:tc>
        <w:tc>
          <w:tcPr>
            <w:tcW w:w="8685" w:type="dxa"/>
            <w:gridSpan w:val="2"/>
            <w:vAlign w:val="center"/>
          </w:tcPr>
          <w:p w14:paraId="5BAEE630">
            <w:pPr>
              <w:snapToGrid w:val="0"/>
              <w:spacing w:line="360" w:lineRule="auto"/>
              <w:ind w:firstLine="482" w:firstLineChars="200"/>
              <w:jc w:val="left"/>
              <w:rPr>
                <w:b/>
                <w:bCs/>
                <w:color w:val="auto"/>
                <w:sz w:val="24"/>
                <w:highlight w:val="none"/>
              </w:rPr>
            </w:pPr>
            <w:r>
              <w:rPr>
                <w:b/>
                <w:bCs/>
                <w:color w:val="auto"/>
                <w:sz w:val="24"/>
                <w:highlight w:val="none"/>
              </w:rPr>
              <w:t>1、废气</w:t>
            </w:r>
          </w:p>
          <w:p w14:paraId="5FC1A856">
            <w:pPr>
              <w:spacing w:line="360" w:lineRule="auto"/>
              <w:ind w:firstLine="482" w:firstLineChars="200"/>
              <w:rPr>
                <w:b/>
                <w:bCs/>
                <w:color w:val="auto"/>
                <w:sz w:val="24"/>
                <w:highlight w:val="none"/>
              </w:rPr>
            </w:pPr>
            <w:r>
              <w:rPr>
                <w:b/>
                <w:bCs/>
                <w:color w:val="auto"/>
                <w:sz w:val="24"/>
                <w:highlight w:val="none"/>
              </w:rPr>
              <w:t>1.1</w:t>
            </w:r>
            <w:r>
              <w:rPr>
                <w:b/>
                <w:bCs/>
                <w:color w:val="auto"/>
                <w:sz w:val="24"/>
                <w:highlight w:val="none"/>
                <w:lang w:val="zh-CN"/>
              </w:rPr>
              <w:t>产排污分析</w:t>
            </w:r>
          </w:p>
          <w:p w14:paraId="2363D079">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（1）</w:t>
            </w:r>
            <w:r>
              <w:rPr>
                <w:color w:val="auto"/>
                <w:kern w:val="0"/>
                <w:sz w:val="24"/>
                <w:highlight w:val="none"/>
              </w:rPr>
              <w:t>恶臭气体</w:t>
            </w:r>
          </w:p>
          <w:p w14:paraId="474174A5">
            <w:pPr>
              <w:adjustRightInd w:val="0"/>
              <w:snapToGrid w:val="0"/>
              <w:spacing w:line="360" w:lineRule="auto"/>
              <w:ind w:firstLine="480" w:firstLineChars="200"/>
              <w:rPr>
                <w:color w:val="auto"/>
                <w:kern w:val="0"/>
                <w:sz w:val="24"/>
                <w:highlight w:val="none"/>
              </w:rPr>
            </w:pPr>
            <w:r>
              <w:rPr>
                <w:color w:val="auto"/>
                <w:kern w:val="0"/>
                <w:sz w:val="24"/>
                <w:highlight w:val="none"/>
              </w:rPr>
              <w:t>本项目运营期污水站将产生恶臭气体，主要污染因子为NH</w:t>
            </w:r>
            <w:r>
              <w:rPr>
                <w:color w:val="auto"/>
                <w:kern w:val="0"/>
                <w:sz w:val="24"/>
                <w:highlight w:val="none"/>
                <w:vertAlign w:val="subscript"/>
              </w:rPr>
              <w:t>3</w:t>
            </w:r>
            <w:r>
              <w:rPr>
                <w:color w:val="auto"/>
                <w:kern w:val="0"/>
                <w:sz w:val="24"/>
                <w:highlight w:val="none"/>
              </w:rPr>
              <w:t>和H</w:t>
            </w:r>
            <w:r>
              <w:rPr>
                <w:color w:val="auto"/>
                <w:kern w:val="0"/>
                <w:sz w:val="24"/>
                <w:highlight w:val="none"/>
                <w:vertAlign w:val="subscript"/>
              </w:rPr>
              <w:t>2</w:t>
            </w:r>
            <w:r>
              <w:rPr>
                <w:color w:val="auto"/>
                <w:kern w:val="0"/>
                <w:sz w:val="24"/>
                <w:highlight w:val="none"/>
              </w:rPr>
              <w:t>S。恶臭气体逸出理论复杂，国内外至今没有成熟的预测模型，故本次评价采用类比调查方法确定。</w:t>
            </w:r>
            <w:r>
              <w:rPr>
                <w:color w:val="auto"/>
                <w:kern w:val="0"/>
                <w:sz w:val="24"/>
                <w:highlight w:val="none"/>
              </w:rPr>
              <w:t>柳河县中心医院</w:t>
            </w:r>
            <w:r>
              <w:rPr>
                <w:rFonts w:hint="eastAsia"/>
                <w:color w:val="auto"/>
                <w:kern w:val="0"/>
                <w:sz w:val="24"/>
                <w:highlight w:val="none"/>
                <w:lang w:eastAsia="zh-CN"/>
              </w:rPr>
              <w:t>开放性床位</w:t>
            </w:r>
            <w:r>
              <w:rPr>
                <w:rFonts w:hint="eastAsia"/>
                <w:color w:val="auto"/>
                <w:kern w:val="0"/>
                <w:sz w:val="24"/>
                <w:highlight w:val="none"/>
                <w:lang w:val="en-US" w:eastAsia="zh-CN"/>
              </w:rPr>
              <w:t>236张，其污水站采用生物接触氧化＋二氧化氯消毒工艺，与本项目同为二级生化处理。</w:t>
            </w:r>
            <w:r>
              <w:rPr>
                <w:rFonts w:hint="eastAsia"/>
                <w:color w:val="auto"/>
                <w:kern w:val="0"/>
                <w:sz w:val="24"/>
                <w:highlight w:val="none"/>
              </w:rPr>
              <w:t>污水站恶臭气体治理措施与本项目相同，均为负压收集+活性炭吸附，</w:t>
            </w:r>
            <w:r>
              <w:rPr>
                <w:rFonts w:hint="eastAsia"/>
                <w:color w:val="auto"/>
                <w:kern w:val="0"/>
                <w:sz w:val="24"/>
                <w:highlight w:val="none"/>
                <w:lang w:eastAsia="zh-CN"/>
              </w:rPr>
              <w:t>其废水组成为</w:t>
            </w:r>
            <w:r>
              <w:rPr>
                <w:color w:val="auto"/>
                <w:spacing w:val="-1"/>
                <w:sz w:val="24"/>
                <w:szCs w:val="24"/>
                <w:highlight w:val="none"/>
              </w:rPr>
              <w:t>医院职工</w:t>
            </w:r>
            <w:r>
              <w:rPr>
                <w:rFonts w:hint="eastAsia"/>
                <w:color w:val="auto"/>
                <w:spacing w:val="-1"/>
                <w:sz w:val="24"/>
                <w:szCs w:val="24"/>
                <w:highlight w:val="none"/>
                <w:lang w:val="en-US" w:eastAsia="zh-CN"/>
              </w:rPr>
              <w:t>废</w:t>
            </w:r>
            <w:r>
              <w:rPr>
                <w:color w:val="auto"/>
                <w:spacing w:val="-1"/>
                <w:sz w:val="24"/>
                <w:szCs w:val="24"/>
                <w:highlight w:val="none"/>
              </w:rPr>
              <w:t>水、门诊病人</w:t>
            </w:r>
            <w:r>
              <w:rPr>
                <w:rFonts w:hint="eastAsia"/>
                <w:color w:val="auto"/>
                <w:spacing w:val="-1"/>
                <w:sz w:val="24"/>
                <w:szCs w:val="24"/>
                <w:highlight w:val="none"/>
                <w:lang w:val="en-US" w:eastAsia="zh-CN"/>
              </w:rPr>
              <w:t>废</w:t>
            </w:r>
            <w:r>
              <w:rPr>
                <w:color w:val="auto"/>
                <w:spacing w:val="-1"/>
                <w:sz w:val="24"/>
                <w:szCs w:val="24"/>
                <w:highlight w:val="none"/>
              </w:rPr>
              <w:t>水、住院病人</w:t>
            </w:r>
            <w:r>
              <w:rPr>
                <w:rFonts w:hint="eastAsia"/>
                <w:color w:val="auto"/>
                <w:spacing w:val="-1"/>
                <w:sz w:val="24"/>
                <w:szCs w:val="24"/>
                <w:highlight w:val="none"/>
                <w:lang w:val="en-US" w:eastAsia="zh-CN"/>
              </w:rPr>
              <w:t>废</w:t>
            </w:r>
            <w:r>
              <w:rPr>
                <w:color w:val="auto"/>
                <w:spacing w:val="-1"/>
                <w:sz w:val="24"/>
                <w:szCs w:val="24"/>
                <w:highlight w:val="none"/>
              </w:rPr>
              <w:t>水、</w:t>
            </w:r>
            <w:r>
              <w:rPr>
                <w:color w:val="auto"/>
                <w:spacing w:val="13"/>
                <w:sz w:val="24"/>
                <w:szCs w:val="24"/>
                <w:highlight w:val="none"/>
              </w:rPr>
              <w:t>洗衣房</w:t>
            </w:r>
            <w:r>
              <w:rPr>
                <w:rFonts w:hint="eastAsia"/>
                <w:color w:val="auto"/>
                <w:spacing w:val="13"/>
                <w:sz w:val="24"/>
                <w:szCs w:val="24"/>
                <w:highlight w:val="none"/>
                <w:lang w:val="en-US" w:eastAsia="zh-CN"/>
              </w:rPr>
              <w:t>废</w:t>
            </w:r>
            <w:r>
              <w:rPr>
                <w:color w:val="auto"/>
                <w:spacing w:val="13"/>
                <w:sz w:val="24"/>
                <w:szCs w:val="24"/>
                <w:highlight w:val="none"/>
              </w:rPr>
              <w:t>水、地面清洁</w:t>
            </w:r>
            <w:r>
              <w:rPr>
                <w:rFonts w:hint="eastAsia"/>
                <w:color w:val="auto"/>
                <w:spacing w:val="13"/>
                <w:sz w:val="24"/>
                <w:szCs w:val="24"/>
                <w:highlight w:val="none"/>
                <w:lang w:val="en-US" w:eastAsia="zh-CN"/>
              </w:rPr>
              <w:t>废</w:t>
            </w:r>
            <w:r>
              <w:rPr>
                <w:color w:val="auto"/>
                <w:spacing w:val="13"/>
                <w:sz w:val="24"/>
                <w:szCs w:val="24"/>
                <w:highlight w:val="none"/>
              </w:rPr>
              <w:t>水和</w:t>
            </w:r>
            <w:r>
              <w:rPr>
                <w:rFonts w:hint="eastAsia"/>
                <w:color w:val="auto"/>
                <w:spacing w:val="13"/>
                <w:sz w:val="24"/>
                <w:szCs w:val="24"/>
                <w:highlight w:val="none"/>
                <w:lang w:val="en-US" w:eastAsia="zh-CN"/>
              </w:rPr>
              <w:t>食堂废</w:t>
            </w:r>
            <w:r>
              <w:rPr>
                <w:color w:val="auto"/>
                <w:spacing w:val="13"/>
                <w:sz w:val="24"/>
                <w:szCs w:val="24"/>
                <w:highlight w:val="none"/>
              </w:rPr>
              <w:t>水</w:t>
            </w:r>
            <w:r>
              <w:rPr>
                <w:rFonts w:hint="eastAsia"/>
                <w:color w:val="auto"/>
                <w:spacing w:val="13"/>
                <w:sz w:val="24"/>
                <w:szCs w:val="24"/>
                <w:highlight w:val="none"/>
                <w:lang w:eastAsia="zh-CN"/>
              </w:rPr>
              <w:t>，与本项目废水组成相似，</w:t>
            </w:r>
            <w:r>
              <w:rPr>
                <w:rFonts w:hint="eastAsia"/>
                <w:color w:val="auto"/>
                <w:kern w:val="0"/>
                <w:sz w:val="24"/>
                <w:highlight w:val="none"/>
              </w:rPr>
              <w:t>故本项目臭气浓度类比《柳河县中心医院救治能力提升建设项目竣工环境保护验收监测报告表</w:t>
            </w:r>
            <w:r>
              <w:rPr>
                <w:color w:val="auto"/>
                <w:kern w:val="0"/>
                <w:sz w:val="24"/>
                <w:highlight w:val="none"/>
              </w:rPr>
              <w:t>参</w:t>
            </w:r>
            <w:r>
              <w:rPr>
                <w:rFonts w:hint="eastAsia"/>
                <w:color w:val="auto"/>
                <w:kern w:val="0"/>
                <w:sz w:val="24"/>
                <w:highlight w:val="none"/>
              </w:rPr>
              <w:t>》中监测数据，</w:t>
            </w:r>
            <w:r>
              <w:rPr>
                <w:rFonts w:hint="eastAsia"/>
                <w:i/>
                <w:iCs/>
                <w:color w:val="auto"/>
                <w:kern w:val="0"/>
                <w:sz w:val="24"/>
                <w:highlight w:val="none"/>
                <w:u w:val="single"/>
              </w:rPr>
              <w:t>臭气浓度为199（无量纲），</w:t>
            </w:r>
            <w:r>
              <w:rPr>
                <w:i/>
                <w:iCs/>
                <w:color w:val="auto"/>
                <w:kern w:val="0"/>
                <w:sz w:val="24"/>
                <w:highlight w:val="none"/>
                <w:u w:val="single"/>
              </w:rPr>
              <w:t>NH</w:t>
            </w:r>
            <w:r>
              <w:rPr>
                <w:i/>
                <w:iCs/>
                <w:color w:val="auto"/>
                <w:kern w:val="0"/>
                <w:sz w:val="24"/>
                <w:highlight w:val="none"/>
                <w:u w:val="single"/>
                <w:vertAlign w:val="subscript"/>
              </w:rPr>
              <w:t>3</w:t>
            </w:r>
            <w:r>
              <w:rPr>
                <w:rFonts w:hint="eastAsia"/>
                <w:i/>
                <w:iCs/>
                <w:color w:val="auto"/>
                <w:kern w:val="0"/>
                <w:sz w:val="24"/>
                <w:highlight w:val="none"/>
                <w:u w:val="single"/>
              </w:rPr>
              <w:t>和</w:t>
            </w:r>
            <w:r>
              <w:rPr>
                <w:i/>
                <w:iCs/>
                <w:color w:val="auto"/>
                <w:kern w:val="0"/>
                <w:sz w:val="24"/>
                <w:highlight w:val="none"/>
                <w:u w:val="single"/>
              </w:rPr>
              <w:t>H</w:t>
            </w:r>
            <w:r>
              <w:rPr>
                <w:i/>
                <w:iCs/>
                <w:color w:val="auto"/>
                <w:kern w:val="0"/>
                <w:sz w:val="24"/>
                <w:highlight w:val="none"/>
                <w:u w:val="single"/>
                <w:vertAlign w:val="subscript"/>
              </w:rPr>
              <w:t>2</w:t>
            </w:r>
            <w:r>
              <w:rPr>
                <w:i/>
                <w:iCs/>
                <w:color w:val="auto"/>
                <w:kern w:val="0"/>
                <w:sz w:val="24"/>
                <w:highlight w:val="none"/>
                <w:u w:val="single"/>
              </w:rPr>
              <w:t>S参考美国EPA对医院污水处理站恶臭污染物产生情况的研究，每处理1g的BOD</w:t>
            </w:r>
            <w:r>
              <w:rPr>
                <w:i/>
                <w:iCs/>
                <w:color w:val="auto"/>
                <w:kern w:val="0"/>
                <w:sz w:val="24"/>
                <w:highlight w:val="none"/>
                <w:u w:val="single"/>
                <w:vertAlign w:val="subscript"/>
              </w:rPr>
              <w:t>5</w:t>
            </w:r>
            <w:r>
              <w:rPr>
                <w:i/>
                <w:iCs/>
                <w:color w:val="auto"/>
                <w:kern w:val="0"/>
                <w:sz w:val="24"/>
                <w:highlight w:val="none"/>
                <w:u w:val="single"/>
              </w:rPr>
              <w:t>可产生3.1mg的NH</w:t>
            </w:r>
            <w:r>
              <w:rPr>
                <w:i/>
                <w:iCs/>
                <w:color w:val="auto"/>
                <w:kern w:val="0"/>
                <w:sz w:val="24"/>
                <w:highlight w:val="none"/>
                <w:u w:val="single"/>
                <w:vertAlign w:val="subscript"/>
              </w:rPr>
              <w:t>3</w:t>
            </w:r>
            <w:r>
              <w:rPr>
                <w:i/>
                <w:iCs/>
                <w:color w:val="auto"/>
                <w:kern w:val="0"/>
                <w:sz w:val="24"/>
                <w:highlight w:val="none"/>
                <w:u w:val="single"/>
              </w:rPr>
              <w:t>、0.12mg的H</w:t>
            </w:r>
            <w:r>
              <w:rPr>
                <w:i/>
                <w:iCs/>
                <w:color w:val="auto"/>
                <w:kern w:val="0"/>
                <w:sz w:val="24"/>
                <w:highlight w:val="none"/>
                <w:u w:val="single"/>
                <w:vertAlign w:val="subscript"/>
              </w:rPr>
              <w:t>2</w:t>
            </w:r>
            <w:r>
              <w:rPr>
                <w:i/>
                <w:iCs/>
                <w:color w:val="auto"/>
                <w:kern w:val="0"/>
                <w:sz w:val="24"/>
                <w:highlight w:val="none"/>
                <w:u w:val="single"/>
              </w:rPr>
              <w:t>S</w:t>
            </w:r>
            <w:r>
              <w:rPr>
                <w:rFonts w:hint="eastAsia"/>
                <w:i/>
                <w:iCs/>
                <w:color w:val="auto"/>
                <w:kern w:val="0"/>
                <w:sz w:val="24"/>
                <w:highlight w:val="none"/>
                <w:u w:val="single"/>
              </w:rPr>
              <w:t>。</w:t>
            </w:r>
            <w:r>
              <w:rPr>
                <w:i/>
                <w:iCs/>
                <w:color w:val="auto"/>
                <w:kern w:val="0"/>
                <w:sz w:val="24"/>
                <w:highlight w:val="none"/>
                <w:u w:val="single"/>
              </w:rPr>
              <w:t>项目运营后共削减BOD</w:t>
            </w:r>
            <w:r>
              <w:rPr>
                <w:i/>
                <w:iCs/>
                <w:color w:val="auto"/>
                <w:kern w:val="0"/>
                <w:sz w:val="24"/>
                <w:highlight w:val="none"/>
                <w:u w:val="single"/>
                <w:vertAlign w:val="subscript"/>
              </w:rPr>
              <w:t>5</w:t>
            </w:r>
            <w:r>
              <w:rPr>
                <w:rFonts w:hint="eastAsia"/>
                <w:i/>
                <w:iCs/>
                <w:color w:val="auto"/>
                <w:kern w:val="0"/>
                <w:sz w:val="24"/>
                <w:highlight w:val="none"/>
                <w:u w:val="single"/>
              </w:rPr>
              <w:t>0.504</w:t>
            </w:r>
            <w:r>
              <w:rPr>
                <w:i/>
                <w:iCs/>
                <w:color w:val="auto"/>
                <w:kern w:val="0"/>
                <w:sz w:val="24"/>
                <w:highlight w:val="none"/>
                <w:u w:val="single"/>
              </w:rPr>
              <w:t>t/</w:t>
            </w:r>
            <w:r>
              <w:rPr>
                <w:rFonts w:hint="eastAsia"/>
                <w:i/>
                <w:iCs/>
                <w:color w:val="auto"/>
                <w:kern w:val="0"/>
                <w:sz w:val="24"/>
                <w:highlight w:val="none"/>
                <w:u w:val="single"/>
              </w:rPr>
              <w:t>a，</w:t>
            </w:r>
            <w:r>
              <w:rPr>
                <w:i/>
                <w:iCs/>
                <w:color w:val="auto"/>
                <w:kern w:val="0"/>
                <w:sz w:val="24"/>
                <w:highlight w:val="none"/>
                <w:u w:val="single"/>
              </w:rPr>
              <w:t>则项目产生的NH</w:t>
            </w:r>
            <w:r>
              <w:rPr>
                <w:i/>
                <w:iCs/>
                <w:color w:val="auto"/>
                <w:kern w:val="0"/>
                <w:sz w:val="24"/>
                <w:highlight w:val="none"/>
                <w:u w:val="single"/>
                <w:vertAlign w:val="subscript"/>
              </w:rPr>
              <w:t>3</w:t>
            </w:r>
            <w:r>
              <w:rPr>
                <w:i/>
                <w:iCs/>
                <w:color w:val="auto"/>
                <w:kern w:val="0"/>
                <w:sz w:val="24"/>
                <w:highlight w:val="none"/>
                <w:u w:val="single"/>
              </w:rPr>
              <w:t>和H</w:t>
            </w:r>
            <w:r>
              <w:rPr>
                <w:i/>
                <w:iCs/>
                <w:color w:val="auto"/>
                <w:kern w:val="0"/>
                <w:sz w:val="24"/>
                <w:highlight w:val="none"/>
                <w:u w:val="single"/>
                <w:vertAlign w:val="subscript"/>
              </w:rPr>
              <w:t>2</w:t>
            </w:r>
            <w:r>
              <w:rPr>
                <w:i/>
                <w:iCs/>
                <w:color w:val="auto"/>
                <w:kern w:val="0"/>
                <w:sz w:val="24"/>
                <w:highlight w:val="none"/>
                <w:u w:val="single"/>
              </w:rPr>
              <w:t>S总量分别为</w:t>
            </w:r>
            <w:r>
              <w:rPr>
                <w:rFonts w:hint="eastAsia"/>
                <w:i/>
                <w:iCs/>
                <w:color w:val="auto"/>
                <w:kern w:val="0"/>
                <w:sz w:val="24"/>
                <w:highlight w:val="none"/>
                <w:u w:val="single"/>
              </w:rPr>
              <w:t>1.56k</w:t>
            </w:r>
            <w:r>
              <w:rPr>
                <w:i/>
                <w:iCs/>
                <w:color w:val="auto"/>
                <w:kern w:val="0"/>
                <w:sz w:val="24"/>
                <w:highlight w:val="none"/>
                <w:u w:val="single"/>
              </w:rPr>
              <w:t>g/</w:t>
            </w:r>
            <w:r>
              <w:rPr>
                <w:rFonts w:hint="eastAsia"/>
                <w:i/>
                <w:iCs/>
                <w:color w:val="auto"/>
                <w:kern w:val="0"/>
                <w:sz w:val="24"/>
                <w:highlight w:val="none"/>
                <w:u w:val="single"/>
              </w:rPr>
              <w:t>a</w:t>
            </w:r>
            <w:r>
              <w:rPr>
                <w:i/>
                <w:iCs/>
                <w:color w:val="auto"/>
                <w:kern w:val="0"/>
                <w:sz w:val="24"/>
                <w:highlight w:val="none"/>
                <w:u w:val="single"/>
              </w:rPr>
              <w:t>，</w:t>
            </w:r>
            <w:r>
              <w:rPr>
                <w:rFonts w:hint="eastAsia"/>
                <w:i/>
                <w:iCs/>
                <w:color w:val="auto"/>
                <w:kern w:val="0"/>
                <w:sz w:val="24"/>
                <w:highlight w:val="none"/>
                <w:u w:val="single"/>
              </w:rPr>
              <w:t>0.06k</w:t>
            </w:r>
            <w:r>
              <w:rPr>
                <w:i/>
                <w:iCs/>
                <w:color w:val="auto"/>
                <w:kern w:val="0"/>
                <w:sz w:val="24"/>
                <w:highlight w:val="none"/>
                <w:u w:val="single"/>
              </w:rPr>
              <w:t>g/</w:t>
            </w:r>
            <w:r>
              <w:rPr>
                <w:rFonts w:hint="eastAsia"/>
                <w:i/>
                <w:iCs/>
                <w:color w:val="auto"/>
                <w:kern w:val="0"/>
                <w:sz w:val="24"/>
                <w:highlight w:val="none"/>
                <w:u w:val="single"/>
              </w:rPr>
              <w:t>a。经负压收集（集气效率95%）+活性炭吸附（吸附效率70%）后通过</w:t>
            </w:r>
            <w:r>
              <w:rPr>
                <w:rFonts w:hint="eastAsia"/>
                <w:i/>
                <w:iCs/>
                <w:color w:val="auto"/>
                <w:kern w:val="0"/>
                <w:sz w:val="24"/>
                <w:highlight w:val="none"/>
                <w:u w:val="single"/>
                <w:lang w:eastAsia="zh-CN"/>
              </w:rPr>
              <w:t>高于楼顶</w:t>
            </w:r>
            <w:r>
              <w:rPr>
                <w:rFonts w:hint="eastAsia"/>
                <w:i/>
                <w:iCs/>
                <w:color w:val="auto"/>
                <w:kern w:val="0"/>
                <w:sz w:val="24"/>
                <w:highlight w:val="none"/>
                <w:u w:val="single"/>
              </w:rPr>
              <w:t>排气筒DA001排放，</w:t>
            </w:r>
            <w:r>
              <w:rPr>
                <w:rFonts w:hint="eastAsia"/>
                <w:i/>
                <w:iCs/>
                <w:color w:val="auto"/>
                <w:kern w:val="0"/>
                <w:sz w:val="24"/>
                <w:highlight w:val="none"/>
                <w:u w:val="single"/>
                <w:lang w:eastAsia="zh-CN"/>
              </w:rPr>
              <w:t>项目楼顶约</w:t>
            </w:r>
            <w:r>
              <w:rPr>
                <w:rFonts w:hint="eastAsia"/>
                <w:i/>
                <w:iCs/>
                <w:color w:val="auto"/>
                <w:kern w:val="0"/>
                <w:sz w:val="24"/>
                <w:highlight w:val="none"/>
                <w:u w:val="single"/>
                <w:lang w:val="en-US" w:eastAsia="zh-CN"/>
              </w:rPr>
              <w:t>20.4m，本项目</w:t>
            </w:r>
            <w:r>
              <w:rPr>
                <w:rFonts w:hint="eastAsia"/>
                <w:i/>
                <w:iCs/>
                <w:color w:val="auto"/>
                <w:kern w:val="0"/>
                <w:sz w:val="24"/>
                <w:highlight w:val="none"/>
                <w:u w:val="single"/>
              </w:rPr>
              <w:t>排气筒DA001</w:t>
            </w:r>
            <w:r>
              <w:rPr>
                <w:rFonts w:hint="eastAsia"/>
                <w:i/>
                <w:iCs/>
                <w:color w:val="auto"/>
                <w:kern w:val="0"/>
                <w:sz w:val="24"/>
                <w:highlight w:val="none"/>
                <w:u w:val="single"/>
                <w:lang w:eastAsia="zh-CN"/>
              </w:rPr>
              <w:t>高度设置为</w:t>
            </w:r>
            <w:r>
              <w:rPr>
                <w:rFonts w:hint="eastAsia"/>
                <w:i/>
                <w:iCs/>
                <w:color w:val="auto"/>
                <w:kern w:val="0"/>
                <w:sz w:val="24"/>
                <w:highlight w:val="none"/>
                <w:u w:val="single"/>
                <w:lang w:val="en-US" w:eastAsia="zh-CN"/>
              </w:rPr>
              <w:t>21m，</w:t>
            </w:r>
            <w:r>
              <w:rPr>
                <w:rFonts w:hint="eastAsia"/>
                <w:i/>
                <w:iCs/>
                <w:color w:val="auto"/>
                <w:kern w:val="0"/>
                <w:sz w:val="24"/>
                <w:highlight w:val="none"/>
                <w:u w:val="single"/>
              </w:rPr>
              <w:t>项目污水站间断运行，每日运行时间约为10h，3650h/a，</w:t>
            </w:r>
            <w:r>
              <w:rPr>
                <w:i/>
                <w:iCs/>
                <w:color w:val="auto"/>
                <w:kern w:val="0"/>
                <w:sz w:val="24"/>
                <w:highlight w:val="none"/>
                <w:u w:val="single"/>
              </w:rPr>
              <w:t>NH</w:t>
            </w:r>
            <w:r>
              <w:rPr>
                <w:i/>
                <w:iCs/>
                <w:color w:val="auto"/>
                <w:kern w:val="0"/>
                <w:sz w:val="24"/>
                <w:highlight w:val="none"/>
                <w:u w:val="single"/>
                <w:vertAlign w:val="subscript"/>
              </w:rPr>
              <w:t>3</w:t>
            </w:r>
            <w:r>
              <w:rPr>
                <w:i/>
                <w:iCs/>
                <w:color w:val="auto"/>
                <w:kern w:val="0"/>
                <w:sz w:val="24"/>
                <w:highlight w:val="none"/>
                <w:u w:val="single"/>
              </w:rPr>
              <w:t>和H</w:t>
            </w:r>
            <w:r>
              <w:rPr>
                <w:i/>
                <w:iCs/>
                <w:color w:val="auto"/>
                <w:kern w:val="0"/>
                <w:sz w:val="24"/>
                <w:highlight w:val="none"/>
                <w:u w:val="single"/>
                <w:vertAlign w:val="subscript"/>
              </w:rPr>
              <w:t>2</w:t>
            </w:r>
            <w:r>
              <w:rPr>
                <w:i/>
                <w:iCs/>
                <w:color w:val="auto"/>
                <w:kern w:val="0"/>
                <w:sz w:val="24"/>
                <w:highlight w:val="none"/>
                <w:u w:val="single"/>
              </w:rPr>
              <w:t>S</w:t>
            </w:r>
            <w:r>
              <w:rPr>
                <w:rFonts w:hint="eastAsia"/>
                <w:i/>
                <w:iCs/>
                <w:color w:val="auto"/>
                <w:kern w:val="0"/>
                <w:sz w:val="24"/>
                <w:highlight w:val="none"/>
                <w:u w:val="single"/>
              </w:rPr>
              <w:t>有组织产生量为1.48k</w:t>
            </w:r>
            <w:r>
              <w:rPr>
                <w:i/>
                <w:iCs/>
                <w:color w:val="auto"/>
                <w:kern w:val="0"/>
                <w:sz w:val="24"/>
                <w:highlight w:val="none"/>
                <w:u w:val="single"/>
              </w:rPr>
              <w:t>g/</w:t>
            </w:r>
            <w:r>
              <w:rPr>
                <w:rFonts w:hint="eastAsia"/>
                <w:i/>
                <w:iCs/>
                <w:color w:val="auto"/>
                <w:kern w:val="0"/>
                <w:sz w:val="24"/>
                <w:highlight w:val="none"/>
                <w:u w:val="single"/>
              </w:rPr>
              <w:t>a</w:t>
            </w:r>
            <w:r>
              <w:rPr>
                <w:i/>
                <w:iCs/>
                <w:color w:val="auto"/>
                <w:kern w:val="0"/>
                <w:sz w:val="24"/>
                <w:highlight w:val="none"/>
                <w:u w:val="single"/>
              </w:rPr>
              <w:t>，</w:t>
            </w:r>
            <w:r>
              <w:rPr>
                <w:rFonts w:hint="eastAsia"/>
                <w:i/>
                <w:iCs/>
                <w:color w:val="auto"/>
                <w:kern w:val="0"/>
                <w:sz w:val="24"/>
                <w:highlight w:val="none"/>
                <w:u w:val="single"/>
              </w:rPr>
              <w:t>0.057k</w:t>
            </w:r>
            <w:r>
              <w:rPr>
                <w:i/>
                <w:iCs/>
                <w:color w:val="auto"/>
                <w:kern w:val="0"/>
                <w:sz w:val="24"/>
                <w:highlight w:val="none"/>
                <w:u w:val="single"/>
              </w:rPr>
              <w:t>g/</w:t>
            </w:r>
            <w:r>
              <w:rPr>
                <w:rFonts w:hint="eastAsia"/>
                <w:i/>
                <w:iCs/>
                <w:color w:val="auto"/>
                <w:kern w:val="0"/>
                <w:sz w:val="24"/>
                <w:highlight w:val="none"/>
                <w:u w:val="single"/>
              </w:rPr>
              <w:t>a。有组织产生速率为0.0004kg/h，1.57</w:t>
            </w:r>
            <w:r>
              <w:rPr>
                <w:i/>
                <w:iCs/>
                <w:color w:val="auto"/>
                <w:kern w:val="0"/>
                <w:sz w:val="24"/>
                <w:highlight w:val="none"/>
                <w:u w:val="single"/>
              </w:rPr>
              <w:t>×</w:t>
            </w:r>
            <w:r>
              <w:rPr>
                <w:rFonts w:hint="eastAsia"/>
                <w:i/>
                <w:iCs/>
                <w:color w:val="auto"/>
                <w:kern w:val="0"/>
                <w:sz w:val="24"/>
                <w:highlight w:val="none"/>
                <w:u w:val="single"/>
              </w:rPr>
              <w:t>10</w:t>
            </w:r>
            <w:r>
              <w:rPr>
                <w:rFonts w:hint="eastAsia"/>
                <w:i/>
                <w:iCs/>
                <w:color w:val="auto"/>
                <w:kern w:val="0"/>
                <w:sz w:val="24"/>
                <w:highlight w:val="none"/>
                <w:u w:val="single"/>
                <w:vertAlign w:val="superscript"/>
              </w:rPr>
              <w:t>-5</w:t>
            </w:r>
            <w:r>
              <w:rPr>
                <w:rFonts w:hint="eastAsia"/>
                <w:i/>
                <w:iCs/>
                <w:color w:val="auto"/>
                <w:kern w:val="0"/>
                <w:sz w:val="24"/>
                <w:highlight w:val="none"/>
                <w:u w:val="single"/>
              </w:rPr>
              <w:t>kg/h。</w:t>
            </w:r>
            <w:r>
              <w:rPr>
                <w:i/>
                <w:iCs/>
                <w:color w:val="auto"/>
                <w:kern w:val="0"/>
                <w:sz w:val="24"/>
                <w:highlight w:val="none"/>
                <w:u w:val="single"/>
              </w:rPr>
              <w:t>NH</w:t>
            </w:r>
            <w:r>
              <w:rPr>
                <w:i/>
                <w:iCs/>
                <w:color w:val="auto"/>
                <w:kern w:val="0"/>
                <w:sz w:val="24"/>
                <w:highlight w:val="none"/>
                <w:u w:val="single"/>
                <w:vertAlign w:val="subscript"/>
              </w:rPr>
              <w:t>3</w:t>
            </w:r>
            <w:r>
              <w:rPr>
                <w:i/>
                <w:iCs/>
                <w:color w:val="auto"/>
                <w:kern w:val="0"/>
                <w:sz w:val="24"/>
                <w:highlight w:val="none"/>
                <w:u w:val="single"/>
              </w:rPr>
              <w:t>和H</w:t>
            </w:r>
            <w:r>
              <w:rPr>
                <w:i/>
                <w:iCs/>
                <w:color w:val="auto"/>
                <w:kern w:val="0"/>
                <w:sz w:val="24"/>
                <w:highlight w:val="none"/>
                <w:u w:val="single"/>
                <w:vertAlign w:val="subscript"/>
              </w:rPr>
              <w:t>2</w:t>
            </w:r>
            <w:r>
              <w:rPr>
                <w:i/>
                <w:iCs/>
                <w:color w:val="auto"/>
                <w:kern w:val="0"/>
                <w:sz w:val="24"/>
                <w:highlight w:val="none"/>
                <w:u w:val="single"/>
              </w:rPr>
              <w:t>S</w:t>
            </w:r>
            <w:r>
              <w:rPr>
                <w:rFonts w:hint="eastAsia"/>
                <w:i/>
                <w:iCs/>
                <w:color w:val="auto"/>
                <w:kern w:val="0"/>
                <w:sz w:val="24"/>
                <w:highlight w:val="none"/>
                <w:u w:val="single"/>
              </w:rPr>
              <w:t>无组织产生量为0.09k</w:t>
            </w:r>
            <w:r>
              <w:rPr>
                <w:i/>
                <w:iCs/>
                <w:color w:val="auto"/>
                <w:kern w:val="0"/>
                <w:sz w:val="24"/>
                <w:highlight w:val="none"/>
                <w:u w:val="single"/>
              </w:rPr>
              <w:t>g/</w:t>
            </w:r>
            <w:r>
              <w:rPr>
                <w:rFonts w:hint="eastAsia"/>
                <w:i/>
                <w:iCs/>
                <w:color w:val="auto"/>
                <w:kern w:val="0"/>
                <w:sz w:val="24"/>
                <w:highlight w:val="none"/>
                <w:u w:val="single"/>
              </w:rPr>
              <w:t>a</w:t>
            </w:r>
            <w:r>
              <w:rPr>
                <w:i/>
                <w:iCs/>
                <w:color w:val="auto"/>
                <w:kern w:val="0"/>
                <w:sz w:val="24"/>
                <w:highlight w:val="none"/>
                <w:u w:val="single"/>
              </w:rPr>
              <w:t>，</w:t>
            </w:r>
            <w:r>
              <w:rPr>
                <w:rFonts w:hint="eastAsia"/>
                <w:i/>
                <w:iCs/>
                <w:color w:val="auto"/>
                <w:kern w:val="0"/>
                <w:sz w:val="24"/>
                <w:highlight w:val="none"/>
                <w:u w:val="single"/>
              </w:rPr>
              <w:t>0.003k</w:t>
            </w:r>
            <w:r>
              <w:rPr>
                <w:i/>
                <w:iCs/>
                <w:color w:val="auto"/>
                <w:kern w:val="0"/>
                <w:sz w:val="24"/>
                <w:highlight w:val="none"/>
                <w:u w:val="single"/>
              </w:rPr>
              <w:t>g/</w:t>
            </w:r>
            <w:r>
              <w:rPr>
                <w:rFonts w:hint="eastAsia"/>
                <w:i/>
                <w:iCs/>
                <w:color w:val="auto"/>
                <w:kern w:val="0"/>
                <w:sz w:val="24"/>
                <w:highlight w:val="none"/>
                <w:u w:val="single"/>
              </w:rPr>
              <w:t>a。无组织产生速率为2.47</w:t>
            </w:r>
            <w:r>
              <w:rPr>
                <w:i/>
                <w:iCs/>
                <w:color w:val="auto"/>
                <w:kern w:val="0"/>
                <w:sz w:val="24"/>
                <w:highlight w:val="none"/>
                <w:u w:val="single"/>
              </w:rPr>
              <w:t>×</w:t>
            </w:r>
            <w:r>
              <w:rPr>
                <w:rFonts w:hint="eastAsia"/>
                <w:i/>
                <w:iCs/>
                <w:color w:val="auto"/>
                <w:kern w:val="0"/>
                <w:sz w:val="24"/>
                <w:highlight w:val="none"/>
                <w:u w:val="single"/>
              </w:rPr>
              <w:t>10</w:t>
            </w:r>
            <w:r>
              <w:rPr>
                <w:rFonts w:hint="eastAsia"/>
                <w:i/>
                <w:iCs/>
                <w:color w:val="auto"/>
                <w:kern w:val="0"/>
                <w:sz w:val="24"/>
                <w:highlight w:val="none"/>
                <w:u w:val="single"/>
                <w:vertAlign w:val="superscript"/>
              </w:rPr>
              <w:t>-5</w:t>
            </w:r>
            <w:r>
              <w:rPr>
                <w:rFonts w:hint="eastAsia"/>
                <w:i/>
                <w:iCs/>
                <w:color w:val="auto"/>
                <w:kern w:val="0"/>
                <w:sz w:val="24"/>
                <w:highlight w:val="none"/>
                <w:u w:val="single"/>
              </w:rPr>
              <w:t>kg/h，8.22</w:t>
            </w:r>
            <w:r>
              <w:rPr>
                <w:i/>
                <w:iCs/>
                <w:color w:val="auto"/>
                <w:kern w:val="0"/>
                <w:sz w:val="24"/>
                <w:highlight w:val="none"/>
                <w:u w:val="single"/>
              </w:rPr>
              <w:t>×</w:t>
            </w:r>
            <w:r>
              <w:rPr>
                <w:rFonts w:hint="eastAsia"/>
                <w:i/>
                <w:iCs/>
                <w:color w:val="auto"/>
                <w:kern w:val="0"/>
                <w:sz w:val="24"/>
                <w:highlight w:val="none"/>
                <w:u w:val="single"/>
              </w:rPr>
              <w:t>10</w:t>
            </w:r>
            <w:r>
              <w:rPr>
                <w:rFonts w:hint="eastAsia"/>
                <w:i/>
                <w:iCs/>
                <w:color w:val="auto"/>
                <w:kern w:val="0"/>
                <w:sz w:val="24"/>
                <w:highlight w:val="none"/>
                <w:u w:val="single"/>
                <w:vertAlign w:val="superscript"/>
              </w:rPr>
              <w:t>-7</w:t>
            </w:r>
            <w:r>
              <w:rPr>
                <w:rFonts w:hint="eastAsia"/>
                <w:i/>
                <w:iCs/>
                <w:color w:val="auto"/>
                <w:kern w:val="0"/>
                <w:sz w:val="24"/>
                <w:highlight w:val="none"/>
                <w:u w:val="single"/>
              </w:rPr>
              <w:t>kg/h。</w:t>
            </w:r>
          </w:p>
          <w:p w14:paraId="3524AABE">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本项目污水处理站恶臭气体产生及排放情况详见表4-1。</w:t>
            </w:r>
          </w:p>
          <w:p w14:paraId="5AB71BD4">
            <w:pPr>
              <w:widowControl/>
              <w:jc w:val="center"/>
              <w:rPr>
                <w:b/>
                <w:bCs/>
                <w:color w:val="auto"/>
                <w:sz w:val="24"/>
                <w:highlight w:val="none"/>
              </w:rPr>
            </w:pPr>
            <w:r>
              <w:rPr>
                <w:b/>
                <w:bCs/>
                <w:color w:val="auto"/>
                <w:sz w:val="24"/>
                <w:highlight w:val="none"/>
              </w:rPr>
              <w:t>表4-</w:t>
            </w:r>
            <w:r>
              <w:rPr>
                <w:rFonts w:hint="eastAsia"/>
                <w:b/>
                <w:bCs/>
                <w:color w:val="auto"/>
                <w:sz w:val="24"/>
                <w:highlight w:val="none"/>
              </w:rPr>
              <w:t>1</w:t>
            </w:r>
            <w:r>
              <w:rPr>
                <w:b/>
                <w:bCs/>
                <w:color w:val="auto"/>
                <w:sz w:val="24"/>
                <w:highlight w:val="none"/>
              </w:rPr>
              <w:t xml:space="preserve"> 本项目污水处理站恶臭气体产生及排放情况</w:t>
            </w:r>
          </w:p>
          <w:tbl>
            <w:tblPr>
              <w:tblStyle w:val="29"/>
              <w:tblW w:w="5000" w:type="pct"/>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027"/>
              <w:gridCol w:w="1169"/>
              <w:gridCol w:w="1087"/>
              <w:gridCol w:w="1978"/>
              <w:gridCol w:w="1352"/>
              <w:gridCol w:w="996"/>
            </w:tblGrid>
            <w:tr w14:paraId="720270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Merge w:val="restart"/>
                  <w:tcBorders>
                    <w:tl2br w:val="nil"/>
                    <w:tr2bl w:val="nil"/>
                  </w:tcBorders>
                  <w:vAlign w:val="center"/>
                </w:tcPr>
                <w:p w14:paraId="3DB387EE">
                  <w:pPr>
                    <w:widowControl/>
                    <w:jc w:val="center"/>
                    <w:rPr>
                      <w:color w:val="auto"/>
                      <w:spacing w:val="-2"/>
                      <w:szCs w:val="21"/>
                      <w:highlight w:val="none"/>
                    </w:rPr>
                  </w:pPr>
                  <w:r>
                    <w:rPr>
                      <w:rFonts w:hint="eastAsia"/>
                      <w:color w:val="auto"/>
                      <w:spacing w:val="-2"/>
                      <w:szCs w:val="21"/>
                      <w:highlight w:val="none"/>
                    </w:rPr>
                    <w:t>排放口名称</w:t>
                  </w:r>
                </w:p>
              </w:tc>
              <w:tc>
                <w:tcPr>
                  <w:tcW w:w="606" w:type="pct"/>
                  <w:vMerge w:val="restart"/>
                  <w:tcBorders>
                    <w:tl2br w:val="nil"/>
                    <w:tr2bl w:val="nil"/>
                  </w:tcBorders>
                  <w:vAlign w:val="center"/>
                </w:tcPr>
                <w:p w14:paraId="2B728F3A">
                  <w:pPr>
                    <w:widowControl/>
                    <w:jc w:val="center"/>
                    <w:rPr>
                      <w:color w:val="auto"/>
                      <w:spacing w:val="-2"/>
                      <w:szCs w:val="21"/>
                      <w:highlight w:val="none"/>
                    </w:rPr>
                  </w:pPr>
                  <w:r>
                    <w:rPr>
                      <w:rFonts w:hint="eastAsia"/>
                      <w:color w:val="auto"/>
                      <w:spacing w:val="-2"/>
                      <w:szCs w:val="21"/>
                      <w:highlight w:val="none"/>
                    </w:rPr>
                    <w:t>污染物</w:t>
                  </w:r>
                </w:p>
              </w:tc>
              <w:tc>
                <w:tcPr>
                  <w:tcW w:w="1332" w:type="pct"/>
                  <w:gridSpan w:val="2"/>
                  <w:tcBorders>
                    <w:tl2br w:val="nil"/>
                    <w:tr2bl w:val="nil"/>
                  </w:tcBorders>
                  <w:vAlign w:val="center"/>
                </w:tcPr>
                <w:p w14:paraId="64ED6EC6">
                  <w:pPr>
                    <w:widowControl/>
                    <w:jc w:val="center"/>
                    <w:rPr>
                      <w:color w:val="auto"/>
                      <w:spacing w:val="-2"/>
                      <w:szCs w:val="21"/>
                      <w:highlight w:val="none"/>
                    </w:rPr>
                  </w:pPr>
                  <w:r>
                    <w:rPr>
                      <w:rFonts w:hint="eastAsia"/>
                      <w:color w:val="auto"/>
                      <w:spacing w:val="-2"/>
                      <w:szCs w:val="21"/>
                      <w:highlight w:val="none"/>
                    </w:rPr>
                    <w:t>产生情况</w:t>
                  </w:r>
                </w:p>
              </w:tc>
              <w:tc>
                <w:tcPr>
                  <w:tcW w:w="1168" w:type="pct"/>
                  <w:vMerge w:val="restart"/>
                  <w:tcBorders>
                    <w:tl2br w:val="nil"/>
                    <w:tr2bl w:val="nil"/>
                  </w:tcBorders>
                  <w:vAlign w:val="center"/>
                </w:tcPr>
                <w:p w14:paraId="03BF7F72">
                  <w:pPr>
                    <w:widowControl/>
                    <w:jc w:val="center"/>
                    <w:rPr>
                      <w:color w:val="auto"/>
                      <w:spacing w:val="-2"/>
                      <w:szCs w:val="21"/>
                      <w:highlight w:val="none"/>
                    </w:rPr>
                  </w:pPr>
                  <w:r>
                    <w:rPr>
                      <w:rFonts w:hint="eastAsia"/>
                      <w:color w:val="auto"/>
                      <w:spacing w:val="-2"/>
                      <w:szCs w:val="21"/>
                      <w:highlight w:val="none"/>
                    </w:rPr>
                    <w:t>治理措施</w:t>
                  </w:r>
                </w:p>
              </w:tc>
              <w:tc>
                <w:tcPr>
                  <w:tcW w:w="1386" w:type="pct"/>
                  <w:gridSpan w:val="2"/>
                  <w:tcBorders>
                    <w:tl2br w:val="nil"/>
                    <w:tr2bl w:val="nil"/>
                  </w:tcBorders>
                  <w:vAlign w:val="center"/>
                </w:tcPr>
                <w:p w14:paraId="6488DFE6">
                  <w:pPr>
                    <w:widowControl/>
                    <w:jc w:val="center"/>
                    <w:rPr>
                      <w:color w:val="auto"/>
                      <w:spacing w:val="-2"/>
                      <w:szCs w:val="21"/>
                      <w:highlight w:val="none"/>
                    </w:rPr>
                  </w:pPr>
                  <w:r>
                    <w:rPr>
                      <w:rFonts w:hint="eastAsia"/>
                      <w:color w:val="auto"/>
                      <w:spacing w:val="-2"/>
                      <w:szCs w:val="21"/>
                      <w:highlight w:val="none"/>
                    </w:rPr>
                    <w:t>排放情况</w:t>
                  </w:r>
                </w:p>
              </w:tc>
            </w:tr>
            <w:tr w14:paraId="77D627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Merge w:val="continue"/>
                  <w:tcBorders>
                    <w:tl2br w:val="nil"/>
                    <w:tr2bl w:val="nil"/>
                  </w:tcBorders>
                  <w:vAlign w:val="center"/>
                </w:tcPr>
                <w:p w14:paraId="6296E862">
                  <w:pPr>
                    <w:widowControl/>
                    <w:jc w:val="center"/>
                    <w:rPr>
                      <w:color w:val="auto"/>
                      <w:spacing w:val="-2"/>
                      <w:szCs w:val="21"/>
                      <w:highlight w:val="none"/>
                    </w:rPr>
                  </w:pPr>
                </w:p>
              </w:tc>
              <w:tc>
                <w:tcPr>
                  <w:tcW w:w="606" w:type="pct"/>
                  <w:vMerge w:val="continue"/>
                  <w:tcBorders>
                    <w:tl2br w:val="nil"/>
                    <w:tr2bl w:val="nil"/>
                  </w:tcBorders>
                  <w:vAlign w:val="center"/>
                </w:tcPr>
                <w:p w14:paraId="525DD6AF">
                  <w:pPr>
                    <w:widowControl/>
                    <w:jc w:val="center"/>
                    <w:rPr>
                      <w:color w:val="auto"/>
                      <w:spacing w:val="-2"/>
                      <w:szCs w:val="21"/>
                      <w:highlight w:val="none"/>
                    </w:rPr>
                  </w:pPr>
                </w:p>
              </w:tc>
              <w:tc>
                <w:tcPr>
                  <w:tcW w:w="690" w:type="pct"/>
                  <w:tcBorders>
                    <w:tl2br w:val="nil"/>
                    <w:tr2bl w:val="nil"/>
                  </w:tcBorders>
                  <w:vAlign w:val="center"/>
                </w:tcPr>
                <w:p w14:paraId="7501E4AB">
                  <w:pPr>
                    <w:widowControl/>
                    <w:jc w:val="center"/>
                    <w:rPr>
                      <w:color w:val="auto"/>
                      <w:spacing w:val="-2"/>
                      <w:szCs w:val="21"/>
                      <w:highlight w:val="none"/>
                    </w:rPr>
                  </w:pPr>
                  <w:r>
                    <w:rPr>
                      <w:rFonts w:hint="eastAsia"/>
                      <w:color w:val="auto"/>
                      <w:spacing w:val="-2"/>
                      <w:szCs w:val="21"/>
                      <w:highlight w:val="none"/>
                    </w:rPr>
                    <w:t>产生速率（kg/h）</w:t>
                  </w:r>
                </w:p>
              </w:tc>
              <w:tc>
                <w:tcPr>
                  <w:tcW w:w="642" w:type="pct"/>
                  <w:tcBorders>
                    <w:tl2br w:val="nil"/>
                    <w:tr2bl w:val="nil"/>
                  </w:tcBorders>
                  <w:vAlign w:val="center"/>
                </w:tcPr>
                <w:p w14:paraId="64AE5FF1">
                  <w:pPr>
                    <w:widowControl/>
                    <w:jc w:val="center"/>
                    <w:rPr>
                      <w:color w:val="auto"/>
                      <w:spacing w:val="-2"/>
                      <w:szCs w:val="21"/>
                      <w:highlight w:val="none"/>
                    </w:rPr>
                  </w:pPr>
                  <w:r>
                    <w:rPr>
                      <w:rFonts w:hint="eastAsia"/>
                      <w:color w:val="auto"/>
                      <w:spacing w:val="-2"/>
                      <w:szCs w:val="21"/>
                      <w:highlight w:val="none"/>
                    </w:rPr>
                    <w:t>产生量（kg</w:t>
                  </w:r>
                  <w:r>
                    <w:rPr>
                      <w:color w:val="auto"/>
                      <w:spacing w:val="-2"/>
                      <w:szCs w:val="21"/>
                      <w:highlight w:val="none"/>
                    </w:rPr>
                    <w:t>/</w:t>
                  </w:r>
                  <w:r>
                    <w:rPr>
                      <w:rFonts w:hint="eastAsia"/>
                      <w:color w:val="auto"/>
                      <w:spacing w:val="-2"/>
                      <w:szCs w:val="21"/>
                      <w:highlight w:val="none"/>
                    </w:rPr>
                    <w:t>a）</w:t>
                  </w:r>
                </w:p>
              </w:tc>
              <w:tc>
                <w:tcPr>
                  <w:tcW w:w="1168" w:type="pct"/>
                  <w:vMerge w:val="continue"/>
                  <w:tcBorders>
                    <w:tl2br w:val="nil"/>
                    <w:tr2bl w:val="nil"/>
                  </w:tcBorders>
                  <w:vAlign w:val="center"/>
                </w:tcPr>
                <w:p w14:paraId="10A38914">
                  <w:pPr>
                    <w:widowControl/>
                    <w:jc w:val="center"/>
                    <w:rPr>
                      <w:color w:val="auto"/>
                      <w:spacing w:val="-2"/>
                      <w:szCs w:val="21"/>
                      <w:highlight w:val="none"/>
                    </w:rPr>
                  </w:pPr>
                </w:p>
              </w:tc>
              <w:tc>
                <w:tcPr>
                  <w:tcW w:w="798" w:type="pct"/>
                  <w:tcBorders>
                    <w:tl2br w:val="nil"/>
                    <w:tr2bl w:val="nil"/>
                  </w:tcBorders>
                  <w:vAlign w:val="center"/>
                </w:tcPr>
                <w:p w14:paraId="6CCE86A6">
                  <w:pPr>
                    <w:widowControl/>
                    <w:jc w:val="center"/>
                    <w:rPr>
                      <w:color w:val="auto"/>
                      <w:spacing w:val="-2"/>
                      <w:szCs w:val="21"/>
                      <w:highlight w:val="none"/>
                    </w:rPr>
                  </w:pPr>
                  <w:r>
                    <w:rPr>
                      <w:rFonts w:hint="eastAsia"/>
                      <w:color w:val="auto"/>
                      <w:spacing w:val="-2"/>
                      <w:szCs w:val="21"/>
                      <w:highlight w:val="none"/>
                    </w:rPr>
                    <w:t>排放速率（kg/h）</w:t>
                  </w:r>
                </w:p>
              </w:tc>
              <w:tc>
                <w:tcPr>
                  <w:tcW w:w="587" w:type="pct"/>
                  <w:tcBorders>
                    <w:tl2br w:val="nil"/>
                    <w:tr2bl w:val="nil"/>
                  </w:tcBorders>
                  <w:vAlign w:val="center"/>
                </w:tcPr>
                <w:p w14:paraId="4A108BF6">
                  <w:pPr>
                    <w:widowControl/>
                    <w:jc w:val="center"/>
                    <w:rPr>
                      <w:color w:val="auto"/>
                      <w:spacing w:val="-2"/>
                      <w:szCs w:val="21"/>
                      <w:highlight w:val="none"/>
                    </w:rPr>
                  </w:pPr>
                  <w:r>
                    <w:rPr>
                      <w:rFonts w:hint="eastAsia"/>
                      <w:color w:val="auto"/>
                      <w:spacing w:val="-2"/>
                      <w:szCs w:val="21"/>
                      <w:highlight w:val="none"/>
                    </w:rPr>
                    <w:t>排放量（kg</w:t>
                  </w:r>
                  <w:r>
                    <w:rPr>
                      <w:color w:val="auto"/>
                      <w:spacing w:val="-2"/>
                      <w:szCs w:val="21"/>
                      <w:highlight w:val="none"/>
                    </w:rPr>
                    <w:t>/</w:t>
                  </w:r>
                  <w:r>
                    <w:rPr>
                      <w:rFonts w:hint="eastAsia"/>
                      <w:color w:val="auto"/>
                      <w:spacing w:val="-2"/>
                      <w:szCs w:val="21"/>
                      <w:highlight w:val="none"/>
                    </w:rPr>
                    <w:t>a）</w:t>
                  </w:r>
                </w:p>
              </w:tc>
            </w:tr>
            <w:tr w14:paraId="3D791A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507" w:type="pct"/>
                  <w:vMerge w:val="restart"/>
                  <w:tcBorders>
                    <w:tl2br w:val="nil"/>
                    <w:tr2bl w:val="nil"/>
                  </w:tcBorders>
                  <w:vAlign w:val="center"/>
                </w:tcPr>
                <w:p w14:paraId="6DB13A88">
                  <w:pPr>
                    <w:widowControl/>
                    <w:jc w:val="center"/>
                    <w:rPr>
                      <w:color w:val="auto"/>
                      <w:spacing w:val="-2"/>
                      <w:szCs w:val="21"/>
                      <w:highlight w:val="none"/>
                    </w:rPr>
                  </w:pPr>
                  <w:r>
                    <w:rPr>
                      <w:rFonts w:hint="eastAsia"/>
                      <w:color w:val="auto"/>
                      <w:spacing w:val="-2"/>
                      <w:szCs w:val="21"/>
                      <w:highlight w:val="none"/>
                    </w:rPr>
                    <w:t>污水站恶臭气体排气筒DA001</w:t>
                  </w:r>
                </w:p>
              </w:tc>
              <w:tc>
                <w:tcPr>
                  <w:tcW w:w="606" w:type="pct"/>
                  <w:tcBorders>
                    <w:tl2br w:val="nil"/>
                    <w:tr2bl w:val="nil"/>
                  </w:tcBorders>
                  <w:vAlign w:val="center"/>
                </w:tcPr>
                <w:p w14:paraId="431F5723">
                  <w:pPr>
                    <w:widowControl/>
                    <w:jc w:val="center"/>
                    <w:rPr>
                      <w:color w:val="auto"/>
                      <w:spacing w:val="-2"/>
                      <w:szCs w:val="21"/>
                      <w:highlight w:val="none"/>
                    </w:rPr>
                  </w:pPr>
                  <w:r>
                    <w:rPr>
                      <w:color w:val="auto"/>
                      <w:spacing w:val="-2"/>
                      <w:szCs w:val="21"/>
                      <w:highlight w:val="none"/>
                    </w:rPr>
                    <w:t>NH</w:t>
                  </w:r>
                  <w:r>
                    <w:rPr>
                      <w:color w:val="auto"/>
                      <w:spacing w:val="-2"/>
                      <w:szCs w:val="21"/>
                      <w:highlight w:val="none"/>
                      <w:vertAlign w:val="subscript"/>
                    </w:rPr>
                    <w:t>3</w:t>
                  </w:r>
                </w:p>
              </w:tc>
              <w:tc>
                <w:tcPr>
                  <w:tcW w:w="690" w:type="pct"/>
                  <w:tcBorders>
                    <w:tl2br w:val="nil"/>
                    <w:tr2bl w:val="nil"/>
                  </w:tcBorders>
                  <w:vAlign w:val="center"/>
                </w:tcPr>
                <w:p w14:paraId="245EAA91">
                  <w:pPr>
                    <w:widowControl/>
                    <w:jc w:val="center"/>
                    <w:rPr>
                      <w:color w:val="auto"/>
                      <w:spacing w:val="-2"/>
                      <w:szCs w:val="21"/>
                      <w:highlight w:val="none"/>
                    </w:rPr>
                  </w:pPr>
                  <w:r>
                    <w:rPr>
                      <w:rFonts w:hint="eastAsia"/>
                      <w:color w:val="auto"/>
                      <w:spacing w:val="-2"/>
                      <w:szCs w:val="21"/>
                      <w:highlight w:val="none"/>
                    </w:rPr>
                    <w:t>0.0004</w:t>
                  </w:r>
                </w:p>
              </w:tc>
              <w:tc>
                <w:tcPr>
                  <w:tcW w:w="642" w:type="pct"/>
                  <w:tcBorders>
                    <w:tl2br w:val="nil"/>
                    <w:tr2bl w:val="nil"/>
                  </w:tcBorders>
                  <w:vAlign w:val="center"/>
                </w:tcPr>
                <w:p w14:paraId="5EC22FC6">
                  <w:pPr>
                    <w:widowControl/>
                    <w:jc w:val="center"/>
                    <w:rPr>
                      <w:color w:val="auto"/>
                      <w:spacing w:val="-2"/>
                      <w:szCs w:val="21"/>
                      <w:highlight w:val="none"/>
                    </w:rPr>
                  </w:pPr>
                  <w:r>
                    <w:rPr>
                      <w:rFonts w:hint="eastAsia"/>
                      <w:color w:val="auto"/>
                      <w:spacing w:val="-2"/>
                      <w:szCs w:val="21"/>
                      <w:highlight w:val="none"/>
                    </w:rPr>
                    <w:t>1.48</w:t>
                  </w:r>
                </w:p>
              </w:tc>
              <w:tc>
                <w:tcPr>
                  <w:tcW w:w="1168" w:type="pct"/>
                  <w:vMerge w:val="restart"/>
                  <w:tcBorders>
                    <w:tl2br w:val="nil"/>
                    <w:tr2bl w:val="nil"/>
                  </w:tcBorders>
                  <w:vAlign w:val="center"/>
                </w:tcPr>
                <w:p w14:paraId="5AAFBA7C">
                  <w:pPr>
                    <w:widowControl/>
                    <w:jc w:val="center"/>
                    <w:rPr>
                      <w:color w:val="auto"/>
                      <w:spacing w:val="-2"/>
                      <w:szCs w:val="21"/>
                      <w:highlight w:val="none"/>
                    </w:rPr>
                  </w:pPr>
                  <w:r>
                    <w:rPr>
                      <w:rFonts w:hint="eastAsia"/>
                      <w:color w:val="auto"/>
                      <w:spacing w:val="-2"/>
                      <w:szCs w:val="21"/>
                      <w:highlight w:val="none"/>
                    </w:rPr>
                    <w:t>负压</w:t>
                  </w:r>
                  <w:r>
                    <w:rPr>
                      <w:color w:val="auto"/>
                      <w:spacing w:val="-2"/>
                      <w:szCs w:val="21"/>
                      <w:highlight w:val="none"/>
                    </w:rPr>
                    <w:t>收集（收集效率按照9</w:t>
                  </w:r>
                  <w:r>
                    <w:rPr>
                      <w:rFonts w:hint="eastAsia"/>
                      <w:color w:val="auto"/>
                      <w:spacing w:val="-2"/>
                      <w:szCs w:val="21"/>
                      <w:highlight w:val="none"/>
                    </w:rPr>
                    <w:t>5</w:t>
                  </w:r>
                  <w:r>
                    <w:rPr>
                      <w:color w:val="auto"/>
                      <w:spacing w:val="-2"/>
                      <w:szCs w:val="21"/>
                      <w:highlight w:val="none"/>
                    </w:rPr>
                    <w:t>%计）+</w:t>
                  </w:r>
                  <w:r>
                    <w:rPr>
                      <w:rFonts w:hint="eastAsia"/>
                      <w:color w:val="auto"/>
                      <w:szCs w:val="21"/>
                      <w:highlight w:val="none"/>
                    </w:rPr>
                    <w:t>活性炭</w:t>
                  </w:r>
                  <w:r>
                    <w:rPr>
                      <w:color w:val="auto"/>
                      <w:spacing w:val="-2"/>
                      <w:szCs w:val="21"/>
                      <w:highlight w:val="none"/>
                    </w:rPr>
                    <w:t>吸附（吸附效率不低于</w:t>
                  </w:r>
                  <w:r>
                    <w:rPr>
                      <w:rFonts w:hint="eastAsia"/>
                      <w:color w:val="auto"/>
                      <w:spacing w:val="-2"/>
                      <w:szCs w:val="21"/>
                      <w:highlight w:val="none"/>
                    </w:rPr>
                    <w:t>70</w:t>
                  </w:r>
                  <w:r>
                    <w:rPr>
                      <w:color w:val="auto"/>
                      <w:spacing w:val="-2"/>
                      <w:szCs w:val="21"/>
                      <w:highlight w:val="none"/>
                    </w:rPr>
                    <w:t>%）+根</w:t>
                  </w:r>
                  <w:r>
                    <w:rPr>
                      <w:rFonts w:hint="eastAsia"/>
                      <w:color w:val="auto"/>
                      <w:spacing w:val="-2"/>
                      <w:szCs w:val="21"/>
                      <w:highlight w:val="none"/>
                      <w:lang w:val="en-US" w:eastAsia="zh-CN"/>
                    </w:rPr>
                    <w:t>21</w:t>
                  </w:r>
                  <w:r>
                    <w:rPr>
                      <w:color w:val="auto"/>
                      <w:spacing w:val="-2"/>
                      <w:szCs w:val="21"/>
                      <w:highlight w:val="none"/>
                    </w:rPr>
                    <w:t>m高排气筒排放</w:t>
                  </w:r>
                </w:p>
              </w:tc>
              <w:tc>
                <w:tcPr>
                  <w:tcW w:w="798" w:type="pct"/>
                  <w:tcBorders>
                    <w:tl2br w:val="nil"/>
                    <w:tr2bl w:val="nil"/>
                  </w:tcBorders>
                  <w:vAlign w:val="center"/>
                </w:tcPr>
                <w:p w14:paraId="2292150B">
                  <w:pPr>
                    <w:widowControl/>
                    <w:jc w:val="center"/>
                    <w:textAlignment w:val="center"/>
                    <w:rPr>
                      <w:color w:val="auto"/>
                      <w:spacing w:val="-2"/>
                      <w:szCs w:val="21"/>
                      <w:highlight w:val="none"/>
                    </w:rPr>
                  </w:pPr>
                  <w:r>
                    <w:rPr>
                      <w:rFonts w:hint="eastAsia"/>
                      <w:color w:val="auto"/>
                      <w:spacing w:val="-2"/>
                      <w:szCs w:val="21"/>
                      <w:highlight w:val="none"/>
                    </w:rPr>
                    <w:t>0.00012</w:t>
                  </w:r>
                </w:p>
              </w:tc>
              <w:tc>
                <w:tcPr>
                  <w:tcW w:w="587" w:type="pct"/>
                  <w:tcBorders>
                    <w:tl2br w:val="nil"/>
                    <w:tr2bl w:val="nil"/>
                  </w:tcBorders>
                  <w:vAlign w:val="center"/>
                </w:tcPr>
                <w:p w14:paraId="593E1359">
                  <w:pPr>
                    <w:widowControl/>
                    <w:jc w:val="center"/>
                    <w:textAlignment w:val="center"/>
                    <w:rPr>
                      <w:color w:val="auto"/>
                      <w:spacing w:val="-2"/>
                      <w:szCs w:val="21"/>
                      <w:highlight w:val="none"/>
                    </w:rPr>
                  </w:pPr>
                  <w:r>
                    <w:rPr>
                      <w:rFonts w:hint="eastAsia"/>
                      <w:color w:val="auto"/>
                      <w:spacing w:val="-2"/>
                      <w:szCs w:val="21"/>
                      <w:highlight w:val="none"/>
                    </w:rPr>
                    <w:t>0.444</w:t>
                  </w:r>
                </w:p>
              </w:tc>
            </w:tr>
            <w:tr w14:paraId="1E19A7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507" w:type="pct"/>
                  <w:vMerge w:val="continue"/>
                  <w:tcBorders>
                    <w:tl2br w:val="nil"/>
                    <w:tr2bl w:val="nil"/>
                  </w:tcBorders>
                  <w:vAlign w:val="center"/>
                </w:tcPr>
                <w:p w14:paraId="6A01DE93">
                  <w:pPr>
                    <w:widowControl/>
                    <w:jc w:val="center"/>
                    <w:rPr>
                      <w:color w:val="auto"/>
                      <w:spacing w:val="-2"/>
                      <w:szCs w:val="21"/>
                      <w:highlight w:val="none"/>
                    </w:rPr>
                  </w:pPr>
                </w:p>
              </w:tc>
              <w:tc>
                <w:tcPr>
                  <w:tcW w:w="606" w:type="pct"/>
                  <w:tcBorders>
                    <w:tl2br w:val="nil"/>
                    <w:tr2bl w:val="nil"/>
                  </w:tcBorders>
                  <w:vAlign w:val="center"/>
                </w:tcPr>
                <w:p w14:paraId="64C4AB48">
                  <w:pPr>
                    <w:widowControl/>
                    <w:jc w:val="center"/>
                    <w:rPr>
                      <w:color w:val="auto"/>
                      <w:spacing w:val="-2"/>
                      <w:szCs w:val="21"/>
                      <w:highlight w:val="none"/>
                    </w:rPr>
                  </w:pPr>
                  <w:r>
                    <w:rPr>
                      <w:color w:val="auto"/>
                      <w:spacing w:val="-2"/>
                      <w:szCs w:val="21"/>
                      <w:highlight w:val="none"/>
                    </w:rPr>
                    <w:t>H</w:t>
                  </w:r>
                  <w:r>
                    <w:rPr>
                      <w:color w:val="auto"/>
                      <w:spacing w:val="-2"/>
                      <w:szCs w:val="21"/>
                      <w:highlight w:val="none"/>
                      <w:vertAlign w:val="subscript"/>
                    </w:rPr>
                    <w:t>2</w:t>
                  </w:r>
                  <w:r>
                    <w:rPr>
                      <w:color w:val="auto"/>
                      <w:spacing w:val="-2"/>
                      <w:szCs w:val="21"/>
                      <w:highlight w:val="none"/>
                    </w:rPr>
                    <w:t>S</w:t>
                  </w:r>
                </w:p>
              </w:tc>
              <w:tc>
                <w:tcPr>
                  <w:tcW w:w="690" w:type="pct"/>
                  <w:tcBorders>
                    <w:tl2br w:val="nil"/>
                    <w:tr2bl w:val="nil"/>
                  </w:tcBorders>
                  <w:shd w:val="clear" w:color="auto" w:fill="auto"/>
                  <w:vAlign w:val="center"/>
                </w:tcPr>
                <w:p w14:paraId="67EBC8FD">
                  <w:pPr>
                    <w:widowControl/>
                    <w:jc w:val="center"/>
                    <w:textAlignment w:val="center"/>
                    <w:rPr>
                      <w:color w:val="auto"/>
                      <w:szCs w:val="21"/>
                      <w:highlight w:val="none"/>
                    </w:rPr>
                  </w:pPr>
                  <w:r>
                    <w:rPr>
                      <w:color w:val="auto"/>
                      <w:szCs w:val="21"/>
                      <w:highlight w:val="none"/>
                    </w:rPr>
                    <w:t>1.</w:t>
                  </w:r>
                  <w:r>
                    <w:rPr>
                      <w:rFonts w:hint="eastAsia"/>
                      <w:color w:val="auto"/>
                      <w:szCs w:val="21"/>
                      <w:highlight w:val="none"/>
                    </w:rPr>
                    <w:t>57</w:t>
                  </w:r>
                  <w:r>
                    <w:rPr>
                      <w:color w:val="auto"/>
                      <w:szCs w:val="21"/>
                      <w:highlight w:val="none"/>
                    </w:rPr>
                    <w:t>×10</w:t>
                  </w:r>
                  <w:r>
                    <w:rPr>
                      <w:color w:val="auto"/>
                      <w:szCs w:val="21"/>
                      <w:highlight w:val="none"/>
                      <w:vertAlign w:val="superscript"/>
                    </w:rPr>
                    <w:t>-5</w:t>
                  </w:r>
                </w:p>
              </w:tc>
              <w:tc>
                <w:tcPr>
                  <w:tcW w:w="642" w:type="pct"/>
                  <w:tcBorders>
                    <w:tl2br w:val="nil"/>
                    <w:tr2bl w:val="nil"/>
                  </w:tcBorders>
                  <w:vAlign w:val="center"/>
                </w:tcPr>
                <w:p w14:paraId="5B8A77F6">
                  <w:pPr>
                    <w:widowControl/>
                    <w:jc w:val="center"/>
                    <w:rPr>
                      <w:color w:val="auto"/>
                      <w:spacing w:val="-2"/>
                      <w:szCs w:val="21"/>
                      <w:highlight w:val="none"/>
                    </w:rPr>
                  </w:pPr>
                  <w:r>
                    <w:rPr>
                      <w:rFonts w:hint="eastAsia"/>
                      <w:color w:val="auto"/>
                      <w:spacing w:val="-2"/>
                      <w:szCs w:val="21"/>
                      <w:highlight w:val="none"/>
                    </w:rPr>
                    <w:t>0.057</w:t>
                  </w:r>
                </w:p>
              </w:tc>
              <w:tc>
                <w:tcPr>
                  <w:tcW w:w="1168" w:type="pct"/>
                  <w:vMerge w:val="continue"/>
                  <w:tcBorders>
                    <w:tl2br w:val="nil"/>
                    <w:tr2bl w:val="nil"/>
                  </w:tcBorders>
                  <w:vAlign w:val="center"/>
                </w:tcPr>
                <w:p w14:paraId="6A290157">
                  <w:pPr>
                    <w:widowControl/>
                    <w:jc w:val="center"/>
                    <w:rPr>
                      <w:color w:val="auto"/>
                      <w:spacing w:val="-2"/>
                      <w:szCs w:val="21"/>
                      <w:highlight w:val="none"/>
                    </w:rPr>
                  </w:pPr>
                </w:p>
              </w:tc>
              <w:tc>
                <w:tcPr>
                  <w:tcW w:w="798" w:type="pct"/>
                  <w:tcBorders>
                    <w:tl2br w:val="nil"/>
                    <w:tr2bl w:val="nil"/>
                  </w:tcBorders>
                  <w:vAlign w:val="center"/>
                </w:tcPr>
                <w:p w14:paraId="422552CD">
                  <w:pPr>
                    <w:widowControl/>
                    <w:jc w:val="center"/>
                    <w:textAlignment w:val="center"/>
                    <w:rPr>
                      <w:color w:val="auto"/>
                      <w:spacing w:val="-2"/>
                      <w:szCs w:val="21"/>
                      <w:highlight w:val="none"/>
                    </w:rPr>
                  </w:pPr>
                  <w:r>
                    <w:rPr>
                      <w:rFonts w:hint="eastAsia"/>
                      <w:color w:val="auto"/>
                      <w:szCs w:val="21"/>
                      <w:highlight w:val="none"/>
                    </w:rPr>
                    <w:t>4.71</w:t>
                  </w:r>
                  <w:r>
                    <w:rPr>
                      <w:color w:val="auto"/>
                      <w:szCs w:val="21"/>
                      <w:highlight w:val="none"/>
                    </w:rPr>
                    <w:t>×10</w:t>
                  </w:r>
                  <w:r>
                    <w:rPr>
                      <w:color w:val="auto"/>
                      <w:szCs w:val="21"/>
                      <w:highlight w:val="none"/>
                      <w:vertAlign w:val="superscript"/>
                    </w:rPr>
                    <w:t>-</w:t>
                  </w:r>
                  <w:r>
                    <w:rPr>
                      <w:rFonts w:hint="eastAsia"/>
                      <w:color w:val="auto"/>
                      <w:szCs w:val="21"/>
                      <w:highlight w:val="none"/>
                      <w:vertAlign w:val="superscript"/>
                    </w:rPr>
                    <w:t>6</w:t>
                  </w:r>
                </w:p>
              </w:tc>
              <w:tc>
                <w:tcPr>
                  <w:tcW w:w="587" w:type="pct"/>
                  <w:tcBorders>
                    <w:tl2br w:val="nil"/>
                    <w:tr2bl w:val="nil"/>
                  </w:tcBorders>
                  <w:vAlign w:val="center"/>
                </w:tcPr>
                <w:p w14:paraId="2CE66767">
                  <w:pPr>
                    <w:widowControl/>
                    <w:jc w:val="center"/>
                    <w:textAlignment w:val="center"/>
                    <w:rPr>
                      <w:color w:val="auto"/>
                      <w:spacing w:val="-2"/>
                      <w:szCs w:val="21"/>
                      <w:highlight w:val="none"/>
                    </w:rPr>
                  </w:pPr>
                  <w:r>
                    <w:rPr>
                      <w:rFonts w:hint="eastAsia"/>
                      <w:color w:val="auto"/>
                      <w:spacing w:val="-2"/>
                      <w:szCs w:val="21"/>
                      <w:highlight w:val="none"/>
                    </w:rPr>
                    <w:t>0.0171</w:t>
                  </w:r>
                </w:p>
              </w:tc>
            </w:tr>
            <w:tr w14:paraId="29D845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Merge w:val="restart"/>
                  <w:tcBorders>
                    <w:tl2br w:val="nil"/>
                    <w:tr2bl w:val="nil"/>
                  </w:tcBorders>
                  <w:vAlign w:val="center"/>
                </w:tcPr>
                <w:p w14:paraId="593F4F81">
                  <w:pPr>
                    <w:widowControl/>
                    <w:jc w:val="center"/>
                    <w:rPr>
                      <w:color w:val="auto"/>
                      <w:spacing w:val="-2"/>
                      <w:szCs w:val="21"/>
                      <w:highlight w:val="none"/>
                    </w:rPr>
                  </w:pPr>
                  <w:r>
                    <w:rPr>
                      <w:rFonts w:hint="eastAsia"/>
                      <w:color w:val="auto"/>
                      <w:spacing w:val="-2"/>
                      <w:szCs w:val="21"/>
                      <w:highlight w:val="none"/>
                    </w:rPr>
                    <w:t>无组织</w:t>
                  </w:r>
                </w:p>
              </w:tc>
              <w:tc>
                <w:tcPr>
                  <w:tcW w:w="606" w:type="pct"/>
                  <w:tcBorders>
                    <w:tl2br w:val="nil"/>
                    <w:tr2bl w:val="nil"/>
                  </w:tcBorders>
                  <w:shd w:val="clear" w:color="auto" w:fill="auto"/>
                  <w:vAlign w:val="center"/>
                </w:tcPr>
                <w:p w14:paraId="6CD9E72B">
                  <w:pPr>
                    <w:widowControl/>
                    <w:jc w:val="center"/>
                    <w:rPr>
                      <w:color w:val="auto"/>
                      <w:spacing w:val="-2"/>
                      <w:szCs w:val="21"/>
                      <w:highlight w:val="none"/>
                    </w:rPr>
                  </w:pPr>
                  <w:r>
                    <w:rPr>
                      <w:color w:val="auto"/>
                      <w:spacing w:val="-2"/>
                      <w:szCs w:val="21"/>
                      <w:highlight w:val="none"/>
                    </w:rPr>
                    <w:t>NH</w:t>
                  </w:r>
                  <w:r>
                    <w:rPr>
                      <w:color w:val="auto"/>
                      <w:spacing w:val="-2"/>
                      <w:szCs w:val="21"/>
                      <w:highlight w:val="none"/>
                      <w:vertAlign w:val="subscript"/>
                    </w:rPr>
                    <w:t>3</w:t>
                  </w:r>
                </w:p>
              </w:tc>
              <w:tc>
                <w:tcPr>
                  <w:tcW w:w="1155" w:type="dxa"/>
                  <w:tcBorders>
                    <w:tl2br w:val="nil"/>
                    <w:tr2bl w:val="nil"/>
                  </w:tcBorders>
                  <w:shd w:val="clear" w:color="auto" w:fill="auto"/>
                  <w:vAlign w:val="center"/>
                </w:tcPr>
                <w:p w14:paraId="7E865E9E">
                  <w:pPr>
                    <w:widowControl/>
                    <w:jc w:val="center"/>
                    <w:rPr>
                      <w:color w:val="auto"/>
                      <w:kern w:val="0"/>
                      <w:szCs w:val="21"/>
                      <w:highlight w:val="none"/>
                      <w:lang w:bidi="ar"/>
                    </w:rPr>
                  </w:pPr>
                  <w:r>
                    <w:rPr>
                      <w:rFonts w:hint="eastAsia"/>
                      <w:color w:val="auto"/>
                      <w:szCs w:val="21"/>
                      <w:highlight w:val="none"/>
                    </w:rPr>
                    <w:t>2.47</w:t>
                  </w:r>
                  <w:r>
                    <w:rPr>
                      <w:color w:val="auto"/>
                      <w:szCs w:val="21"/>
                      <w:highlight w:val="none"/>
                    </w:rPr>
                    <w:t>×10</w:t>
                  </w:r>
                  <w:r>
                    <w:rPr>
                      <w:color w:val="auto"/>
                      <w:szCs w:val="21"/>
                      <w:highlight w:val="none"/>
                      <w:vertAlign w:val="superscript"/>
                    </w:rPr>
                    <w:t>-5</w:t>
                  </w:r>
                </w:p>
              </w:tc>
              <w:tc>
                <w:tcPr>
                  <w:tcW w:w="1074" w:type="dxa"/>
                  <w:tcBorders>
                    <w:tl2br w:val="nil"/>
                    <w:tr2bl w:val="nil"/>
                  </w:tcBorders>
                  <w:vAlign w:val="center"/>
                </w:tcPr>
                <w:p w14:paraId="03E8D94D">
                  <w:pPr>
                    <w:widowControl/>
                    <w:jc w:val="center"/>
                    <w:textAlignment w:val="center"/>
                    <w:rPr>
                      <w:color w:val="auto"/>
                      <w:spacing w:val="-2"/>
                      <w:szCs w:val="21"/>
                      <w:highlight w:val="none"/>
                    </w:rPr>
                  </w:pPr>
                  <w:r>
                    <w:rPr>
                      <w:rFonts w:hint="eastAsia"/>
                      <w:color w:val="auto"/>
                      <w:kern w:val="0"/>
                      <w:szCs w:val="21"/>
                      <w:highlight w:val="none"/>
                      <w:lang w:bidi="ar"/>
                    </w:rPr>
                    <w:t>0.09</w:t>
                  </w:r>
                </w:p>
              </w:tc>
              <w:tc>
                <w:tcPr>
                  <w:tcW w:w="1168" w:type="pct"/>
                  <w:vMerge w:val="restart"/>
                  <w:tcBorders>
                    <w:tl2br w:val="nil"/>
                    <w:tr2bl w:val="nil"/>
                  </w:tcBorders>
                  <w:vAlign w:val="center"/>
                </w:tcPr>
                <w:p w14:paraId="16E502DE">
                  <w:pPr>
                    <w:widowControl/>
                    <w:jc w:val="center"/>
                    <w:rPr>
                      <w:color w:val="auto"/>
                      <w:spacing w:val="-2"/>
                      <w:szCs w:val="21"/>
                      <w:highlight w:val="none"/>
                    </w:rPr>
                  </w:pPr>
                  <w:r>
                    <w:rPr>
                      <w:rFonts w:hint="eastAsia"/>
                      <w:color w:val="auto"/>
                      <w:spacing w:val="-2"/>
                      <w:szCs w:val="21"/>
                      <w:highlight w:val="none"/>
                    </w:rPr>
                    <w:t>加强收集效率</w:t>
                  </w:r>
                </w:p>
              </w:tc>
              <w:tc>
                <w:tcPr>
                  <w:tcW w:w="1337" w:type="dxa"/>
                  <w:tcBorders>
                    <w:tl2br w:val="nil"/>
                    <w:tr2bl w:val="nil"/>
                  </w:tcBorders>
                  <w:shd w:val="clear" w:color="auto" w:fill="auto"/>
                  <w:vAlign w:val="center"/>
                </w:tcPr>
                <w:p w14:paraId="6AABB259">
                  <w:pPr>
                    <w:widowControl/>
                    <w:jc w:val="center"/>
                    <w:rPr>
                      <w:color w:val="auto"/>
                      <w:kern w:val="0"/>
                      <w:szCs w:val="21"/>
                      <w:highlight w:val="none"/>
                      <w:lang w:bidi="ar"/>
                    </w:rPr>
                  </w:pPr>
                  <w:r>
                    <w:rPr>
                      <w:rFonts w:hint="eastAsia"/>
                      <w:color w:val="auto"/>
                      <w:szCs w:val="21"/>
                      <w:highlight w:val="none"/>
                    </w:rPr>
                    <w:t>2.47</w:t>
                  </w:r>
                  <w:r>
                    <w:rPr>
                      <w:color w:val="auto"/>
                      <w:szCs w:val="21"/>
                      <w:highlight w:val="none"/>
                    </w:rPr>
                    <w:t>×10</w:t>
                  </w:r>
                  <w:r>
                    <w:rPr>
                      <w:color w:val="auto"/>
                      <w:szCs w:val="21"/>
                      <w:highlight w:val="none"/>
                      <w:vertAlign w:val="superscript"/>
                    </w:rPr>
                    <w:t>-5</w:t>
                  </w:r>
                </w:p>
              </w:tc>
              <w:tc>
                <w:tcPr>
                  <w:tcW w:w="1026" w:type="dxa"/>
                  <w:tcBorders>
                    <w:tl2br w:val="nil"/>
                    <w:tr2bl w:val="nil"/>
                  </w:tcBorders>
                  <w:shd w:val="clear" w:color="auto" w:fill="auto"/>
                  <w:vAlign w:val="center"/>
                </w:tcPr>
                <w:p w14:paraId="57E5E6E8">
                  <w:pPr>
                    <w:widowControl/>
                    <w:jc w:val="center"/>
                    <w:textAlignment w:val="center"/>
                    <w:rPr>
                      <w:color w:val="auto"/>
                      <w:spacing w:val="-2"/>
                      <w:szCs w:val="21"/>
                      <w:highlight w:val="none"/>
                    </w:rPr>
                  </w:pPr>
                  <w:r>
                    <w:rPr>
                      <w:rFonts w:hint="eastAsia"/>
                      <w:color w:val="auto"/>
                      <w:kern w:val="0"/>
                      <w:szCs w:val="21"/>
                      <w:highlight w:val="none"/>
                      <w:lang w:bidi="ar"/>
                    </w:rPr>
                    <w:t>0.09</w:t>
                  </w:r>
                </w:p>
              </w:tc>
            </w:tr>
            <w:tr w14:paraId="2FBDC5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Merge w:val="continue"/>
                  <w:tcBorders>
                    <w:tl2br w:val="nil"/>
                    <w:tr2bl w:val="nil"/>
                  </w:tcBorders>
                  <w:vAlign w:val="center"/>
                </w:tcPr>
                <w:p w14:paraId="68F5A6D5">
                  <w:pPr>
                    <w:widowControl/>
                    <w:jc w:val="center"/>
                    <w:rPr>
                      <w:color w:val="auto"/>
                      <w:spacing w:val="-2"/>
                      <w:szCs w:val="21"/>
                      <w:highlight w:val="none"/>
                    </w:rPr>
                  </w:pPr>
                </w:p>
              </w:tc>
              <w:tc>
                <w:tcPr>
                  <w:tcW w:w="606" w:type="pct"/>
                  <w:tcBorders>
                    <w:tl2br w:val="nil"/>
                    <w:tr2bl w:val="nil"/>
                  </w:tcBorders>
                  <w:shd w:val="clear" w:color="auto" w:fill="auto"/>
                  <w:vAlign w:val="center"/>
                </w:tcPr>
                <w:p w14:paraId="330E20EE">
                  <w:pPr>
                    <w:widowControl/>
                    <w:jc w:val="center"/>
                    <w:rPr>
                      <w:color w:val="auto"/>
                      <w:spacing w:val="-2"/>
                      <w:szCs w:val="21"/>
                      <w:highlight w:val="none"/>
                    </w:rPr>
                  </w:pPr>
                  <w:r>
                    <w:rPr>
                      <w:color w:val="auto"/>
                      <w:spacing w:val="-2"/>
                      <w:szCs w:val="21"/>
                      <w:highlight w:val="none"/>
                    </w:rPr>
                    <w:t>H</w:t>
                  </w:r>
                  <w:r>
                    <w:rPr>
                      <w:color w:val="auto"/>
                      <w:spacing w:val="-2"/>
                      <w:szCs w:val="21"/>
                      <w:highlight w:val="none"/>
                      <w:vertAlign w:val="subscript"/>
                    </w:rPr>
                    <w:t>2</w:t>
                  </w:r>
                  <w:r>
                    <w:rPr>
                      <w:color w:val="auto"/>
                      <w:spacing w:val="-2"/>
                      <w:szCs w:val="21"/>
                      <w:highlight w:val="none"/>
                    </w:rPr>
                    <w:t>S</w:t>
                  </w:r>
                </w:p>
              </w:tc>
              <w:tc>
                <w:tcPr>
                  <w:tcW w:w="1155" w:type="dxa"/>
                  <w:tcBorders>
                    <w:tl2br w:val="nil"/>
                    <w:tr2bl w:val="nil"/>
                  </w:tcBorders>
                  <w:shd w:val="clear" w:color="auto" w:fill="auto"/>
                  <w:vAlign w:val="center"/>
                </w:tcPr>
                <w:p w14:paraId="40122559">
                  <w:pPr>
                    <w:widowControl/>
                    <w:jc w:val="center"/>
                    <w:rPr>
                      <w:color w:val="auto"/>
                      <w:kern w:val="0"/>
                      <w:szCs w:val="21"/>
                      <w:highlight w:val="none"/>
                      <w:lang w:bidi="ar"/>
                    </w:rPr>
                  </w:pPr>
                  <w:r>
                    <w:rPr>
                      <w:rFonts w:hint="eastAsia"/>
                      <w:color w:val="auto"/>
                      <w:szCs w:val="21"/>
                      <w:highlight w:val="none"/>
                    </w:rPr>
                    <w:t>8.22</w:t>
                  </w:r>
                  <w:r>
                    <w:rPr>
                      <w:color w:val="auto"/>
                      <w:szCs w:val="21"/>
                      <w:highlight w:val="none"/>
                    </w:rPr>
                    <w:t>×10</w:t>
                  </w:r>
                  <w:r>
                    <w:rPr>
                      <w:color w:val="auto"/>
                      <w:szCs w:val="21"/>
                      <w:highlight w:val="none"/>
                      <w:vertAlign w:val="superscript"/>
                    </w:rPr>
                    <w:t>-</w:t>
                  </w:r>
                  <w:r>
                    <w:rPr>
                      <w:rFonts w:hint="eastAsia"/>
                      <w:color w:val="auto"/>
                      <w:szCs w:val="21"/>
                      <w:highlight w:val="none"/>
                      <w:vertAlign w:val="superscript"/>
                    </w:rPr>
                    <w:t>7</w:t>
                  </w:r>
                </w:p>
              </w:tc>
              <w:tc>
                <w:tcPr>
                  <w:tcW w:w="1074" w:type="dxa"/>
                  <w:tcBorders>
                    <w:tl2br w:val="nil"/>
                    <w:tr2bl w:val="nil"/>
                  </w:tcBorders>
                  <w:vAlign w:val="center"/>
                </w:tcPr>
                <w:p w14:paraId="132FADD6">
                  <w:pPr>
                    <w:widowControl/>
                    <w:jc w:val="center"/>
                    <w:textAlignment w:val="center"/>
                    <w:rPr>
                      <w:color w:val="auto"/>
                      <w:spacing w:val="-2"/>
                      <w:szCs w:val="21"/>
                      <w:highlight w:val="none"/>
                    </w:rPr>
                  </w:pPr>
                  <w:r>
                    <w:rPr>
                      <w:rFonts w:hint="eastAsia"/>
                      <w:color w:val="auto"/>
                      <w:kern w:val="0"/>
                      <w:szCs w:val="21"/>
                      <w:highlight w:val="none"/>
                      <w:lang w:bidi="ar"/>
                    </w:rPr>
                    <w:t>0.003</w:t>
                  </w:r>
                </w:p>
              </w:tc>
              <w:tc>
                <w:tcPr>
                  <w:tcW w:w="1168" w:type="pct"/>
                  <w:vMerge w:val="continue"/>
                  <w:tcBorders>
                    <w:tl2br w:val="nil"/>
                    <w:tr2bl w:val="nil"/>
                  </w:tcBorders>
                  <w:vAlign w:val="center"/>
                </w:tcPr>
                <w:p w14:paraId="272CB0CD">
                  <w:pPr>
                    <w:widowControl/>
                    <w:jc w:val="center"/>
                    <w:rPr>
                      <w:color w:val="auto"/>
                      <w:spacing w:val="-2"/>
                      <w:szCs w:val="21"/>
                      <w:highlight w:val="none"/>
                    </w:rPr>
                  </w:pPr>
                </w:p>
              </w:tc>
              <w:tc>
                <w:tcPr>
                  <w:tcW w:w="1337" w:type="dxa"/>
                  <w:tcBorders>
                    <w:tl2br w:val="nil"/>
                    <w:tr2bl w:val="nil"/>
                  </w:tcBorders>
                  <w:shd w:val="clear" w:color="auto" w:fill="auto"/>
                  <w:vAlign w:val="center"/>
                </w:tcPr>
                <w:p w14:paraId="78877BF1">
                  <w:pPr>
                    <w:widowControl/>
                    <w:jc w:val="center"/>
                    <w:rPr>
                      <w:color w:val="auto"/>
                      <w:kern w:val="0"/>
                      <w:szCs w:val="21"/>
                      <w:highlight w:val="none"/>
                      <w:lang w:bidi="ar"/>
                    </w:rPr>
                  </w:pPr>
                  <w:r>
                    <w:rPr>
                      <w:rFonts w:hint="eastAsia"/>
                      <w:color w:val="auto"/>
                      <w:szCs w:val="21"/>
                      <w:highlight w:val="none"/>
                    </w:rPr>
                    <w:t>8.22</w:t>
                  </w:r>
                  <w:r>
                    <w:rPr>
                      <w:color w:val="auto"/>
                      <w:szCs w:val="21"/>
                      <w:highlight w:val="none"/>
                    </w:rPr>
                    <w:t>×10</w:t>
                  </w:r>
                  <w:r>
                    <w:rPr>
                      <w:color w:val="auto"/>
                      <w:szCs w:val="21"/>
                      <w:highlight w:val="none"/>
                      <w:vertAlign w:val="superscript"/>
                    </w:rPr>
                    <w:t>-</w:t>
                  </w:r>
                  <w:r>
                    <w:rPr>
                      <w:rFonts w:hint="eastAsia"/>
                      <w:color w:val="auto"/>
                      <w:szCs w:val="21"/>
                      <w:highlight w:val="none"/>
                      <w:vertAlign w:val="superscript"/>
                    </w:rPr>
                    <w:t>7</w:t>
                  </w:r>
                </w:p>
              </w:tc>
              <w:tc>
                <w:tcPr>
                  <w:tcW w:w="1026" w:type="dxa"/>
                  <w:tcBorders>
                    <w:tl2br w:val="nil"/>
                    <w:tr2bl w:val="nil"/>
                  </w:tcBorders>
                  <w:shd w:val="clear" w:color="auto" w:fill="auto"/>
                  <w:vAlign w:val="center"/>
                </w:tcPr>
                <w:p w14:paraId="00AAB3BB">
                  <w:pPr>
                    <w:widowControl/>
                    <w:jc w:val="center"/>
                    <w:textAlignment w:val="center"/>
                    <w:rPr>
                      <w:color w:val="auto"/>
                      <w:spacing w:val="-2"/>
                      <w:szCs w:val="21"/>
                      <w:highlight w:val="none"/>
                    </w:rPr>
                  </w:pPr>
                  <w:r>
                    <w:rPr>
                      <w:rFonts w:hint="eastAsia"/>
                      <w:color w:val="auto"/>
                      <w:kern w:val="0"/>
                      <w:szCs w:val="21"/>
                      <w:highlight w:val="none"/>
                      <w:lang w:bidi="ar"/>
                    </w:rPr>
                    <w:t>0.003</w:t>
                  </w:r>
                </w:p>
              </w:tc>
            </w:tr>
          </w:tbl>
          <w:p w14:paraId="1E3D85CD">
            <w:pPr>
              <w:spacing w:line="360" w:lineRule="auto"/>
              <w:ind w:firstLine="480" w:firstLineChars="200"/>
              <w:rPr>
                <w:bCs/>
                <w:color w:val="auto"/>
                <w:sz w:val="24"/>
                <w:highlight w:val="none"/>
              </w:rPr>
            </w:pPr>
          </w:p>
          <w:p w14:paraId="565EEF6F">
            <w:pPr>
              <w:spacing w:line="360" w:lineRule="auto"/>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）备用柴油发电机尾气</w:t>
            </w:r>
          </w:p>
          <w:p w14:paraId="20455AEE">
            <w:pPr>
              <w:spacing w:line="360" w:lineRule="auto"/>
              <w:ind w:firstLine="480" w:firstLineChars="200"/>
              <w:rPr>
                <w:rFonts w:hint="eastAsia"/>
                <w:color w:val="auto"/>
                <w:sz w:val="24"/>
                <w:highlight w:val="none"/>
              </w:rPr>
            </w:pPr>
            <w:r>
              <w:rPr>
                <w:color w:val="auto"/>
                <w:sz w:val="24"/>
                <w:highlight w:val="none"/>
              </w:rPr>
              <w:t>项目设有1台备用柴油发电机，当电网停止供电时，备用柴油发电机自动投入运行，以供照明和动力短时用电，使用0#柴油，柴油发电机产生的废气量很小，发电机尾气通过</w:t>
            </w:r>
            <w:r>
              <w:rPr>
                <w:rFonts w:hint="eastAsia"/>
                <w:color w:val="auto"/>
                <w:sz w:val="24"/>
                <w:highlight w:val="none"/>
                <w:lang w:val="en-US" w:eastAsia="zh-CN"/>
              </w:rPr>
              <w:t>3米高排气筒</w:t>
            </w:r>
            <w:r>
              <w:rPr>
                <w:color w:val="auto"/>
                <w:sz w:val="24"/>
                <w:highlight w:val="none"/>
              </w:rPr>
              <w:t>排至外环境，通过空气扩散</w:t>
            </w:r>
            <w:r>
              <w:rPr>
                <w:rFonts w:hint="eastAsia"/>
                <w:color w:val="auto"/>
                <w:sz w:val="24"/>
                <w:highlight w:val="none"/>
                <w:lang w:eastAsia="zh-CN"/>
              </w:rPr>
              <w:t>，</w:t>
            </w:r>
            <w:r>
              <w:rPr>
                <w:color w:val="auto"/>
                <w:sz w:val="24"/>
                <w:highlight w:val="none"/>
              </w:rPr>
              <w:t>发电机废气不会对环境造成明显影响</w:t>
            </w:r>
            <w:r>
              <w:rPr>
                <w:rFonts w:hint="eastAsia"/>
                <w:color w:val="auto"/>
                <w:sz w:val="24"/>
                <w:highlight w:val="none"/>
              </w:rPr>
              <w:t>。</w:t>
            </w:r>
          </w:p>
          <w:p w14:paraId="46754A7A">
            <w:pPr>
              <w:pStyle w:val="59"/>
              <w:snapToGrid w:val="0"/>
              <w:spacing w:beforeLines="0" w:afterLines="0" w:line="360" w:lineRule="auto"/>
              <w:ind w:firstLine="480" w:firstLineChars="200"/>
              <w:jc w:val="both"/>
              <w:rPr>
                <w:rFonts w:eastAsia="宋体"/>
                <w:iCs/>
                <w:color w:val="auto"/>
                <w:highlight w:val="none"/>
              </w:rPr>
            </w:pPr>
            <w:r>
              <w:rPr>
                <w:rFonts w:eastAsia="宋体"/>
                <w:iCs/>
                <w:color w:val="auto"/>
                <w:highlight w:val="none"/>
              </w:rPr>
              <w:t>（</w:t>
            </w:r>
            <w:r>
              <w:rPr>
                <w:rFonts w:hint="eastAsia" w:eastAsia="宋体"/>
                <w:iCs/>
                <w:color w:val="auto"/>
                <w:highlight w:val="none"/>
              </w:rPr>
              <w:t>3</w:t>
            </w:r>
            <w:r>
              <w:rPr>
                <w:rFonts w:eastAsia="宋体"/>
                <w:iCs/>
                <w:color w:val="auto"/>
                <w:highlight w:val="none"/>
              </w:rPr>
              <w:t>）</w:t>
            </w:r>
            <w:r>
              <w:rPr>
                <w:rFonts w:hint="eastAsia" w:eastAsia="宋体"/>
                <w:iCs/>
                <w:color w:val="auto"/>
                <w:highlight w:val="none"/>
              </w:rPr>
              <w:t>中药室</w:t>
            </w:r>
            <w:r>
              <w:rPr>
                <w:rFonts w:eastAsia="宋体"/>
                <w:iCs/>
                <w:color w:val="auto"/>
                <w:highlight w:val="none"/>
              </w:rPr>
              <w:t>废气</w:t>
            </w:r>
          </w:p>
          <w:p w14:paraId="541F32FA">
            <w:pPr>
              <w:pStyle w:val="59"/>
              <w:snapToGrid w:val="0"/>
              <w:spacing w:beforeLines="0" w:afterLines="0" w:line="360" w:lineRule="auto"/>
              <w:ind w:firstLine="480" w:firstLineChars="200"/>
              <w:jc w:val="both"/>
              <w:rPr>
                <w:rFonts w:hint="default" w:ascii="Times New Roman" w:hAnsi="Times New Roman" w:eastAsia="宋体" w:cs="Times New Roman"/>
                <w:b w:val="0"/>
                <w:bCs w:val="0"/>
                <w:iCs/>
                <w:color w:val="auto"/>
                <w:highlight w:val="none"/>
                <w:u w:val="none" w:color="auto"/>
                <w:lang w:val="en-US" w:eastAsia="zh-CN"/>
              </w:rPr>
            </w:pPr>
            <w:r>
              <w:rPr>
                <w:rFonts w:hint="eastAsia" w:eastAsia="宋体" w:cs="Times New Roman"/>
                <w:b w:val="0"/>
                <w:bCs w:val="0"/>
                <w:iCs/>
                <w:color w:val="auto"/>
                <w:highlight w:val="none"/>
                <w:u w:val="none" w:color="auto"/>
                <w:lang w:val="en-US" w:eastAsia="zh-CN"/>
              </w:rPr>
              <w:t>中药室煎药过程会产生异味，成分主要为水蒸汽中药挥发产生的废气。会产生少量异味，所用药材多为草药，无有毒有害气体，故中药室异味以臭气浓度计，本环评不进行定量分析，煎药产生的少量废气经集气罩（集气效率约为90%）收集后经高于楼顶排气筒DA003（21m）有组织排放，未被收集的异味无组织排放，煎药室相对密闭，绝大部分异味被墙体阻隔在煎药室内，满足《恶臭污染物排放标准》（GB14554-93）中相关要求；中药煎药室异味对环境影响较小。</w:t>
            </w:r>
          </w:p>
          <w:p w14:paraId="35919A46">
            <w:pPr>
              <w:pStyle w:val="59"/>
              <w:snapToGrid w:val="0"/>
              <w:spacing w:beforeLines="0" w:afterLines="0" w:line="360" w:lineRule="auto"/>
              <w:ind w:firstLine="480" w:firstLineChars="200"/>
              <w:jc w:val="both"/>
              <w:rPr>
                <w:rFonts w:eastAsia="宋体"/>
                <w:iCs/>
                <w:color w:val="auto"/>
                <w:highlight w:val="none"/>
              </w:rPr>
            </w:pPr>
            <w:r>
              <w:rPr>
                <w:rFonts w:eastAsia="宋体"/>
                <w:iCs/>
                <w:color w:val="auto"/>
                <w:highlight w:val="none"/>
              </w:rPr>
              <w:t>（</w:t>
            </w:r>
            <w:r>
              <w:rPr>
                <w:rFonts w:hint="eastAsia" w:eastAsia="宋体"/>
                <w:iCs/>
                <w:color w:val="auto"/>
                <w:highlight w:val="none"/>
              </w:rPr>
              <w:t>4</w:t>
            </w:r>
            <w:r>
              <w:rPr>
                <w:rFonts w:eastAsia="宋体"/>
                <w:iCs/>
                <w:color w:val="auto"/>
                <w:highlight w:val="none"/>
              </w:rPr>
              <w:t>）</w:t>
            </w:r>
            <w:r>
              <w:rPr>
                <w:rFonts w:hint="eastAsia" w:eastAsia="宋体"/>
                <w:iCs/>
                <w:color w:val="auto"/>
                <w:highlight w:val="none"/>
              </w:rPr>
              <w:t>食堂油烟</w:t>
            </w:r>
          </w:p>
          <w:p w14:paraId="2DD8344A">
            <w:pPr>
              <w:adjustRightInd w:val="0"/>
              <w:snapToGrid w:val="0"/>
              <w:spacing w:line="360" w:lineRule="auto"/>
              <w:ind w:firstLine="480" w:firstLineChars="200"/>
              <w:rPr>
                <w:i/>
                <w:iCs/>
                <w:color w:val="auto"/>
                <w:sz w:val="24"/>
                <w:highlight w:val="none"/>
                <w:u w:val="single"/>
              </w:rPr>
            </w:pPr>
            <w:r>
              <w:rPr>
                <w:rFonts w:hint="eastAsia"/>
                <w:color w:val="auto"/>
                <w:sz w:val="24"/>
                <w:highlight w:val="none"/>
              </w:rPr>
              <w:t>食堂就餐人数按35人/d计，食用油消耗量为30g/人·d，则食用油消耗量0.38t/a，油烟挥发量按3.0%计，则油烟产生量为11.5kg/a，风机风量为5000m</w:t>
            </w:r>
            <w:r>
              <w:rPr>
                <w:rFonts w:hint="eastAsia"/>
                <w:color w:val="auto"/>
                <w:sz w:val="24"/>
                <w:highlight w:val="none"/>
                <w:vertAlign w:val="superscript"/>
              </w:rPr>
              <w:t>3</w:t>
            </w:r>
            <w:r>
              <w:rPr>
                <w:rFonts w:hint="eastAsia"/>
                <w:color w:val="auto"/>
                <w:sz w:val="24"/>
                <w:highlight w:val="none"/>
              </w:rPr>
              <w:t>/h，年工作日365d，日工作时间约1.5h。因此油烟产生浓度约4.2mg/m</w:t>
            </w:r>
            <w:r>
              <w:rPr>
                <w:rFonts w:hint="eastAsia"/>
                <w:color w:val="auto"/>
                <w:sz w:val="24"/>
                <w:highlight w:val="none"/>
                <w:vertAlign w:val="superscript"/>
              </w:rPr>
              <w:t>3</w:t>
            </w:r>
            <w:r>
              <w:rPr>
                <w:rFonts w:hint="eastAsia"/>
                <w:color w:val="auto"/>
                <w:sz w:val="24"/>
                <w:highlight w:val="none"/>
              </w:rPr>
              <w:t>，产生的油烟用集风罩收集后通过油烟净化装置处理（处理效率60%以上）后排放浓度为1.68mg/m</w:t>
            </w:r>
            <w:r>
              <w:rPr>
                <w:rFonts w:hint="eastAsia"/>
                <w:color w:val="auto"/>
                <w:sz w:val="24"/>
                <w:highlight w:val="none"/>
                <w:vertAlign w:val="superscript"/>
              </w:rPr>
              <w:t>3</w:t>
            </w:r>
            <w:r>
              <w:rPr>
                <w:rFonts w:hint="eastAsia"/>
                <w:color w:val="auto"/>
                <w:sz w:val="24"/>
                <w:highlight w:val="none"/>
              </w:rPr>
              <w:t>，油烟排放量为4.6kg/a。食堂油烟通过高于楼顶约2</w:t>
            </w:r>
            <w:r>
              <w:rPr>
                <w:rFonts w:hint="eastAsia"/>
                <w:color w:val="auto"/>
                <w:sz w:val="24"/>
                <w:highlight w:val="none"/>
                <w:lang w:val="en-US" w:eastAsia="zh-CN"/>
              </w:rPr>
              <w:t>1</w:t>
            </w:r>
            <w:r>
              <w:rPr>
                <w:rFonts w:hint="eastAsia"/>
                <w:color w:val="auto"/>
                <w:sz w:val="24"/>
                <w:highlight w:val="none"/>
              </w:rPr>
              <w:t>m高排气筒排放，油烟排放浓度及油烟净化处理效率均满足《饮食业油烟排放标准》（GB18438-2001）中的最高允许排放浓度限值和油烟净化设施最低去除效率要求。</w:t>
            </w:r>
          </w:p>
          <w:p w14:paraId="5A5AD1F3">
            <w:pPr>
              <w:jc w:val="center"/>
              <w:rPr>
                <w:b/>
                <w:bCs/>
                <w:color w:val="auto"/>
                <w:sz w:val="24"/>
                <w:highlight w:val="none"/>
              </w:rPr>
            </w:pPr>
            <w:r>
              <w:rPr>
                <w:b/>
                <w:bCs/>
                <w:color w:val="auto"/>
                <w:sz w:val="24"/>
                <w:highlight w:val="none"/>
              </w:rPr>
              <w:t>表</w:t>
            </w:r>
            <w:r>
              <w:rPr>
                <w:rFonts w:hint="eastAsia"/>
                <w:b/>
                <w:bCs/>
                <w:color w:val="auto"/>
                <w:sz w:val="24"/>
                <w:highlight w:val="none"/>
              </w:rPr>
              <w:t xml:space="preserve">4-2  </w:t>
            </w:r>
            <w:r>
              <w:rPr>
                <w:b/>
                <w:bCs/>
                <w:color w:val="auto"/>
                <w:sz w:val="24"/>
                <w:highlight w:val="none"/>
              </w:rPr>
              <w:t xml:space="preserve"> </w:t>
            </w:r>
            <w:r>
              <w:rPr>
                <w:rFonts w:hint="eastAsia"/>
                <w:b/>
                <w:bCs/>
                <w:color w:val="auto"/>
                <w:sz w:val="24"/>
                <w:highlight w:val="none"/>
              </w:rPr>
              <w:t>食堂油烟</w:t>
            </w:r>
            <w:r>
              <w:rPr>
                <w:b/>
                <w:bCs/>
                <w:color w:val="auto"/>
                <w:sz w:val="24"/>
                <w:highlight w:val="none"/>
              </w:rPr>
              <w:t>产生及排放情况</w:t>
            </w:r>
          </w:p>
          <w:tbl>
            <w:tblPr>
              <w:tblStyle w:val="2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28"/>
              <w:gridCol w:w="998"/>
              <w:gridCol w:w="1232"/>
              <w:gridCol w:w="1060"/>
              <w:gridCol w:w="1255"/>
              <w:gridCol w:w="998"/>
              <w:gridCol w:w="1232"/>
              <w:gridCol w:w="1063"/>
            </w:tblGrid>
            <w:tr w14:paraId="771A38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96" w:hRule="atLeast"/>
                <w:jc w:val="center"/>
              </w:trPr>
              <w:tc>
                <w:tcPr>
                  <w:tcW w:w="394" w:type="pct"/>
                  <w:vAlign w:val="center"/>
                </w:tcPr>
                <w:p w14:paraId="693533A9">
                  <w:pPr>
                    <w:widowControl/>
                    <w:jc w:val="center"/>
                    <w:textAlignment w:val="center"/>
                    <w:rPr>
                      <w:color w:val="auto"/>
                      <w:szCs w:val="21"/>
                      <w:highlight w:val="none"/>
                    </w:rPr>
                  </w:pPr>
                  <w:r>
                    <w:rPr>
                      <w:rFonts w:hint="eastAsia"/>
                      <w:color w:val="auto"/>
                      <w:szCs w:val="21"/>
                      <w:highlight w:val="none"/>
                    </w:rPr>
                    <w:t>污染物</w:t>
                  </w:r>
                </w:p>
              </w:tc>
              <w:tc>
                <w:tcPr>
                  <w:tcW w:w="548" w:type="pct"/>
                  <w:vAlign w:val="center"/>
                </w:tcPr>
                <w:p w14:paraId="390BD92D">
                  <w:pPr>
                    <w:widowControl/>
                    <w:jc w:val="center"/>
                    <w:textAlignment w:val="center"/>
                    <w:rPr>
                      <w:color w:val="auto"/>
                      <w:szCs w:val="21"/>
                      <w:highlight w:val="none"/>
                    </w:rPr>
                  </w:pPr>
                  <w:r>
                    <w:rPr>
                      <w:rFonts w:hint="eastAsia"/>
                      <w:color w:val="auto"/>
                      <w:szCs w:val="21"/>
                      <w:highlight w:val="none"/>
                    </w:rPr>
                    <w:t>产生量</w:t>
                  </w:r>
                </w:p>
                <w:p w14:paraId="169753B7">
                  <w:pPr>
                    <w:widowControl/>
                    <w:jc w:val="center"/>
                    <w:textAlignment w:val="center"/>
                    <w:rPr>
                      <w:color w:val="auto"/>
                      <w:szCs w:val="21"/>
                      <w:highlight w:val="none"/>
                    </w:rPr>
                  </w:pPr>
                  <w:r>
                    <w:rPr>
                      <w:rFonts w:hint="eastAsia"/>
                      <w:color w:val="auto"/>
                      <w:szCs w:val="21"/>
                      <w:highlight w:val="none"/>
                    </w:rPr>
                    <w:t>（kg/a）</w:t>
                  </w:r>
                </w:p>
              </w:tc>
              <w:tc>
                <w:tcPr>
                  <w:tcW w:w="742" w:type="pct"/>
                  <w:vAlign w:val="center"/>
                </w:tcPr>
                <w:p w14:paraId="46734814">
                  <w:pPr>
                    <w:widowControl/>
                    <w:jc w:val="center"/>
                    <w:textAlignment w:val="center"/>
                    <w:rPr>
                      <w:color w:val="auto"/>
                      <w:szCs w:val="21"/>
                      <w:highlight w:val="none"/>
                    </w:rPr>
                  </w:pPr>
                  <w:r>
                    <w:rPr>
                      <w:rFonts w:hint="eastAsia"/>
                      <w:color w:val="auto"/>
                      <w:szCs w:val="21"/>
                      <w:highlight w:val="none"/>
                    </w:rPr>
                    <w:t>产生浓度（mg/m3）</w:t>
                  </w:r>
                </w:p>
              </w:tc>
              <w:tc>
                <w:tcPr>
                  <w:tcW w:w="656" w:type="pct"/>
                  <w:vAlign w:val="center"/>
                </w:tcPr>
                <w:p w14:paraId="4FA114BC">
                  <w:pPr>
                    <w:widowControl/>
                    <w:jc w:val="center"/>
                    <w:textAlignment w:val="center"/>
                    <w:rPr>
                      <w:color w:val="auto"/>
                      <w:szCs w:val="21"/>
                      <w:highlight w:val="none"/>
                    </w:rPr>
                  </w:pPr>
                  <w:r>
                    <w:rPr>
                      <w:rFonts w:hint="eastAsia"/>
                      <w:color w:val="auto"/>
                      <w:szCs w:val="21"/>
                      <w:highlight w:val="none"/>
                    </w:rPr>
                    <w:t>产生速率</w:t>
                  </w:r>
                </w:p>
                <w:p w14:paraId="71A55898">
                  <w:pPr>
                    <w:widowControl/>
                    <w:jc w:val="center"/>
                    <w:textAlignment w:val="center"/>
                    <w:rPr>
                      <w:color w:val="auto"/>
                      <w:szCs w:val="21"/>
                      <w:highlight w:val="none"/>
                    </w:rPr>
                  </w:pPr>
                  <w:r>
                    <w:rPr>
                      <w:rFonts w:hint="eastAsia"/>
                      <w:color w:val="auto"/>
                      <w:szCs w:val="21"/>
                      <w:highlight w:val="none"/>
                    </w:rPr>
                    <w:t>（kg/h）</w:t>
                  </w:r>
                </w:p>
              </w:tc>
              <w:tc>
                <w:tcPr>
                  <w:tcW w:w="741" w:type="pct"/>
                  <w:vAlign w:val="center"/>
                </w:tcPr>
                <w:p w14:paraId="6F44B96D">
                  <w:pPr>
                    <w:widowControl/>
                    <w:jc w:val="center"/>
                    <w:textAlignment w:val="center"/>
                    <w:rPr>
                      <w:color w:val="auto"/>
                      <w:szCs w:val="21"/>
                      <w:highlight w:val="none"/>
                    </w:rPr>
                  </w:pPr>
                  <w:r>
                    <w:rPr>
                      <w:rFonts w:hint="eastAsia"/>
                      <w:color w:val="auto"/>
                      <w:szCs w:val="21"/>
                      <w:highlight w:val="none"/>
                    </w:rPr>
                    <w:t>治理</w:t>
                  </w:r>
                </w:p>
                <w:p w14:paraId="3A8A6E54">
                  <w:pPr>
                    <w:widowControl/>
                    <w:jc w:val="center"/>
                    <w:textAlignment w:val="center"/>
                    <w:rPr>
                      <w:color w:val="auto"/>
                      <w:szCs w:val="21"/>
                      <w:highlight w:val="none"/>
                    </w:rPr>
                  </w:pPr>
                  <w:r>
                    <w:rPr>
                      <w:rFonts w:hint="eastAsia"/>
                      <w:color w:val="auto"/>
                      <w:szCs w:val="21"/>
                      <w:highlight w:val="none"/>
                    </w:rPr>
                    <w:t>措施</w:t>
                  </w:r>
                </w:p>
              </w:tc>
              <w:tc>
                <w:tcPr>
                  <w:tcW w:w="551" w:type="pct"/>
                  <w:vAlign w:val="center"/>
                </w:tcPr>
                <w:p w14:paraId="6BB75D5C">
                  <w:pPr>
                    <w:widowControl/>
                    <w:jc w:val="center"/>
                    <w:textAlignment w:val="center"/>
                    <w:rPr>
                      <w:color w:val="auto"/>
                      <w:szCs w:val="21"/>
                      <w:highlight w:val="none"/>
                    </w:rPr>
                  </w:pPr>
                  <w:r>
                    <w:rPr>
                      <w:rFonts w:hint="eastAsia"/>
                      <w:color w:val="auto"/>
                      <w:szCs w:val="21"/>
                      <w:highlight w:val="none"/>
                    </w:rPr>
                    <w:t>排放量</w:t>
                  </w:r>
                </w:p>
                <w:p w14:paraId="7485923F">
                  <w:pPr>
                    <w:widowControl/>
                    <w:jc w:val="center"/>
                    <w:textAlignment w:val="center"/>
                    <w:rPr>
                      <w:color w:val="auto"/>
                      <w:szCs w:val="21"/>
                      <w:highlight w:val="none"/>
                    </w:rPr>
                  </w:pPr>
                  <w:r>
                    <w:rPr>
                      <w:rFonts w:hint="eastAsia"/>
                      <w:color w:val="auto"/>
                      <w:szCs w:val="21"/>
                      <w:highlight w:val="none"/>
                    </w:rPr>
                    <w:t>（kg/a）</w:t>
                  </w:r>
                </w:p>
              </w:tc>
              <w:tc>
                <w:tcPr>
                  <w:tcW w:w="692" w:type="pct"/>
                  <w:vAlign w:val="center"/>
                </w:tcPr>
                <w:p w14:paraId="43487698">
                  <w:pPr>
                    <w:widowControl/>
                    <w:jc w:val="center"/>
                    <w:textAlignment w:val="center"/>
                    <w:rPr>
                      <w:color w:val="auto"/>
                      <w:szCs w:val="21"/>
                      <w:highlight w:val="none"/>
                    </w:rPr>
                  </w:pPr>
                  <w:r>
                    <w:rPr>
                      <w:rFonts w:hint="eastAsia"/>
                      <w:color w:val="auto"/>
                      <w:szCs w:val="21"/>
                      <w:highlight w:val="none"/>
                    </w:rPr>
                    <w:t>排放浓度（mg/m3）</w:t>
                  </w:r>
                </w:p>
              </w:tc>
              <w:tc>
                <w:tcPr>
                  <w:tcW w:w="671" w:type="pct"/>
                  <w:vAlign w:val="center"/>
                </w:tcPr>
                <w:p w14:paraId="4DFA7ADC">
                  <w:pPr>
                    <w:widowControl/>
                    <w:jc w:val="center"/>
                    <w:textAlignment w:val="center"/>
                    <w:rPr>
                      <w:color w:val="auto"/>
                      <w:szCs w:val="21"/>
                      <w:highlight w:val="none"/>
                    </w:rPr>
                  </w:pPr>
                  <w:r>
                    <w:rPr>
                      <w:rFonts w:hint="eastAsia"/>
                      <w:color w:val="auto"/>
                      <w:szCs w:val="21"/>
                      <w:highlight w:val="none"/>
                    </w:rPr>
                    <w:t>排放速率</w:t>
                  </w:r>
                </w:p>
                <w:p w14:paraId="1D483B5E">
                  <w:pPr>
                    <w:widowControl/>
                    <w:jc w:val="center"/>
                    <w:textAlignment w:val="center"/>
                    <w:rPr>
                      <w:color w:val="auto"/>
                      <w:szCs w:val="21"/>
                      <w:highlight w:val="none"/>
                    </w:rPr>
                  </w:pPr>
                  <w:r>
                    <w:rPr>
                      <w:rFonts w:hint="eastAsia"/>
                      <w:color w:val="auto"/>
                      <w:szCs w:val="21"/>
                      <w:highlight w:val="none"/>
                    </w:rPr>
                    <w:t>（kg/h）</w:t>
                  </w:r>
                </w:p>
              </w:tc>
            </w:tr>
            <w:tr w14:paraId="46EF19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94" w:type="pct"/>
                  <w:vAlign w:val="center"/>
                </w:tcPr>
                <w:p w14:paraId="4400E38A">
                  <w:pPr>
                    <w:widowControl/>
                    <w:jc w:val="center"/>
                    <w:textAlignment w:val="center"/>
                    <w:rPr>
                      <w:color w:val="auto"/>
                      <w:szCs w:val="21"/>
                      <w:highlight w:val="none"/>
                    </w:rPr>
                  </w:pPr>
                  <w:r>
                    <w:rPr>
                      <w:rFonts w:hint="eastAsia"/>
                      <w:color w:val="auto"/>
                      <w:szCs w:val="21"/>
                      <w:highlight w:val="none"/>
                    </w:rPr>
                    <w:t>食堂油烟</w:t>
                  </w:r>
                </w:p>
              </w:tc>
              <w:tc>
                <w:tcPr>
                  <w:tcW w:w="548" w:type="pct"/>
                  <w:vAlign w:val="center"/>
                </w:tcPr>
                <w:p w14:paraId="7125F647">
                  <w:pPr>
                    <w:widowControl/>
                    <w:jc w:val="center"/>
                    <w:textAlignment w:val="center"/>
                    <w:rPr>
                      <w:color w:val="auto"/>
                      <w:szCs w:val="21"/>
                      <w:highlight w:val="none"/>
                    </w:rPr>
                  </w:pPr>
                  <w:r>
                    <w:rPr>
                      <w:rFonts w:hint="eastAsia"/>
                      <w:color w:val="auto"/>
                      <w:szCs w:val="21"/>
                      <w:highlight w:val="none"/>
                    </w:rPr>
                    <w:t>11.5</w:t>
                  </w:r>
                </w:p>
              </w:tc>
              <w:tc>
                <w:tcPr>
                  <w:tcW w:w="742" w:type="pct"/>
                  <w:vAlign w:val="center"/>
                </w:tcPr>
                <w:p w14:paraId="5865F721">
                  <w:pPr>
                    <w:widowControl/>
                    <w:jc w:val="center"/>
                    <w:textAlignment w:val="center"/>
                    <w:rPr>
                      <w:color w:val="auto"/>
                      <w:szCs w:val="21"/>
                      <w:highlight w:val="none"/>
                    </w:rPr>
                  </w:pPr>
                  <w:r>
                    <w:rPr>
                      <w:rFonts w:hint="eastAsia"/>
                      <w:color w:val="auto"/>
                      <w:szCs w:val="21"/>
                      <w:highlight w:val="none"/>
                    </w:rPr>
                    <w:t>4.2</w:t>
                  </w:r>
                </w:p>
              </w:tc>
              <w:tc>
                <w:tcPr>
                  <w:tcW w:w="656" w:type="pct"/>
                  <w:vAlign w:val="center"/>
                </w:tcPr>
                <w:p w14:paraId="5AC69836">
                  <w:pPr>
                    <w:widowControl/>
                    <w:jc w:val="center"/>
                    <w:textAlignment w:val="center"/>
                    <w:rPr>
                      <w:color w:val="auto"/>
                      <w:szCs w:val="21"/>
                      <w:highlight w:val="none"/>
                    </w:rPr>
                  </w:pPr>
                  <w:r>
                    <w:rPr>
                      <w:rFonts w:hint="eastAsia"/>
                      <w:color w:val="auto"/>
                      <w:szCs w:val="21"/>
                      <w:highlight w:val="none"/>
                    </w:rPr>
                    <w:t>0.021</w:t>
                  </w:r>
                </w:p>
              </w:tc>
              <w:tc>
                <w:tcPr>
                  <w:tcW w:w="741" w:type="pct"/>
                  <w:vAlign w:val="center"/>
                </w:tcPr>
                <w:p w14:paraId="0FCA26B0">
                  <w:pPr>
                    <w:widowControl/>
                    <w:jc w:val="center"/>
                    <w:textAlignment w:val="center"/>
                    <w:rPr>
                      <w:color w:val="auto"/>
                      <w:szCs w:val="21"/>
                      <w:highlight w:val="none"/>
                    </w:rPr>
                  </w:pPr>
                  <w:r>
                    <w:rPr>
                      <w:rFonts w:hint="eastAsia"/>
                      <w:color w:val="auto"/>
                      <w:szCs w:val="21"/>
                      <w:highlight w:val="none"/>
                    </w:rPr>
                    <w:t>油烟净化器＋2</w:t>
                  </w:r>
                  <w:r>
                    <w:rPr>
                      <w:rFonts w:hint="eastAsia"/>
                      <w:color w:val="auto"/>
                      <w:szCs w:val="21"/>
                      <w:highlight w:val="none"/>
                      <w:lang w:val="en-US" w:eastAsia="zh-CN"/>
                    </w:rPr>
                    <w:t>1</w:t>
                  </w:r>
                  <w:r>
                    <w:rPr>
                      <w:rFonts w:hint="eastAsia"/>
                      <w:color w:val="auto"/>
                      <w:szCs w:val="21"/>
                      <w:highlight w:val="none"/>
                    </w:rPr>
                    <w:t>m排气筒（DA00</w:t>
                  </w:r>
                  <w:r>
                    <w:rPr>
                      <w:rFonts w:hint="eastAsia"/>
                      <w:color w:val="auto"/>
                      <w:szCs w:val="21"/>
                      <w:highlight w:val="none"/>
                      <w:lang w:val="en-US" w:eastAsia="zh-CN"/>
                    </w:rPr>
                    <w:t>2</w:t>
                  </w:r>
                  <w:r>
                    <w:rPr>
                      <w:rFonts w:hint="eastAsia"/>
                      <w:color w:val="auto"/>
                      <w:szCs w:val="21"/>
                      <w:highlight w:val="none"/>
                    </w:rPr>
                    <w:t>）</w:t>
                  </w:r>
                </w:p>
              </w:tc>
              <w:tc>
                <w:tcPr>
                  <w:tcW w:w="551" w:type="pct"/>
                  <w:vAlign w:val="center"/>
                </w:tcPr>
                <w:p w14:paraId="593AE3F6">
                  <w:pPr>
                    <w:widowControl/>
                    <w:jc w:val="center"/>
                    <w:textAlignment w:val="center"/>
                    <w:rPr>
                      <w:color w:val="auto"/>
                      <w:szCs w:val="21"/>
                      <w:highlight w:val="none"/>
                    </w:rPr>
                  </w:pPr>
                  <w:r>
                    <w:rPr>
                      <w:rFonts w:hint="eastAsia"/>
                      <w:color w:val="auto"/>
                      <w:szCs w:val="21"/>
                      <w:highlight w:val="none"/>
                    </w:rPr>
                    <w:t>4.6</w:t>
                  </w:r>
                </w:p>
              </w:tc>
              <w:tc>
                <w:tcPr>
                  <w:tcW w:w="692" w:type="pct"/>
                  <w:vAlign w:val="center"/>
                </w:tcPr>
                <w:p w14:paraId="43482CC8">
                  <w:pPr>
                    <w:widowControl/>
                    <w:jc w:val="center"/>
                    <w:textAlignment w:val="center"/>
                    <w:rPr>
                      <w:color w:val="auto"/>
                      <w:szCs w:val="21"/>
                      <w:highlight w:val="none"/>
                    </w:rPr>
                  </w:pPr>
                  <w:r>
                    <w:rPr>
                      <w:rFonts w:hint="eastAsia"/>
                      <w:color w:val="auto"/>
                      <w:szCs w:val="21"/>
                      <w:highlight w:val="none"/>
                    </w:rPr>
                    <w:t>1.68</w:t>
                  </w:r>
                </w:p>
              </w:tc>
              <w:tc>
                <w:tcPr>
                  <w:tcW w:w="671" w:type="pct"/>
                  <w:vAlign w:val="center"/>
                </w:tcPr>
                <w:p w14:paraId="42EADB62">
                  <w:pPr>
                    <w:widowControl/>
                    <w:jc w:val="center"/>
                    <w:textAlignment w:val="center"/>
                    <w:rPr>
                      <w:color w:val="auto"/>
                      <w:szCs w:val="21"/>
                      <w:highlight w:val="none"/>
                    </w:rPr>
                  </w:pPr>
                  <w:r>
                    <w:rPr>
                      <w:rFonts w:hint="eastAsia"/>
                      <w:color w:val="auto"/>
                      <w:szCs w:val="21"/>
                      <w:highlight w:val="none"/>
                    </w:rPr>
                    <w:t>0.0081</w:t>
                  </w:r>
                </w:p>
              </w:tc>
            </w:tr>
          </w:tbl>
          <w:p w14:paraId="268CB0DA">
            <w:pPr>
              <w:pStyle w:val="59"/>
              <w:snapToGrid w:val="0"/>
              <w:spacing w:beforeLines="0" w:afterLines="0" w:line="360" w:lineRule="auto"/>
              <w:ind w:firstLine="482" w:firstLineChars="200"/>
              <w:jc w:val="both"/>
              <w:rPr>
                <w:rFonts w:eastAsia="宋体"/>
                <w:b/>
                <w:bCs/>
                <w:iCs/>
                <w:color w:val="auto"/>
                <w:highlight w:val="none"/>
              </w:rPr>
            </w:pPr>
          </w:p>
          <w:p w14:paraId="7E69588F">
            <w:pPr>
              <w:pStyle w:val="59"/>
              <w:snapToGrid w:val="0"/>
              <w:spacing w:beforeLines="0" w:afterLines="0" w:line="360" w:lineRule="auto"/>
              <w:ind w:firstLine="482" w:firstLineChars="200"/>
              <w:jc w:val="both"/>
              <w:rPr>
                <w:rFonts w:eastAsia="宋体"/>
                <w:b/>
                <w:bCs/>
                <w:iCs/>
                <w:color w:val="auto"/>
                <w:highlight w:val="none"/>
              </w:rPr>
            </w:pPr>
            <w:r>
              <w:rPr>
                <w:rFonts w:eastAsia="宋体"/>
                <w:b/>
                <w:bCs/>
                <w:iCs/>
                <w:color w:val="auto"/>
                <w:highlight w:val="none"/>
              </w:rPr>
              <w:t>1.2污染治理设施及可行性</w:t>
            </w:r>
          </w:p>
          <w:p w14:paraId="2A775D16">
            <w:pPr>
              <w:pStyle w:val="59"/>
              <w:snapToGrid w:val="0"/>
              <w:spacing w:beforeLines="0" w:afterLines="0" w:line="360" w:lineRule="auto"/>
              <w:ind w:firstLine="480" w:firstLineChars="200"/>
              <w:jc w:val="both"/>
              <w:rPr>
                <w:rFonts w:eastAsia="宋体"/>
                <w:iCs/>
                <w:color w:val="auto"/>
                <w:highlight w:val="none"/>
              </w:rPr>
            </w:pPr>
            <w:r>
              <w:rPr>
                <w:rFonts w:eastAsia="宋体"/>
                <w:color w:val="auto"/>
                <w:kern w:val="0"/>
                <w:highlight w:val="none"/>
              </w:rPr>
              <w:t>根据</w:t>
            </w:r>
            <w:r>
              <w:rPr>
                <w:rFonts w:eastAsia="宋体"/>
                <w:color w:val="auto"/>
                <w:highlight w:val="none"/>
              </w:rPr>
              <w:t>《排污许可证申请与核发技术规范 医疗机构》（HJ1105-2020）</w:t>
            </w:r>
            <w:r>
              <w:rPr>
                <w:rFonts w:hint="eastAsia" w:eastAsia="宋体"/>
                <w:color w:val="auto"/>
                <w:highlight w:val="none"/>
              </w:rPr>
              <w:t>附录A中表 A.1 医疗机构排污单位废气治理可行技术参照表，</w:t>
            </w:r>
            <w:r>
              <w:rPr>
                <w:rFonts w:eastAsia="宋体"/>
                <w:iCs/>
                <w:color w:val="auto"/>
                <w:highlight w:val="none"/>
              </w:rPr>
              <w:t>可知</w:t>
            </w:r>
            <w:r>
              <w:rPr>
                <w:rFonts w:hint="eastAsia" w:eastAsia="宋体"/>
                <w:iCs/>
                <w:color w:val="auto"/>
                <w:highlight w:val="none"/>
              </w:rPr>
              <w:t>，污水站恶臭气体</w:t>
            </w:r>
            <w:r>
              <w:rPr>
                <w:rFonts w:eastAsia="宋体"/>
                <w:iCs/>
                <w:color w:val="auto"/>
                <w:highlight w:val="none"/>
              </w:rPr>
              <w:t>治理</w:t>
            </w:r>
            <w:r>
              <w:rPr>
                <w:rFonts w:hint="eastAsia" w:eastAsia="宋体"/>
                <w:iCs/>
                <w:color w:val="auto"/>
                <w:highlight w:val="none"/>
              </w:rPr>
              <w:t>可行技术为集中收集恶臭气体经处理（喷淋塔除臭、活性炭吸附、生物除臭等）后经排气筒排放。本项目对污水处理站产生的恶臭气体集中收集后经过活性炭吸附处理后</w:t>
            </w:r>
            <w:r>
              <w:rPr>
                <w:rFonts w:hint="eastAsia" w:eastAsia="宋体"/>
                <w:i/>
                <w:iCs w:val="0"/>
                <w:color w:val="auto"/>
                <w:highlight w:val="none"/>
                <w:u w:val="single"/>
              </w:rPr>
              <w:t>，由</w:t>
            </w:r>
            <w:r>
              <w:rPr>
                <w:rFonts w:hint="eastAsia" w:eastAsia="宋体"/>
                <w:i/>
                <w:iCs w:val="0"/>
                <w:color w:val="auto"/>
                <w:highlight w:val="none"/>
                <w:u w:val="single"/>
                <w:lang w:eastAsia="zh-CN"/>
              </w:rPr>
              <w:t>高于楼顶（</w:t>
            </w:r>
            <w:r>
              <w:rPr>
                <w:rFonts w:hint="eastAsia" w:eastAsia="宋体"/>
                <w:i/>
                <w:iCs w:val="0"/>
                <w:color w:val="auto"/>
                <w:highlight w:val="none"/>
                <w:u w:val="single"/>
                <w:lang w:val="en-US" w:eastAsia="zh-CN"/>
              </w:rPr>
              <w:t>20.4m</w:t>
            </w:r>
            <w:r>
              <w:rPr>
                <w:rFonts w:hint="eastAsia" w:eastAsia="宋体"/>
                <w:i/>
                <w:iCs w:val="0"/>
                <w:color w:val="auto"/>
                <w:highlight w:val="none"/>
                <w:u w:val="single"/>
                <w:lang w:eastAsia="zh-CN"/>
              </w:rPr>
              <w:t>）排气筒</w:t>
            </w:r>
            <w:r>
              <w:rPr>
                <w:rFonts w:hint="eastAsia" w:eastAsia="宋体"/>
                <w:i/>
                <w:iCs w:val="0"/>
                <w:color w:val="auto"/>
                <w:highlight w:val="none"/>
                <w:u w:val="single"/>
                <w:lang w:val="en-US" w:eastAsia="zh-CN"/>
              </w:rPr>
              <w:t>21</w:t>
            </w:r>
            <w:r>
              <w:rPr>
                <w:rFonts w:hint="eastAsia" w:eastAsia="宋体"/>
                <w:i/>
                <w:iCs w:val="0"/>
                <w:color w:val="auto"/>
                <w:highlight w:val="none"/>
                <w:u w:val="single"/>
              </w:rPr>
              <w:t>m高的排气筒排出，属于可行性技术。</w:t>
            </w:r>
          </w:p>
          <w:p w14:paraId="403AE7A3">
            <w:pPr>
              <w:widowControl/>
              <w:spacing w:line="360" w:lineRule="auto"/>
              <w:ind w:firstLine="482" w:firstLineChars="200"/>
              <w:rPr>
                <w:color w:val="auto"/>
                <w:sz w:val="24"/>
                <w:highlight w:val="none"/>
              </w:rPr>
            </w:pPr>
            <w:r>
              <w:rPr>
                <w:b/>
                <w:bCs/>
                <w:color w:val="auto"/>
                <w:sz w:val="24"/>
                <w:highlight w:val="none"/>
              </w:rPr>
              <w:t>1.3达标排放及环境影响分析</w:t>
            </w:r>
          </w:p>
          <w:p w14:paraId="2ED53F78">
            <w:pPr>
              <w:spacing w:line="360" w:lineRule="auto"/>
              <w:ind w:firstLine="480" w:firstLineChars="200"/>
              <w:rPr>
                <w:color w:val="auto"/>
                <w:kern w:val="0"/>
                <w:sz w:val="24"/>
                <w:highlight w:val="none"/>
              </w:rPr>
            </w:pPr>
            <w:r>
              <w:rPr>
                <w:rFonts w:hint="eastAsia"/>
                <w:color w:val="auto"/>
                <w:kern w:val="0"/>
                <w:sz w:val="24"/>
                <w:highlight w:val="none"/>
              </w:rPr>
              <w:t>（1）污水站恶臭气体</w:t>
            </w:r>
          </w:p>
          <w:p w14:paraId="07583A2C">
            <w:pPr>
              <w:spacing w:line="360" w:lineRule="auto"/>
              <w:ind w:firstLine="480" w:firstLineChars="200"/>
              <w:rPr>
                <w:color w:val="auto"/>
                <w:sz w:val="24"/>
                <w:highlight w:val="none"/>
              </w:rPr>
            </w:pPr>
            <w:r>
              <w:rPr>
                <w:rFonts w:hint="eastAsia"/>
                <w:color w:val="auto"/>
                <w:kern w:val="0"/>
                <w:sz w:val="24"/>
                <w:highlight w:val="none"/>
              </w:rPr>
              <w:t>污水站恶臭气体经负压收集+活性炭吸附</w:t>
            </w:r>
            <w:r>
              <w:rPr>
                <w:color w:val="auto"/>
                <w:kern w:val="0"/>
                <w:sz w:val="24"/>
                <w:highlight w:val="none"/>
              </w:rPr>
              <w:t>通过</w:t>
            </w:r>
            <w:r>
              <w:rPr>
                <w:rFonts w:hint="eastAsia"/>
                <w:color w:val="auto"/>
                <w:kern w:val="0"/>
                <w:sz w:val="24"/>
                <w:highlight w:val="none"/>
                <w:lang w:val="en-US" w:eastAsia="zh-CN"/>
              </w:rPr>
              <w:t>21</w:t>
            </w:r>
            <w:r>
              <w:rPr>
                <w:color w:val="auto"/>
                <w:kern w:val="0"/>
                <w:sz w:val="24"/>
                <w:highlight w:val="none"/>
              </w:rPr>
              <w:t>m排气筒（DA001）排放，</w:t>
            </w:r>
            <w:r>
              <w:rPr>
                <w:color w:val="auto"/>
                <w:kern w:val="0"/>
                <w:sz w:val="24"/>
                <w:highlight w:val="none"/>
              </w:rPr>
              <w:t>同时在排气筒符合采样部位设置永久采样孔，并设置采样监测平台和排污</w:t>
            </w:r>
            <w:r>
              <w:rPr>
                <w:rFonts w:hint="eastAsia"/>
                <w:color w:val="auto"/>
                <w:kern w:val="0"/>
                <w:sz w:val="24"/>
                <w:highlight w:val="none"/>
                <w:lang w:eastAsia="zh-CN"/>
              </w:rPr>
              <w:t>口</w:t>
            </w:r>
            <w:r>
              <w:rPr>
                <w:color w:val="auto"/>
                <w:kern w:val="0"/>
                <w:sz w:val="24"/>
                <w:highlight w:val="none"/>
              </w:rPr>
              <w:t>标志内容。NH</w:t>
            </w:r>
            <w:r>
              <w:rPr>
                <w:color w:val="auto"/>
                <w:kern w:val="0"/>
                <w:sz w:val="24"/>
                <w:highlight w:val="none"/>
                <w:vertAlign w:val="subscript"/>
              </w:rPr>
              <w:t>3</w:t>
            </w:r>
            <w:r>
              <w:rPr>
                <w:color w:val="auto"/>
                <w:kern w:val="0"/>
                <w:sz w:val="24"/>
                <w:highlight w:val="none"/>
              </w:rPr>
              <w:t>和H</w:t>
            </w:r>
            <w:r>
              <w:rPr>
                <w:color w:val="auto"/>
                <w:kern w:val="0"/>
                <w:sz w:val="24"/>
                <w:highlight w:val="none"/>
                <w:vertAlign w:val="subscript"/>
              </w:rPr>
              <w:t>2</w:t>
            </w:r>
            <w:r>
              <w:rPr>
                <w:color w:val="auto"/>
                <w:kern w:val="0"/>
                <w:sz w:val="24"/>
                <w:highlight w:val="none"/>
              </w:rPr>
              <w:t>S</w:t>
            </w:r>
            <w:r>
              <w:rPr>
                <w:rFonts w:hint="eastAsia"/>
                <w:color w:val="auto"/>
                <w:kern w:val="0"/>
                <w:sz w:val="24"/>
                <w:highlight w:val="none"/>
              </w:rPr>
              <w:t>排放速率分别为0.00012k</w:t>
            </w:r>
            <w:r>
              <w:rPr>
                <w:color w:val="auto"/>
                <w:kern w:val="0"/>
                <w:sz w:val="24"/>
                <w:highlight w:val="none"/>
              </w:rPr>
              <w:t>g/</w:t>
            </w:r>
            <w:r>
              <w:rPr>
                <w:rFonts w:hint="eastAsia"/>
                <w:color w:val="auto"/>
                <w:kern w:val="0"/>
                <w:sz w:val="24"/>
                <w:highlight w:val="none"/>
              </w:rPr>
              <w:t>h</w:t>
            </w:r>
            <w:r>
              <w:rPr>
                <w:color w:val="auto"/>
                <w:kern w:val="0"/>
                <w:sz w:val="24"/>
                <w:highlight w:val="none"/>
              </w:rPr>
              <w:t>，</w:t>
            </w:r>
            <w:r>
              <w:rPr>
                <w:rFonts w:hint="eastAsia"/>
                <w:color w:val="auto"/>
                <w:kern w:val="0"/>
                <w:sz w:val="24"/>
                <w:highlight w:val="none"/>
              </w:rPr>
              <w:t>4.71</w:t>
            </w:r>
            <w:r>
              <w:rPr>
                <w:color w:val="auto"/>
                <w:kern w:val="0"/>
                <w:sz w:val="24"/>
                <w:highlight w:val="none"/>
              </w:rPr>
              <w:t>×</w:t>
            </w:r>
            <w:r>
              <w:rPr>
                <w:rFonts w:hint="eastAsia"/>
                <w:color w:val="auto"/>
                <w:kern w:val="0"/>
                <w:sz w:val="24"/>
                <w:highlight w:val="none"/>
              </w:rPr>
              <w:t>10</w:t>
            </w:r>
            <w:r>
              <w:rPr>
                <w:rFonts w:hint="eastAsia"/>
                <w:color w:val="auto"/>
                <w:kern w:val="0"/>
                <w:sz w:val="24"/>
                <w:highlight w:val="none"/>
                <w:vertAlign w:val="superscript"/>
              </w:rPr>
              <w:t>-6</w:t>
            </w:r>
            <w:r>
              <w:rPr>
                <w:rFonts w:hint="eastAsia"/>
                <w:color w:val="auto"/>
                <w:kern w:val="0"/>
                <w:sz w:val="24"/>
                <w:highlight w:val="none"/>
              </w:rPr>
              <w:t>kg/h，臭气浓度199（无量纲），</w:t>
            </w:r>
            <w:r>
              <w:rPr>
                <w:rFonts w:hint="eastAsia"/>
                <w:color w:val="auto"/>
                <w:sz w:val="24"/>
                <w:highlight w:val="none"/>
              </w:rPr>
              <w:t>满足</w:t>
            </w:r>
            <w:r>
              <w:rPr>
                <w:color w:val="auto"/>
                <w:sz w:val="24"/>
                <w:highlight w:val="none"/>
              </w:rPr>
              <w:t>《恶臭污染物排放标准》（GB14554-93）中</w:t>
            </w:r>
            <w:r>
              <w:rPr>
                <w:color w:val="auto"/>
                <w:kern w:val="0"/>
                <w:sz w:val="24"/>
                <w:highlight w:val="none"/>
              </w:rPr>
              <w:t>NH</w:t>
            </w:r>
            <w:r>
              <w:rPr>
                <w:color w:val="auto"/>
                <w:kern w:val="0"/>
                <w:sz w:val="24"/>
                <w:highlight w:val="none"/>
                <w:vertAlign w:val="subscript"/>
              </w:rPr>
              <w:t>3</w:t>
            </w:r>
            <w:r>
              <w:rPr>
                <w:rFonts w:hint="eastAsia"/>
                <w:color w:val="auto"/>
                <w:kern w:val="0"/>
                <w:sz w:val="24"/>
                <w:highlight w:val="none"/>
              </w:rPr>
              <w:t>排放速率8.7k</w:t>
            </w:r>
            <w:r>
              <w:rPr>
                <w:color w:val="auto"/>
                <w:kern w:val="0"/>
                <w:sz w:val="24"/>
                <w:highlight w:val="none"/>
              </w:rPr>
              <w:t>g/</w:t>
            </w:r>
            <w:r>
              <w:rPr>
                <w:rFonts w:hint="eastAsia"/>
                <w:color w:val="auto"/>
                <w:kern w:val="0"/>
                <w:sz w:val="24"/>
                <w:highlight w:val="none"/>
              </w:rPr>
              <w:t>h、</w:t>
            </w:r>
            <w:r>
              <w:rPr>
                <w:color w:val="auto"/>
                <w:kern w:val="0"/>
                <w:sz w:val="24"/>
                <w:highlight w:val="none"/>
              </w:rPr>
              <w:t>H</w:t>
            </w:r>
            <w:r>
              <w:rPr>
                <w:color w:val="auto"/>
                <w:kern w:val="0"/>
                <w:sz w:val="24"/>
                <w:highlight w:val="none"/>
                <w:vertAlign w:val="subscript"/>
              </w:rPr>
              <w:t>2</w:t>
            </w:r>
            <w:r>
              <w:rPr>
                <w:color w:val="auto"/>
                <w:kern w:val="0"/>
                <w:sz w:val="24"/>
                <w:highlight w:val="none"/>
              </w:rPr>
              <w:t>S</w:t>
            </w:r>
            <w:r>
              <w:rPr>
                <w:rFonts w:hint="eastAsia"/>
                <w:color w:val="auto"/>
                <w:kern w:val="0"/>
                <w:sz w:val="24"/>
                <w:highlight w:val="none"/>
              </w:rPr>
              <w:t>排放速率0.58kg/h及臭气浓度2000（无量纲）排放</w:t>
            </w:r>
            <w:r>
              <w:rPr>
                <w:color w:val="auto"/>
                <w:sz w:val="24"/>
                <w:highlight w:val="none"/>
              </w:rPr>
              <w:t>标准要求</w:t>
            </w:r>
            <w:r>
              <w:rPr>
                <w:rFonts w:hint="eastAsia"/>
                <w:color w:val="auto"/>
                <w:sz w:val="24"/>
                <w:highlight w:val="none"/>
              </w:rPr>
              <w:t>；污水处理站周边恶臭污染物</w:t>
            </w:r>
            <w:r>
              <w:rPr>
                <w:color w:val="auto"/>
                <w:sz w:val="24"/>
                <w:highlight w:val="none"/>
              </w:rPr>
              <w:t>排放浓度满足《医疗机构水污染物排放标准》（GB18466-2005）中</w:t>
            </w:r>
            <w:r>
              <w:rPr>
                <w:rFonts w:hint="eastAsia"/>
                <w:color w:val="auto"/>
                <w:sz w:val="24"/>
                <w:highlight w:val="none"/>
              </w:rPr>
              <w:t>“</w:t>
            </w:r>
            <w:r>
              <w:rPr>
                <w:color w:val="auto"/>
                <w:sz w:val="24"/>
                <w:highlight w:val="none"/>
              </w:rPr>
              <w:t>污水处理站周边大气污染物最高允许浓度</w:t>
            </w:r>
            <w:r>
              <w:rPr>
                <w:rFonts w:hint="eastAsia"/>
                <w:color w:val="auto"/>
                <w:sz w:val="24"/>
                <w:highlight w:val="none"/>
              </w:rPr>
              <w:t>”要求</w:t>
            </w:r>
            <w:r>
              <w:rPr>
                <w:color w:val="auto"/>
                <w:sz w:val="24"/>
                <w:highlight w:val="none"/>
              </w:rPr>
              <w:t>。</w:t>
            </w:r>
            <w:r>
              <w:rPr>
                <w:rFonts w:hint="eastAsia"/>
                <w:bCs/>
                <w:color w:val="auto"/>
                <w:sz w:val="24"/>
                <w:highlight w:val="none"/>
              </w:rPr>
              <w:t>企业应加强日常环境管理，定期对污水处理站进行检查，确保废气收集及净化系统稳定正常运行，加强厂区周围绿化等，</w:t>
            </w:r>
            <w:r>
              <w:rPr>
                <w:rFonts w:hint="eastAsia"/>
                <w:bCs/>
                <w:color w:val="auto"/>
                <w:sz w:val="24"/>
                <w:highlight w:val="none"/>
              </w:rPr>
              <w:t>可确保厂界无组织废气满足《恶臭污染物排放标准》（GB14554-93），污水处理站周边无组织恶臭气体满足《医疗机构水污染物排放标准》（GB18466-2005）中表3标准限值要求。</w:t>
            </w:r>
          </w:p>
          <w:p w14:paraId="5EBC652D">
            <w:pPr>
              <w:spacing w:line="360" w:lineRule="auto"/>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）中药室废气</w:t>
            </w:r>
          </w:p>
          <w:p w14:paraId="7C825C37">
            <w:pPr>
              <w:spacing w:line="360" w:lineRule="auto"/>
              <w:ind w:firstLine="480" w:firstLineChars="200"/>
              <w:rPr>
                <w:color w:val="auto"/>
                <w:sz w:val="24"/>
                <w:highlight w:val="none"/>
              </w:rPr>
            </w:pPr>
            <w:r>
              <w:rPr>
                <w:color w:val="auto"/>
                <w:sz w:val="24"/>
                <w:highlight w:val="none"/>
              </w:rPr>
              <w:t>本项目</w:t>
            </w:r>
            <w:r>
              <w:rPr>
                <w:rFonts w:hint="eastAsia"/>
                <w:color w:val="auto"/>
                <w:sz w:val="24"/>
                <w:highlight w:val="none"/>
              </w:rPr>
              <w:t>中药室废气主要为煎药室异味，成分主要为水蒸气蒸发带出的中药异味，以臭气浓度计，煎药室所用药材多为草药，无有毒有害气体，</w:t>
            </w:r>
            <w:r>
              <w:rPr>
                <w:rFonts w:hint="eastAsia"/>
                <w:color w:val="auto"/>
                <w:sz w:val="24"/>
                <w:highlight w:val="none"/>
                <w:lang w:val="en-US" w:eastAsia="zh-CN"/>
              </w:rPr>
              <w:t>煎药产生的少量废气经集气罩（集气效率约为90%）收集后经高于楼顶排气筒DA003（21m）有组织排放</w:t>
            </w:r>
            <w:r>
              <w:rPr>
                <w:rFonts w:hint="eastAsia"/>
                <w:color w:val="auto"/>
                <w:sz w:val="24"/>
                <w:highlight w:val="none"/>
                <w:lang w:val="en-US" w:eastAsia="zh-CN"/>
              </w:rPr>
              <w:t>，</w:t>
            </w:r>
            <w:r>
              <w:rPr>
                <w:rFonts w:hint="eastAsia"/>
                <w:color w:val="auto"/>
                <w:sz w:val="24"/>
                <w:highlight w:val="none"/>
              </w:rPr>
              <w:t>煎药室相对密闭，绝大部分异味被墙体阻隔在煎药室内</w:t>
            </w:r>
            <w:r>
              <w:rPr>
                <w:rFonts w:hint="eastAsia"/>
                <w:color w:val="auto"/>
                <w:sz w:val="24"/>
                <w:highlight w:val="none"/>
                <w:lang w:eastAsia="zh-CN"/>
              </w:rPr>
              <w:t>，</w:t>
            </w:r>
            <w:r>
              <w:rPr>
                <w:rFonts w:hint="eastAsia"/>
                <w:color w:val="auto"/>
                <w:sz w:val="24"/>
                <w:highlight w:val="none"/>
              </w:rPr>
              <w:t>确保废气满足</w:t>
            </w:r>
            <w:r>
              <w:rPr>
                <w:rFonts w:hint="eastAsia"/>
                <w:color w:val="auto"/>
                <w:sz w:val="24"/>
                <w:highlight w:val="none"/>
              </w:rPr>
              <w:t>《恶臭污染物排放标准》（GB14554-93）</w:t>
            </w:r>
            <w:r>
              <w:rPr>
                <w:rFonts w:hint="eastAsia"/>
                <w:color w:val="auto"/>
                <w:sz w:val="24"/>
                <w:highlight w:val="none"/>
                <w:lang w:eastAsia="zh-CN"/>
              </w:rPr>
              <w:t>表</w:t>
            </w:r>
            <w:r>
              <w:rPr>
                <w:rFonts w:hint="eastAsia"/>
                <w:color w:val="auto"/>
                <w:sz w:val="24"/>
                <w:highlight w:val="none"/>
                <w:lang w:val="en-US" w:eastAsia="zh-CN"/>
              </w:rPr>
              <w:t>1及</w:t>
            </w:r>
            <w:r>
              <w:rPr>
                <w:rFonts w:hint="eastAsia"/>
                <w:color w:val="auto"/>
                <w:sz w:val="24"/>
                <w:highlight w:val="none"/>
              </w:rPr>
              <w:t>表2标准值。</w:t>
            </w:r>
          </w:p>
          <w:p w14:paraId="3018A743">
            <w:pPr>
              <w:spacing w:line="360" w:lineRule="auto"/>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）食堂油烟</w:t>
            </w:r>
          </w:p>
          <w:p w14:paraId="3CD583CA">
            <w:pPr>
              <w:spacing w:line="360" w:lineRule="auto"/>
              <w:ind w:firstLine="480" w:firstLineChars="200"/>
              <w:rPr>
                <w:color w:val="auto"/>
                <w:sz w:val="24"/>
                <w:highlight w:val="none"/>
              </w:rPr>
            </w:pPr>
            <w:r>
              <w:rPr>
                <w:rFonts w:hint="eastAsia"/>
                <w:color w:val="auto"/>
                <w:sz w:val="24"/>
                <w:highlight w:val="none"/>
              </w:rPr>
              <w:t>项目食堂油烟集风罩收集后通过油烟净化装置处理后通过高于楼顶约2</w:t>
            </w:r>
            <w:r>
              <w:rPr>
                <w:rFonts w:hint="eastAsia"/>
                <w:color w:val="auto"/>
                <w:sz w:val="24"/>
                <w:highlight w:val="none"/>
                <w:lang w:val="en-US" w:eastAsia="zh-CN"/>
              </w:rPr>
              <w:t>1</w:t>
            </w:r>
            <w:r>
              <w:rPr>
                <w:rFonts w:hint="eastAsia"/>
                <w:color w:val="auto"/>
                <w:sz w:val="24"/>
                <w:highlight w:val="none"/>
              </w:rPr>
              <w:t>m高排气筒DA00</w:t>
            </w:r>
            <w:r>
              <w:rPr>
                <w:rFonts w:hint="eastAsia"/>
                <w:color w:val="auto"/>
                <w:sz w:val="24"/>
                <w:highlight w:val="none"/>
                <w:lang w:val="en-US" w:eastAsia="zh-CN"/>
              </w:rPr>
              <w:t>2</w:t>
            </w:r>
            <w:r>
              <w:rPr>
                <w:rFonts w:hint="eastAsia"/>
                <w:color w:val="auto"/>
                <w:sz w:val="24"/>
                <w:highlight w:val="none"/>
              </w:rPr>
              <w:t>排放，排放浓度为1.68mg/m</w:t>
            </w:r>
            <w:r>
              <w:rPr>
                <w:rFonts w:hint="eastAsia"/>
                <w:color w:val="auto"/>
                <w:sz w:val="24"/>
                <w:highlight w:val="none"/>
                <w:vertAlign w:val="superscript"/>
              </w:rPr>
              <w:t>3</w:t>
            </w:r>
            <w:r>
              <w:rPr>
                <w:rFonts w:hint="eastAsia"/>
                <w:color w:val="auto"/>
                <w:sz w:val="24"/>
                <w:highlight w:val="none"/>
              </w:rPr>
              <w:t>，油烟排放量为4.6kg/a，排放浓度及油烟净化处理效率均满足《饮食业油烟排放标准》（GB18438-2001）中的最高允许排放浓度限值。</w:t>
            </w:r>
          </w:p>
          <w:p w14:paraId="662DBD0A">
            <w:pPr>
              <w:spacing w:line="360" w:lineRule="auto"/>
              <w:ind w:firstLine="480" w:firstLineChars="200"/>
              <w:rPr>
                <w:i/>
                <w:iCs/>
                <w:color w:val="auto"/>
                <w:sz w:val="24"/>
                <w:highlight w:val="none"/>
                <w:u w:val="single"/>
              </w:rPr>
            </w:pPr>
            <w:r>
              <w:rPr>
                <w:rFonts w:hint="eastAsia"/>
                <w:i/>
                <w:iCs/>
                <w:color w:val="auto"/>
                <w:sz w:val="24"/>
                <w:highlight w:val="none"/>
                <w:u w:val="single"/>
              </w:rPr>
              <w:t>综上本项目废气均得到有效治理，</w:t>
            </w:r>
            <w:r>
              <w:rPr>
                <w:rFonts w:hint="eastAsia"/>
                <w:bCs/>
                <w:i/>
                <w:iCs/>
                <w:color w:val="auto"/>
                <w:sz w:val="24"/>
                <w:highlight w:val="none"/>
                <w:u w:val="single"/>
                <w:lang w:eastAsia="zh-CN"/>
              </w:rPr>
              <w:t>不会对周围环境空气保护目标造成较大影响。</w:t>
            </w:r>
            <w:r>
              <w:rPr>
                <w:rFonts w:hint="eastAsia"/>
                <w:bCs/>
                <w:i/>
                <w:iCs/>
                <w:color w:val="auto"/>
                <w:sz w:val="24"/>
                <w:highlight w:val="none"/>
                <w:u w:val="single"/>
              </w:rPr>
              <w:t>对周围大气环境影响较小，在可接受范围之内。</w:t>
            </w:r>
          </w:p>
          <w:p w14:paraId="03BA0E9D">
            <w:pPr>
              <w:pStyle w:val="12"/>
              <w:spacing w:before="0" w:after="0" w:line="360" w:lineRule="auto"/>
              <w:ind w:right="0" w:firstLine="482"/>
              <w:rPr>
                <w:b/>
                <w:color w:val="auto"/>
                <w:kern w:val="2"/>
                <w:sz w:val="24"/>
                <w:szCs w:val="24"/>
                <w:highlight w:val="none"/>
              </w:rPr>
            </w:pPr>
            <w:r>
              <w:rPr>
                <w:rFonts w:hint="eastAsia"/>
                <w:b/>
                <w:color w:val="auto"/>
                <w:kern w:val="2"/>
                <w:sz w:val="24"/>
                <w:szCs w:val="24"/>
                <w:highlight w:val="none"/>
              </w:rPr>
              <w:t>1.4</w:t>
            </w:r>
            <w:r>
              <w:rPr>
                <w:b/>
                <w:color w:val="auto"/>
                <w:kern w:val="2"/>
                <w:sz w:val="24"/>
                <w:szCs w:val="24"/>
                <w:highlight w:val="none"/>
              </w:rPr>
              <w:t>排放口</w:t>
            </w:r>
            <w:r>
              <w:rPr>
                <w:rFonts w:hint="eastAsia"/>
                <w:b/>
                <w:color w:val="auto"/>
                <w:kern w:val="2"/>
                <w:sz w:val="24"/>
                <w:szCs w:val="24"/>
                <w:highlight w:val="none"/>
              </w:rPr>
              <w:t>设置</w:t>
            </w:r>
            <w:r>
              <w:rPr>
                <w:b/>
                <w:color w:val="auto"/>
                <w:kern w:val="2"/>
                <w:sz w:val="24"/>
                <w:szCs w:val="24"/>
                <w:highlight w:val="none"/>
              </w:rPr>
              <w:t>及监测要求</w:t>
            </w:r>
          </w:p>
          <w:p w14:paraId="13CF58AE">
            <w:pPr>
              <w:pStyle w:val="12"/>
              <w:spacing w:before="0" w:after="0" w:line="360" w:lineRule="auto"/>
              <w:ind w:right="0" w:firstLine="482"/>
              <w:rPr>
                <w:b/>
                <w:bCs/>
                <w:color w:val="auto"/>
                <w:sz w:val="24"/>
                <w:szCs w:val="24"/>
                <w:highlight w:val="none"/>
              </w:rPr>
            </w:pPr>
            <w:r>
              <w:rPr>
                <w:rFonts w:hint="eastAsia"/>
                <w:b/>
                <w:bCs/>
                <w:color w:val="auto"/>
                <w:sz w:val="24"/>
                <w:szCs w:val="24"/>
                <w:highlight w:val="none"/>
              </w:rPr>
              <w:t>（1）排放口信息</w:t>
            </w:r>
          </w:p>
          <w:p w14:paraId="1489D52B">
            <w:pPr>
              <w:pStyle w:val="12"/>
              <w:spacing w:before="0" w:after="0" w:line="360" w:lineRule="auto"/>
              <w:ind w:right="0" w:firstLine="482"/>
              <w:rPr>
                <w:color w:val="auto"/>
                <w:sz w:val="24"/>
                <w:szCs w:val="24"/>
                <w:highlight w:val="none"/>
              </w:rPr>
            </w:pPr>
            <w:r>
              <w:rPr>
                <w:color w:val="auto"/>
                <w:sz w:val="24"/>
                <w:szCs w:val="24"/>
                <w:highlight w:val="none"/>
              </w:rPr>
              <w:t>本项目</w:t>
            </w:r>
            <w:r>
              <w:rPr>
                <w:rFonts w:hint="eastAsia"/>
                <w:color w:val="auto"/>
                <w:sz w:val="24"/>
                <w:szCs w:val="24"/>
                <w:highlight w:val="none"/>
              </w:rPr>
              <w:t>废气排放口情况详见下表</w:t>
            </w:r>
            <w:r>
              <w:rPr>
                <w:color w:val="auto"/>
                <w:sz w:val="24"/>
                <w:szCs w:val="24"/>
                <w:highlight w:val="none"/>
              </w:rPr>
              <w:t>。</w:t>
            </w:r>
          </w:p>
          <w:p w14:paraId="06C390D1">
            <w:pPr>
              <w:jc w:val="center"/>
              <w:rPr>
                <w:b/>
                <w:bCs/>
                <w:color w:val="auto"/>
                <w:sz w:val="24"/>
                <w:highlight w:val="none"/>
              </w:rPr>
            </w:pPr>
            <w:r>
              <w:rPr>
                <w:b/>
                <w:color w:val="auto"/>
                <w:sz w:val="24"/>
                <w:highlight w:val="none"/>
              </w:rPr>
              <w:t>表</w:t>
            </w:r>
            <w:r>
              <w:rPr>
                <w:rFonts w:hint="eastAsia"/>
                <w:b/>
                <w:color w:val="auto"/>
                <w:sz w:val="24"/>
                <w:highlight w:val="none"/>
              </w:rPr>
              <w:t>4-3</w:t>
            </w:r>
            <w:r>
              <w:rPr>
                <w:b/>
                <w:color w:val="auto"/>
                <w:sz w:val="24"/>
                <w:highlight w:val="none"/>
              </w:rPr>
              <w:t xml:space="preserve"> </w:t>
            </w:r>
            <w:r>
              <w:rPr>
                <w:rFonts w:hint="eastAsia"/>
                <w:b/>
                <w:color w:val="auto"/>
                <w:sz w:val="24"/>
                <w:highlight w:val="none"/>
              </w:rPr>
              <w:t xml:space="preserve"> </w:t>
            </w:r>
            <w:r>
              <w:rPr>
                <w:b/>
                <w:color w:val="auto"/>
                <w:sz w:val="24"/>
                <w:highlight w:val="none"/>
              </w:rPr>
              <w:t>项目废气排放口信息一览表</w:t>
            </w:r>
          </w:p>
          <w:tbl>
            <w:tblPr>
              <w:tblStyle w:val="29"/>
              <w:tblW w:w="84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04"/>
              <w:gridCol w:w="1112"/>
              <w:gridCol w:w="913"/>
              <w:gridCol w:w="887"/>
              <w:gridCol w:w="1886"/>
              <w:gridCol w:w="1132"/>
            </w:tblGrid>
            <w:tr w14:paraId="0973C6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35" w:type="dxa"/>
                  <w:vMerge w:val="restart"/>
                  <w:tcBorders>
                    <w:tl2br w:val="nil"/>
                    <w:tr2bl w:val="nil"/>
                  </w:tcBorders>
                  <w:vAlign w:val="center"/>
                </w:tcPr>
                <w:p w14:paraId="17974C43">
                  <w:pPr>
                    <w:jc w:val="center"/>
                    <w:rPr>
                      <w:i/>
                      <w:iCs/>
                      <w:color w:val="auto"/>
                      <w:highlight w:val="none"/>
                      <w:u w:val="single"/>
                    </w:rPr>
                  </w:pPr>
                  <w:r>
                    <w:rPr>
                      <w:i/>
                      <w:iCs/>
                      <w:color w:val="auto"/>
                      <w:highlight w:val="none"/>
                      <w:u w:val="single"/>
                    </w:rPr>
                    <w:t>编号</w:t>
                  </w:r>
                </w:p>
              </w:tc>
              <w:tc>
                <w:tcPr>
                  <w:tcW w:w="1704" w:type="dxa"/>
                  <w:vMerge w:val="restart"/>
                  <w:tcBorders>
                    <w:tl2br w:val="nil"/>
                    <w:tr2bl w:val="nil"/>
                  </w:tcBorders>
                  <w:vAlign w:val="center"/>
                </w:tcPr>
                <w:p w14:paraId="225571DF">
                  <w:pPr>
                    <w:jc w:val="center"/>
                    <w:rPr>
                      <w:i/>
                      <w:iCs/>
                      <w:color w:val="auto"/>
                      <w:highlight w:val="none"/>
                      <w:u w:val="single"/>
                    </w:rPr>
                  </w:pPr>
                  <w:r>
                    <w:rPr>
                      <w:i/>
                      <w:iCs/>
                      <w:color w:val="auto"/>
                      <w:highlight w:val="none"/>
                      <w:u w:val="single"/>
                    </w:rPr>
                    <w:t>排放口</w:t>
                  </w:r>
                </w:p>
              </w:tc>
              <w:tc>
                <w:tcPr>
                  <w:tcW w:w="4798" w:type="dxa"/>
                  <w:gridSpan w:val="4"/>
                  <w:tcBorders>
                    <w:tl2br w:val="nil"/>
                    <w:tr2bl w:val="nil"/>
                  </w:tcBorders>
                  <w:vAlign w:val="center"/>
                </w:tcPr>
                <w:p w14:paraId="42FE2F16">
                  <w:pPr>
                    <w:jc w:val="center"/>
                    <w:rPr>
                      <w:i/>
                      <w:iCs/>
                      <w:color w:val="auto"/>
                      <w:highlight w:val="none"/>
                      <w:u w:val="single"/>
                    </w:rPr>
                  </w:pPr>
                  <w:r>
                    <w:rPr>
                      <w:i/>
                      <w:iCs/>
                      <w:color w:val="auto"/>
                      <w:highlight w:val="none"/>
                      <w:u w:val="single"/>
                    </w:rPr>
                    <w:t>排放口信息</w:t>
                  </w:r>
                </w:p>
              </w:tc>
              <w:tc>
                <w:tcPr>
                  <w:tcW w:w="1132" w:type="dxa"/>
                  <w:vMerge w:val="restart"/>
                  <w:tcBorders>
                    <w:tl2br w:val="nil"/>
                    <w:tr2bl w:val="nil"/>
                  </w:tcBorders>
                  <w:vAlign w:val="center"/>
                </w:tcPr>
                <w:p w14:paraId="2C6125E0">
                  <w:pPr>
                    <w:jc w:val="center"/>
                    <w:rPr>
                      <w:i/>
                      <w:iCs/>
                      <w:color w:val="auto"/>
                      <w:highlight w:val="none"/>
                      <w:u w:val="single"/>
                    </w:rPr>
                  </w:pPr>
                  <w:r>
                    <w:rPr>
                      <w:i/>
                      <w:iCs/>
                      <w:color w:val="auto"/>
                      <w:highlight w:val="none"/>
                      <w:u w:val="single"/>
                    </w:rPr>
                    <w:t>排放口</w:t>
                  </w:r>
                </w:p>
                <w:p w14:paraId="25F6D5C6">
                  <w:pPr>
                    <w:jc w:val="center"/>
                    <w:rPr>
                      <w:i/>
                      <w:iCs/>
                      <w:color w:val="auto"/>
                      <w:highlight w:val="none"/>
                      <w:u w:val="single"/>
                    </w:rPr>
                  </w:pPr>
                  <w:r>
                    <w:rPr>
                      <w:i/>
                      <w:iCs/>
                      <w:color w:val="auto"/>
                      <w:highlight w:val="none"/>
                      <w:u w:val="single"/>
                    </w:rPr>
                    <w:t>类型</w:t>
                  </w:r>
                </w:p>
              </w:tc>
            </w:tr>
            <w:tr w14:paraId="18FA56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35" w:type="dxa"/>
                  <w:vMerge w:val="continue"/>
                  <w:tcBorders>
                    <w:tl2br w:val="nil"/>
                    <w:tr2bl w:val="nil"/>
                  </w:tcBorders>
                  <w:vAlign w:val="center"/>
                </w:tcPr>
                <w:p w14:paraId="399D7C76">
                  <w:pPr>
                    <w:jc w:val="center"/>
                    <w:rPr>
                      <w:i/>
                      <w:iCs/>
                      <w:color w:val="auto"/>
                      <w:highlight w:val="none"/>
                      <w:u w:val="single"/>
                    </w:rPr>
                  </w:pPr>
                </w:p>
              </w:tc>
              <w:tc>
                <w:tcPr>
                  <w:tcW w:w="1704" w:type="dxa"/>
                  <w:vMerge w:val="continue"/>
                  <w:tcBorders>
                    <w:tl2br w:val="nil"/>
                    <w:tr2bl w:val="nil"/>
                  </w:tcBorders>
                  <w:vAlign w:val="center"/>
                </w:tcPr>
                <w:p w14:paraId="69BC8F3C">
                  <w:pPr>
                    <w:jc w:val="center"/>
                    <w:rPr>
                      <w:i/>
                      <w:iCs/>
                      <w:color w:val="auto"/>
                      <w:highlight w:val="none"/>
                      <w:u w:val="single"/>
                    </w:rPr>
                  </w:pPr>
                </w:p>
              </w:tc>
              <w:tc>
                <w:tcPr>
                  <w:tcW w:w="1112" w:type="dxa"/>
                  <w:tcBorders>
                    <w:tl2br w:val="nil"/>
                    <w:tr2bl w:val="nil"/>
                  </w:tcBorders>
                  <w:vAlign w:val="center"/>
                </w:tcPr>
                <w:p w14:paraId="01CFDEDF">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i/>
                      <w:iCs/>
                      <w:color w:val="auto"/>
                      <w:kern w:val="0"/>
                      <w:szCs w:val="21"/>
                      <w:highlight w:val="none"/>
                      <w:u w:val="single"/>
                    </w:rPr>
                    <w:t>高度</w:t>
                  </w:r>
                </w:p>
                <w:p w14:paraId="1EA5BDF9">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i/>
                      <w:iCs/>
                      <w:color w:val="auto"/>
                      <w:kern w:val="0"/>
                      <w:szCs w:val="21"/>
                      <w:highlight w:val="none"/>
                      <w:u w:val="single"/>
                    </w:rPr>
                    <w:t>（m）</w:t>
                  </w:r>
                </w:p>
              </w:tc>
              <w:tc>
                <w:tcPr>
                  <w:tcW w:w="913" w:type="dxa"/>
                  <w:tcBorders>
                    <w:tl2br w:val="nil"/>
                    <w:tr2bl w:val="nil"/>
                  </w:tcBorders>
                  <w:vAlign w:val="center"/>
                </w:tcPr>
                <w:p w14:paraId="5775AC56">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i/>
                      <w:iCs/>
                      <w:color w:val="auto"/>
                      <w:kern w:val="0"/>
                      <w:szCs w:val="21"/>
                      <w:highlight w:val="none"/>
                      <w:u w:val="single"/>
                    </w:rPr>
                    <w:t>内径</w:t>
                  </w:r>
                </w:p>
                <w:p w14:paraId="58613688">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i/>
                      <w:iCs/>
                      <w:color w:val="auto"/>
                      <w:kern w:val="0"/>
                      <w:szCs w:val="21"/>
                      <w:highlight w:val="none"/>
                      <w:u w:val="single"/>
                    </w:rPr>
                    <w:t>（m）</w:t>
                  </w:r>
                </w:p>
              </w:tc>
              <w:tc>
                <w:tcPr>
                  <w:tcW w:w="887" w:type="dxa"/>
                  <w:tcBorders>
                    <w:tl2br w:val="nil"/>
                    <w:tr2bl w:val="nil"/>
                  </w:tcBorders>
                  <w:vAlign w:val="center"/>
                </w:tcPr>
                <w:p w14:paraId="2475F0B3">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i/>
                      <w:iCs/>
                      <w:color w:val="auto"/>
                      <w:kern w:val="0"/>
                      <w:szCs w:val="21"/>
                      <w:highlight w:val="none"/>
                      <w:u w:val="single"/>
                    </w:rPr>
                    <w:t>温度</w:t>
                  </w:r>
                </w:p>
                <w:p w14:paraId="5B9FCF14">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i/>
                      <w:iCs/>
                      <w:color w:val="auto"/>
                      <w:kern w:val="0"/>
                      <w:szCs w:val="21"/>
                      <w:highlight w:val="none"/>
                      <w:u w:val="single"/>
                    </w:rPr>
                    <w:t>（℃）</w:t>
                  </w:r>
                </w:p>
              </w:tc>
              <w:tc>
                <w:tcPr>
                  <w:tcW w:w="1886" w:type="dxa"/>
                  <w:tcBorders>
                    <w:tl2br w:val="nil"/>
                    <w:tr2bl w:val="nil"/>
                  </w:tcBorders>
                  <w:vAlign w:val="center"/>
                </w:tcPr>
                <w:p w14:paraId="1CD81A1E">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i/>
                      <w:iCs/>
                      <w:color w:val="auto"/>
                      <w:kern w:val="0"/>
                      <w:szCs w:val="21"/>
                      <w:highlight w:val="none"/>
                      <w:u w:val="single"/>
                    </w:rPr>
                    <w:t>位置坐标</w:t>
                  </w:r>
                </w:p>
              </w:tc>
              <w:tc>
                <w:tcPr>
                  <w:tcW w:w="1132" w:type="dxa"/>
                  <w:vMerge w:val="continue"/>
                  <w:tcBorders>
                    <w:tl2br w:val="nil"/>
                    <w:tr2bl w:val="nil"/>
                  </w:tcBorders>
                  <w:vAlign w:val="center"/>
                </w:tcPr>
                <w:p w14:paraId="296EC14C">
                  <w:pPr>
                    <w:jc w:val="center"/>
                    <w:rPr>
                      <w:i/>
                      <w:iCs/>
                      <w:color w:val="auto"/>
                      <w:highlight w:val="none"/>
                      <w:u w:val="single"/>
                    </w:rPr>
                  </w:pPr>
                </w:p>
              </w:tc>
            </w:tr>
            <w:tr w14:paraId="6447E7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5" w:type="dxa"/>
                  <w:tcBorders>
                    <w:tl2br w:val="nil"/>
                    <w:tr2bl w:val="nil"/>
                  </w:tcBorders>
                  <w:vAlign w:val="center"/>
                </w:tcPr>
                <w:p w14:paraId="56DA260B">
                  <w:pPr>
                    <w:jc w:val="center"/>
                    <w:rPr>
                      <w:i/>
                      <w:iCs/>
                      <w:color w:val="auto"/>
                      <w:highlight w:val="none"/>
                      <w:u w:val="single"/>
                    </w:rPr>
                  </w:pPr>
                  <w:r>
                    <w:rPr>
                      <w:i/>
                      <w:iCs/>
                      <w:color w:val="auto"/>
                      <w:highlight w:val="none"/>
                      <w:u w:val="single"/>
                    </w:rPr>
                    <w:t>DA001</w:t>
                  </w:r>
                </w:p>
              </w:tc>
              <w:tc>
                <w:tcPr>
                  <w:tcW w:w="1704" w:type="dxa"/>
                  <w:tcBorders>
                    <w:tl2br w:val="nil"/>
                    <w:tr2bl w:val="nil"/>
                  </w:tcBorders>
                  <w:vAlign w:val="center"/>
                </w:tcPr>
                <w:p w14:paraId="09F25FBF">
                  <w:pPr>
                    <w:jc w:val="center"/>
                    <w:rPr>
                      <w:i/>
                      <w:iCs/>
                      <w:color w:val="auto"/>
                      <w:highlight w:val="none"/>
                      <w:u w:val="single"/>
                    </w:rPr>
                  </w:pPr>
                  <w:r>
                    <w:rPr>
                      <w:rFonts w:hint="eastAsia"/>
                      <w:i/>
                      <w:iCs/>
                      <w:color w:val="auto"/>
                      <w:highlight w:val="none"/>
                      <w:u w:val="single"/>
                    </w:rPr>
                    <w:t>污水站恶臭气体</w:t>
                  </w:r>
                </w:p>
              </w:tc>
              <w:tc>
                <w:tcPr>
                  <w:tcW w:w="1112" w:type="dxa"/>
                  <w:tcBorders>
                    <w:tl2br w:val="nil"/>
                    <w:tr2bl w:val="nil"/>
                  </w:tcBorders>
                  <w:vAlign w:val="center"/>
                </w:tcPr>
                <w:p w14:paraId="324FDD82">
                  <w:pPr>
                    <w:jc w:val="center"/>
                    <w:rPr>
                      <w:rFonts w:hint="default" w:eastAsia="宋体"/>
                      <w:i/>
                      <w:iCs/>
                      <w:color w:val="auto"/>
                      <w:highlight w:val="none"/>
                      <w:u w:val="single"/>
                      <w:lang w:val="en-US" w:eastAsia="zh-CN"/>
                    </w:rPr>
                  </w:pPr>
                  <w:r>
                    <w:rPr>
                      <w:rFonts w:hint="eastAsia"/>
                      <w:i/>
                      <w:iCs/>
                      <w:color w:val="auto"/>
                      <w:highlight w:val="none"/>
                      <w:u w:val="single"/>
                      <w:lang w:val="en-US" w:eastAsia="zh-CN"/>
                    </w:rPr>
                    <w:t>21</w:t>
                  </w:r>
                </w:p>
              </w:tc>
              <w:tc>
                <w:tcPr>
                  <w:tcW w:w="913" w:type="dxa"/>
                  <w:tcBorders>
                    <w:tl2br w:val="nil"/>
                    <w:tr2bl w:val="nil"/>
                  </w:tcBorders>
                  <w:vAlign w:val="center"/>
                </w:tcPr>
                <w:p w14:paraId="3CF183C4">
                  <w:pPr>
                    <w:autoSpaceDE w:val="0"/>
                    <w:autoSpaceDN w:val="0"/>
                    <w:adjustRightInd w:val="0"/>
                    <w:snapToGrid w:val="0"/>
                    <w:ind w:left="-42" w:leftChars="-20" w:right="-105" w:rightChars="-50"/>
                    <w:jc w:val="center"/>
                    <w:textAlignment w:val="center"/>
                    <w:rPr>
                      <w:i/>
                      <w:iCs/>
                      <w:color w:val="auto"/>
                      <w:highlight w:val="none"/>
                      <w:u w:val="single"/>
                    </w:rPr>
                  </w:pPr>
                  <w:r>
                    <w:rPr>
                      <w:rFonts w:hint="eastAsia"/>
                      <w:i/>
                      <w:iCs/>
                      <w:color w:val="auto"/>
                      <w:kern w:val="0"/>
                      <w:szCs w:val="21"/>
                      <w:highlight w:val="none"/>
                      <w:u w:val="single"/>
                    </w:rPr>
                    <w:t>0.4</w:t>
                  </w:r>
                </w:p>
              </w:tc>
              <w:tc>
                <w:tcPr>
                  <w:tcW w:w="887" w:type="dxa"/>
                  <w:tcBorders>
                    <w:tl2br w:val="nil"/>
                    <w:tr2bl w:val="nil"/>
                  </w:tcBorders>
                  <w:vAlign w:val="center"/>
                </w:tcPr>
                <w:p w14:paraId="1858D13E">
                  <w:pPr>
                    <w:autoSpaceDE w:val="0"/>
                    <w:autoSpaceDN w:val="0"/>
                    <w:adjustRightInd w:val="0"/>
                    <w:snapToGrid w:val="0"/>
                    <w:ind w:left="-42" w:leftChars="-20" w:right="-105" w:rightChars="-50"/>
                    <w:jc w:val="center"/>
                    <w:textAlignment w:val="center"/>
                    <w:rPr>
                      <w:i/>
                      <w:iCs/>
                      <w:color w:val="auto"/>
                      <w:highlight w:val="none"/>
                      <w:u w:val="single"/>
                    </w:rPr>
                  </w:pPr>
                  <w:r>
                    <w:rPr>
                      <w:rFonts w:hint="eastAsia"/>
                      <w:i/>
                      <w:iCs/>
                      <w:color w:val="auto"/>
                      <w:kern w:val="0"/>
                      <w:szCs w:val="21"/>
                      <w:highlight w:val="none"/>
                      <w:u w:val="single"/>
                    </w:rPr>
                    <w:t>常温</w:t>
                  </w:r>
                </w:p>
              </w:tc>
              <w:tc>
                <w:tcPr>
                  <w:tcW w:w="1886" w:type="dxa"/>
                  <w:tcBorders>
                    <w:tl2br w:val="nil"/>
                    <w:tr2bl w:val="nil"/>
                  </w:tcBorders>
                  <w:vAlign w:val="center"/>
                </w:tcPr>
                <w:p w14:paraId="2260059A">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rFonts w:hint="eastAsia"/>
                      <w:i/>
                      <w:iCs/>
                      <w:color w:val="auto"/>
                      <w:kern w:val="0"/>
                      <w:szCs w:val="21"/>
                      <w:highlight w:val="none"/>
                      <w:u w:val="single"/>
                    </w:rPr>
                    <w:t>125</w:t>
                  </w:r>
                  <w:r>
                    <w:rPr>
                      <w:i/>
                      <w:iCs/>
                      <w:color w:val="auto"/>
                      <w:kern w:val="0"/>
                      <w:szCs w:val="21"/>
                      <w:highlight w:val="none"/>
                      <w:u w:val="single"/>
                    </w:rPr>
                    <w:t>°</w:t>
                  </w:r>
                  <w:r>
                    <w:rPr>
                      <w:rFonts w:hint="eastAsia"/>
                      <w:i/>
                      <w:iCs/>
                      <w:color w:val="auto"/>
                      <w:kern w:val="0"/>
                      <w:szCs w:val="21"/>
                      <w:highlight w:val="none"/>
                      <w:u w:val="single"/>
                    </w:rPr>
                    <w:t>15</w:t>
                  </w:r>
                  <w:r>
                    <w:rPr>
                      <w:i/>
                      <w:iCs/>
                      <w:color w:val="auto"/>
                      <w:kern w:val="0"/>
                      <w:szCs w:val="21"/>
                      <w:highlight w:val="none"/>
                      <w:u w:val="single"/>
                    </w:rPr>
                    <w:t>′</w:t>
                  </w:r>
                  <w:r>
                    <w:rPr>
                      <w:rFonts w:hint="eastAsia"/>
                      <w:i/>
                      <w:iCs/>
                      <w:color w:val="auto"/>
                      <w:kern w:val="0"/>
                      <w:szCs w:val="21"/>
                      <w:highlight w:val="none"/>
                      <w:u w:val="single"/>
                    </w:rPr>
                    <w:t>13.669</w:t>
                  </w:r>
                  <w:r>
                    <w:rPr>
                      <w:i/>
                      <w:iCs/>
                      <w:color w:val="auto"/>
                      <w:kern w:val="0"/>
                      <w:szCs w:val="21"/>
                      <w:highlight w:val="none"/>
                      <w:u w:val="single"/>
                    </w:rPr>
                    <w:t>″，</w:t>
                  </w:r>
                  <w:r>
                    <w:rPr>
                      <w:rFonts w:hint="eastAsia"/>
                      <w:i/>
                      <w:iCs/>
                      <w:color w:val="auto"/>
                      <w:kern w:val="0"/>
                      <w:szCs w:val="21"/>
                      <w:highlight w:val="none"/>
                      <w:u w:val="single"/>
                    </w:rPr>
                    <w:t>43</w:t>
                  </w:r>
                  <w:r>
                    <w:rPr>
                      <w:i/>
                      <w:iCs/>
                      <w:color w:val="auto"/>
                      <w:kern w:val="0"/>
                      <w:szCs w:val="21"/>
                      <w:highlight w:val="none"/>
                      <w:u w:val="single"/>
                    </w:rPr>
                    <w:t>°</w:t>
                  </w:r>
                  <w:r>
                    <w:rPr>
                      <w:rFonts w:hint="eastAsia"/>
                      <w:i/>
                      <w:iCs/>
                      <w:color w:val="auto"/>
                      <w:kern w:val="0"/>
                      <w:szCs w:val="21"/>
                      <w:highlight w:val="none"/>
                      <w:u w:val="single"/>
                    </w:rPr>
                    <w:t>50</w:t>
                  </w:r>
                  <w:r>
                    <w:rPr>
                      <w:i/>
                      <w:iCs/>
                      <w:color w:val="auto"/>
                      <w:kern w:val="0"/>
                      <w:szCs w:val="21"/>
                      <w:highlight w:val="none"/>
                      <w:u w:val="single"/>
                    </w:rPr>
                    <w:t>′</w:t>
                  </w:r>
                  <w:r>
                    <w:rPr>
                      <w:rFonts w:hint="eastAsia"/>
                      <w:i/>
                      <w:iCs/>
                      <w:color w:val="auto"/>
                      <w:kern w:val="0"/>
                      <w:szCs w:val="21"/>
                      <w:highlight w:val="none"/>
                      <w:u w:val="single"/>
                    </w:rPr>
                    <w:t>11.933</w:t>
                  </w:r>
                  <w:r>
                    <w:rPr>
                      <w:i/>
                      <w:iCs/>
                      <w:color w:val="auto"/>
                      <w:kern w:val="0"/>
                      <w:szCs w:val="21"/>
                      <w:highlight w:val="none"/>
                      <w:u w:val="single"/>
                    </w:rPr>
                    <w:t>″</w:t>
                  </w:r>
                </w:p>
              </w:tc>
              <w:tc>
                <w:tcPr>
                  <w:tcW w:w="1132" w:type="dxa"/>
                  <w:vMerge w:val="restart"/>
                  <w:tcBorders>
                    <w:tl2br w:val="nil"/>
                    <w:tr2bl w:val="nil"/>
                  </w:tcBorders>
                  <w:vAlign w:val="center"/>
                </w:tcPr>
                <w:p w14:paraId="58C3A2C3">
                  <w:pPr>
                    <w:jc w:val="center"/>
                    <w:rPr>
                      <w:i/>
                      <w:iCs/>
                      <w:color w:val="auto"/>
                      <w:highlight w:val="none"/>
                      <w:u w:val="single"/>
                    </w:rPr>
                  </w:pPr>
                  <w:r>
                    <w:rPr>
                      <w:i/>
                      <w:iCs/>
                      <w:color w:val="auto"/>
                      <w:highlight w:val="none"/>
                      <w:u w:val="single"/>
                    </w:rPr>
                    <w:t>一般排放口</w:t>
                  </w:r>
                </w:p>
              </w:tc>
            </w:tr>
            <w:tr w14:paraId="32E3B6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5" w:type="dxa"/>
                  <w:tcBorders>
                    <w:tl2br w:val="nil"/>
                    <w:tr2bl w:val="nil"/>
                  </w:tcBorders>
                  <w:vAlign w:val="center"/>
                </w:tcPr>
                <w:p w14:paraId="7D462710">
                  <w:pPr>
                    <w:jc w:val="center"/>
                    <w:rPr>
                      <w:rFonts w:hint="eastAsia" w:eastAsia="宋体"/>
                      <w:i/>
                      <w:iCs/>
                      <w:color w:val="auto"/>
                      <w:highlight w:val="none"/>
                      <w:u w:val="single"/>
                      <w:lang w:val="en-US" w:eastAsia="zh-CN"/>
                    </w:rPr>
                  </w:pPr>
                  <w:r>
                    <w:rPr>
                      <w:rFonts w:hint="eastAsia"/>
                      <w:i/>
                      <w:iCs/>
                      <w:color w:val="auto"/>
                      <w:highlight w:val="none"/>
                      <w:u w:val="single"/>
                    </w:rPr>
                    <w:t>DA00</w:t>
                  </w:r>
                  <w:r>
                    <w:rPr>
                      <w:rFonts w:hint="eastAsia"/>
                      <w:i/>
                      <w:iCs/>
                      <w:color w:val="auto"/>
                      <w:highlight w:val="none"/>
                      <w:u w:val="single"/>
                      <w:lang w:val="en-US" w:eastAsia="zh-CN"/>
                    </w:rPr>
                    <w:t>2</w:t>
                  </w:r>
                </w:p>
              </w:tc>
              <w:tc>
                <w:tcPr>
                  <w:tcW w:w="1704" w:type="dxa"/>
                  <w:tcBorders>
                    <w:tl2br w:val="nil"/>
                    <w:tr2bl w:val="nil"/>
                  </w:tcBorders>
                  <w:vAlign w:val="center"/>
                </w:tcPr>
                <w:p w14:paraId="075580C2">
                  <w:pPr>
                    <w:jc w:val="center"/>
                    <w:rPr>
                      <w:i/>
                      <w:iCs/>
                      <w:color w:val="auto"/>
                      <w:highlight w:val="none"/>
                      <w:u w:val="single"/>
                    </w:rPr>
                  </w:pPr>
                  <w:r>
                    <w:rPr>
                      <w:rFonts w:hint="eastAsia"/>
                      <w:i/>
                      <w:iCs/>
                      <w:color w:val="auto"/>
                      <w:highlight w:val="none"/>
                      <w:u w:val="single"/>
                    </w:rPr>
                    <w:t>食堂油烟</w:t>
                  </w:r>
                </w:p>
              </w:tc>
              <w:tc>
                <w:tcPr>
                  <w:tcW w:w="1112" w:type="dxa"/>
                  <w:tcBorders>
                    <w:tl2br w:val="nil"/>
                    <w:tr2bl w:val="nil"/>
                  </w:tcBorders>
                  <w:vAlign w:val="center"/>
                </w:tcPr>
                <w:p w14:paraId="76395456">
                  <w:pPr>
                    <w:jc w:val="center"/>
                    <w:rPr>
                      <w:rFonts w:hint="default" w:eastAsia="宋体"/>
                      <w:i/>
                      <w:iCs/>
                      <w:color w:val="auto"/>
                      <w:highlight w:val="none"/>
                      <w:u w:val="single"/>
                      <w:lang w:val="en-US" w:eastAsia="zh-CN"/>
                    </w:rPr>
                  </w:pPr>
                  <w:r>
                    <w:rPr>
                      <w:rFonts w:hint="eastAsia"/>
                      <w:i/>
                      <w:iCs/>
                      <w:color w:val="auto"/>
                      <w:highlight w:val="none"/>
                      <w:u w:val="single"/>
                      <w:lang w:val="en-US" w:eastAsia="zh-CN"/>
                    </w:rPr>
                    <w:t>21</w:t>
                  </w:r>
                </w:p>
              </w:tc>
              <w:tc>
                <w:tcPr>
                  <w:tcW w:w="913" w:type="dxa"/>
                  <w:tcBorders>
                    <w:tl2br w:val="nil"/>
                    <w:tr2bl w:val="nil"/>
                  </w:tcBorders>
                  <w:vAlign w:val="center"/>
                </w:tcPr>
                <w:p w14:paraId="10655A7C">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rFonts w:hint="eastAsia"/>
                      <w:i/>
                      <w:iCs/>
                      <w:color w:val="auto"/>
                      <w:kern w:val="0"/>
                      <w:szCs w:val="21"/>
                      <w:highlight w:val="none"/>
                      <w:u w:val="single"/>
                    </w:rPr>
                    <w:t>0.4</w:t>
                  </w:r>
                </w:p>
              </w:tc>
              <w:tc>
                <w:tcPr>
                  <w:tcW w:w="887" w:type="dxa"/>
                  <w:tcBorders>
                    <w:tl2br w:val="nil"/>
                    <w:tr2bl w:val="nil"/>
                  </w:tcBorders>
                  <w:vAlign w:val="center"/>
                </w:tcPr>
                <w:p w14:paraId="1B4D089D">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rFonts w:hint="eastAsia"/>
                      <w:i/>
                      <w:iCs/>
                      <w:color w:val="auto"/>
                      <w:kern w:val="0"/>
                      <w:szCs w:val="21"/>
                      <w:highlight w:val="none"/>
                      <w:u w:val="single"/>
                    </w:rPr>
                    <w:t>常温</w:t>
                  </w:r>
                </w:p>
              </w:tc>
              <w:tc>
                <w:tcPr>
                  <w:tcW w:w="1886" w:type="dxa"/>
                  <w:tcBorders>
                    <w:tl2br w:val="nil"/>
                    <w:tr2bl w:val="nil"/>
                  </w:tcBorders>
                  <w:vAlign w:val="center"/>
                </w:tcPr>
                <w:p w14:paraId="75502009">
                  <w:pPr>
                    <w:autoSpaceDE w:val="0"/>
                    <w:autoSpaceDN w:val="0"/>
                    <w:adjustRightInd w:val="0"/>
                    <w:snapToGrid w:val="0"/>
                    <w:ind w:left="-42" w:leftChars="-20" w:right="-105" w:rightChars="-50"/>
                    <w:jc w:val="center"/>
                    <w:textAlignment w:val="center"/>
                    <w:rPr>
                      <w:i/>
                      <w:iCs/>
                      <w:color w:val="auto"/>
                      <w:kern w:val="0"/>
                      <w:szCs w:val="21"/>
                      <w:highlight w:val="none"/>
                      <w:u w:val="single"/>
                    </w:rPr>
                  </w:pPr>
                  <w:r>
                    <w:rPr>
                      <w:rFonts w:hint="eastAsia"/>
                      <w:i/>
                      <w:iCs/>
                      <w:color w:val="auto"/>
                      <w:kern w:val="0"/>
                      <w:szCs w:val="21"/>
                      <w:highlight w:val="none"/>
                      <w:u w:val="single"/>
                    </w:rPr>
                    <w:t>125</w:t>
                  </w:r>
                  <w:r>
                    <w:rPr>
                      <w:i/>
                      <w:iCs/>
                      <w:color w:val="auto"/>
                      <w:kern w:val="0"/>
                      <w:szCs w:val="21"/>
                      <w:highlight w:val="none"/>
                      <w:u w:val="single"/>
                    </w:rPr>
                    <w:t>°</w:t>
                  </w:r>
                  <w:r>
                    <w:rPr>
                      <w:rFonts w:hint="eastAsia"/>
                      <w:i/>
                      <w:iCs/>
                      <w:color w:val="auto"/>
                      <w:kern w:val="0"/>
                      <w:szCs w:val="21"/>
                      <w:highlight w:val="none"/>
                      <w:u w:val="single"/>
                    </w:rPr>
                    <w:t>15</w:t>
                  </w:r>
                  <w:r>
                    <w:rPr>
                      <w:i/>
                      <w:iCs/>
                      <w:color w:val="auto"/>
                      <w:kern w:val="0"/>
                      <w:szCs w:val="21"/>
                      <w:highlight w:val="none"/>
                      <w:u w:val="single"/>
                    </w:rPr>
                    <w:t>′</w:t>
                  </w:r>
                  <w:r>
                    <w:rPr>
                      <w:rFonts w:hint="eastAsia"/>
                      <w:i/>
                      <w:iCs/>
                      <w:color w:val="auto"/>
                      <w:kern w:val="0"/>
                      <w:szCs w:val="21"/>
                      <w:highlight w:val="none"/>
                      <w:u w:val="single"/>
                    </w:rPr>
                    <w:t>12.578</w:t>
                  </w:r>
                  <w:r>
                    <w:rPr>
                      <w:i/>
                      <w:iCs/>
                      <w:color w:val="auto"/>
                      <w:kern w:val="0"/>
                      <w:szCs w:val="21"/>
                      <w:highlight w:val="none"/>
                      <w:u w:val="single"/>
                    </w:rPr>
                    <w:t>″，</w:t>
                  </w:r>
                  <w:r>
                    <w:rPr>
                      <w:rFonts w:hint="eastAsia"/>
                      <w:i/>
                      <w:iCs/>
                      <w:color w:val="auto"/>
                      <w:kern w:val="0"/>
                      <w:szCs w:val="21"/>
                      <w:highlight w:val="none"/>
                      <w:u w:val="single"/>
                    </w:rPr>
                    <w:t>43</w:t>
                  </w:r>
                  <w:r>
                    <w:rPr>
                      <w:i/>
                      <w:iCs/>
                      <w:color w:val="auto"/>
                      <w:kern w:val="0"/>
                      <w:szCs w:val="21"/>
                      <w:highlight w:val="none"/>
                      <w:u w:val="single"/>
                    </w:rPr>
                    <w:t>°</w:t>
                  </w:r>
                  <w:r>
                    <w:rPr>
                      <w:rFonts w:hint="eastAsia"/>
                      <w:i/>
                      <w:iCs/>
                      <w:color w:val="auto"/>
                      <w:kern w:val="0"/>
                      <w:szCs w:val="21"/>
                      <w:highlight w:val="none"/>
                      <w:u w:val="single"/>
                    </w:rPr>
                    <w:t>50</w:t>
                  </w:r>
                  <w:r>
                    <w:rPr>
                      <w:i/>
                      <w:iCs/>
                      <w:color w:val="auto"/>
                      <w:kern w:val="0"/>
                      <w:szCs w:val="21"/>
                      <w:highlight w:val="none"/>
                      <w:u w:val="single"/>
                    </w:rPr>
                    <w:t>′</w:t>
                  </w:r>
                  <w:r>
                    <w:rPr>
                      <w:rFonts w:hint="eastAsia"/>
                      <w:i/>
                      <w:iCs/>
                      <w:color w:val="auto"/>
                      <w:kern w:val="0"/>
                      <w:szCs w:val="21"/>
                      <w:highlight w:val="none"/>
                      <w:u w:val="single"/>
                    </w:rPr>
                    <w:t>12.880</w:t>
                  </w:r>
                  <w:r>
                    <w:rPr>
                      <w:i/>
                      <w:iCs/>
                      <w:color w:val="auto"/>
                      <w:kern w:val="0"/>
                      <w:szCs w:val="21"/>
                      <w:highlight w:val="none"/>
                      <w:u w:val="single"/>
                    </w:rPr>
                    <w:t>″</w:t>
                  </w:r>
                </w:p>
              </w:tc>
              <w:tc>
                <w:tcPr>
                  <w:tcW w:w="1132" w:type="dxa"/>
                  <w:vMerge w:val="continue"/>
                  <w:tcBorders>
                    <w:tl2br w:val="nil"/>
                    <w:tr2bl w:val="nil"/>
                  </w:tcBorders>
                  <w:vAlign w:val="center"/>
                </w:tcPr>
                <w:p w14:paraId="1DE9F188">
                  <w:pPr>
                    <w:jc w:val="center"/>
                    <w:rPr>
                      <w:i/>
                      <w:iCs/>
                      <w:color w:val="auto"/>
                      <w:highlight w:val="none"/>
                      <w:u w:val="single"/>
                    </w:rPr>
                  </w:pPr>
                </w:p>
              </w:tc>
            </w:tr>
            <w:tr w14:paraId="3051EB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5" w:type="dxa"/>
                  <w:tcBorders>
                    <w:tl2br w:val="nil"/>
                    <w:tr2bl w:val="nil"/>
                  </w:tcBorders>
                  <w:vAlign w:val="center"/>
                </w:tcPr>
                <w:p w14:paraId="3A09C82E">
                  <w:pPr>
                    <w:jc w:val="center"/>
                    <w:rPr>
                      <w:rFonts w:hint="eastAsia"/>
                      <w:i/>
                      <w:iCs/>
                      <w:color w:val="auto"/>
                      <w:highlight w:val="none"/>
                      <w:u w:val="single"/>
                    </w:rPr>
                  </w:pPr>
                  <w:r>
                    <w:rPr>
                      <w:rFonts w:hint="eastAsia"/>
                      <w:i/>
                      <w:iCs/>
                      <w:color w:val="auto"/>
                      <w:highlight w:val="none"/>
                      <w:u w:val="single"/>
                    </w:rPr>
                    <w:t>DA00</w:t>
                  </w:r>
                  <w:r>
                    <w:rPr>
                      <w:rFonts w:hint="eastAsia"/>
                      <w:i/>
                      <w:iCs/>
                      <w:color w:val="auto"/>
                      <w:highlight w:val="none"/>
                      <w:u w:val="single"/>
                      <w:lang w:val="en-US" w:eastAsia="zh-CN"/>
                    </w:rPr>
                    <w:t>2</w:t>
                  </w:r>
                </w:p>
              </w:tc>
              <w:tc>
                <w:tcPr>
                  <w:tcW w:w="1704" w:type="dxa"/>
                  <w:tcBorders>
                    <w:tl2br w:val="nil"/>
                    <w:tr2bl w:val="nil"/>
                  </w:tcBorders>
                  <w:vAlign w:val="center"/>
                </w:tcPr>
                <w:p w14:paraId="249CAA24">
                  <w:pPr>
                    <w:jc w:val="center"/>
                    <w:rPr>
                      <w:rFonts w:hint="eastAsia" w:eastAsia="宋体"/>
                      <w:i/>
                      <w:iCs/>
                      <w:color w:val="auto"/>
                      <w:highlight w:val="none"/>
                      <w:u w:val="single"/>
                      <w:lang w:eastAsia="zh-CN"/>
                    </w:rPr>
                  </w:pPr>
                  <w:r>
                    <w:rPr>
                      <w:rFonts w:hint="eastAsia"/>
                      <w:i/>
                      <w:iCs/>
                      <w:color w:val="auto"/>
                      <w:highlight w:val="none"/>
                      <w:u w:val="single"/>
                      <w:lang w:eastAsia="zh-CN"/>
                    </w:rPr>
                    <w:t>煎药室废气</w:t>
                  </w:r>
                </w:p>
              </w:tc>
              <w:tc>
                <w:tcPr>
                  <w:tcW w:w="1112" w:type="dxa"/>
                  <w:tcBorders>
                    <w:tl2br w:val="nil"/>
                    <w:tr2bl w:val="nil"/>
                  </w:tcBorders>
                  <w:shd w:val="clear" w:color="auto" w:fill="auto"/>
                  <w:vAlign w:val="center"/>
                </w:tcPr>
                <w:p w14:paraId="749E4CF7">
                  <w:pPr>
                    <w:jc w:val="center"/>
                    <w:rPr>
                      <w:rFonts w:hint="eastAsia" w:ascii="Times New Roman" w:hAnsi="Times New Roman" w:eastAsia="宋体" w:cs="Times New Roman"/>
                      <w:i/>
                      <w:iCs/>
                      <w:color w:val="auto"/>
                      <w:kern w:val="2"/>
                      <w:sz w:val="21"/>
                      <w:szCs w:val="24"/>
                      <w:highlight w:val="none"/>
                      <w:u w:val="single"/>
                      <w:lang w:val="en-US" w:eastAsia="zh-CN" w:bidi="ar-SA"/>
                    </w:rPr>
                  </w:pPr>
                  <w:r>
                    <w:rPr>
                      <w:rFonts w:hint="eastAsia"/>
                      <w:i/>
                      <w:iCs/>
                      <w:color w:val="auto"/>
                      <w:highlight w:val="none"/>
                      <w:u w:val="single"/>
                      <w:lang w:val="en-US" w:eastAsia="zh-CN"/>
                    </w:rPr>
                    <w:t>21</w:t>
                  </w:r>
                </w:p>
              </w:tc>
              <w:tc>
                <w:tcPr>
                  <w:tcW w:w="913" w:type="dxa"/>
                  <w:tcBorders>
                    <w:tl2br w:val="nil"/>
                    <w:tr2bl w:val="nil"/>
                  </w:tcBorders>
                  <w:shd w:val="clear" w:color="auto" w:fill="auto"/>
                  <w:vAlign w:val="center"/>
                </w:tcPr>
                <w:p w14:paraId="5426EA68">
                  <w:pPr>
                    <w:autoSpaceDE w:val="0"/>
                    <w:autoSpaceDN w:val="0"/>
                    <w:adjustRightInd w:val="0"/>
                    <w:snapToGrid w:val="0"/>
                    <w:ind w:left="-42" w:leftChars="-20" w:right="-105" w:rightChars="-50"/>
                    <w:jc w:val="center"/>
                    <w:textAlignment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0.4</w:t>
                  </w:r>
                </w:p>
              </w:tc>
              <w:tc>
                <w:tcPr>
                  <w:tcW w:w="887" w:type="dxa"/>
                  <w:tcBorders>
                    <w:tl2br w:val="nil"/>
                    <w:tr2bl w:val="nil"/>
                  </w:tcBorders>
                  <w:shd w:val="clear" w:color="auto" w:fill="auto"/>
                  <w:vAlign w:val="center"/>
                </w:tcPr>
                <w:p w14:paraId="57ED56E2">
                  <w:pPr>
                    <w:autoSpaceDE w:val="0"/>
                    <w:autoSpaceDN w:val="0"/>
                    <w:adjustRightInd w:val="0"/>
                    <w:snapToGrid w:val="0"/>
                    <w:ind w:left="-42" w:leftChars="-20" w:right="-105" w:rightChars="-50"/>
                    <w:jc w:val="center"/>
                    <w:textAlignment w:val="center"/>
                    <w:rPr>
                      <w:rFonts w:hint="eastAsia" w:ascii="Times New Roman" w:hAnsi="Times New Roman" w:eastAsia="宋体" w:cs="Times New Roman"/>
                      <w:i/>
                      <w:iCs/>
                      <w:color w:val="auto"/>
                      <w:kern w:val="0"/>
                      <w:sz w:val="21"/>
                      <w:szCs w:val="21"/>
                      <w:highlight w:val="none"/>
                      <w:u w:val="single"/>
                      <w:lang w:val="en-US" w:eastAsia="zh-CN" w:bidi="ar-SA"/>
                    </w:rPr>
                  </w:pPr>
                  <w:r>
                    <w:rPr>
                      <w:rFonts w:hint="eastAsia"/>
                      <w:i/>
                      <w:iCs/>
                      <w:color w:val="auto"/>
                      <w:kern w:val="0"/>
                      <w:szCs w:val="21"/>
                      <w:highlight w:val="none"/>
                      <w:u w:val="single"/>
                    </w:rPr>
                    <w:t>常温</w:t>
                  </w:r>
                </w:p>
              </w:tc>
              <w:tc>
                <w:tcPr>
                  <w:tcW w:w="1886" w:type="dxa"/>
                  <w:tcBorders>
                    <w:tl2br w:val="nil"/>
                    <w:tr2bl w:val="nil"/>
                  </w:tcBorders>
                  <w:vAlign w:val="center"/>
                </w:tcPr>
                <w:p w14:paraId="584D13F4">
                  <w:pPr>
                    <w:autoSpaceDE w:val="0"/>
                    <w:autoSpaceDN w:val="0"/>
                    <w:adjustRightInd w:val="0"/>
                    <w:snapToGrid w:val="0"/>
                    <w:ind w:left="-42" w:leftChars="-20" w:right="-105" w:rightChars="-50"/>
                    <w:jc w:val="center"/>
                    <w:textAlignment w:val="center"/>
                    <w:rPr>
                      <w:rFonts w:hint="eastAsia"/>
                      <w:i/>
                      <w:iCs/>
                      <w:color w:val="auto"/>
                      <w:kern w:val="0"/>
                      <w:szCs w:val="21"/>
                      <w:highlight w:val="none"/>
                      <w:u w:val="single"/>
                    </w:rPr>
                  </w:pPr>
                  <w:r>
                    <w:rPr>
                      <w:rFonts w:hint="eastAsia"/>
                      <w:i/>
                      <w:iCs/>
                      <w:color w:val="auto"/>
                      <w:kern w:val="0"/>
                      <w:szCs w:val="21"/>
                      <w:highlight w:val="none"/>
                      <w:u w:val="single"/>
                    </w:rPr>
                    <w:t>125</w:t>
                  </w:r>
                  <w:r>
                    <w:rPr>
                      <w:i/>
                      <w:iCs/>
                      <w:color w:val="auto"/>
                      <w:kern w:val="0"/>
                      <w:szCs w:val="21"/>
                      <w:highlight w:val="none"/>
                      <w:u w:val="single"/>
                    </w:rPr>
                    <w:t>°</w:t>
                  </w:r>
                  <w:r>
                    <w:rPr>
                      <w:rFonts w:hint="eastAsia"/>
                      <w:i/>
                      <w:iCs/>
                      <w:color w:val="auto"/>
                      <w:kern w:val="0"/>
                      <w:szCs w:val="21"/>
                      <w:highlight w:val="none"/>
                      <w:u w:val="single"/>
                    </w:rPr>
                    <w:t>15</w:t>
                  </w:r>
                  <w:r>
                    <w:rPr>
                      <w:i/>
                      <w:iCs/>
                      <w:color w:val="auto"/>
                      <w:kern w:val="0"/>
                      <w:szCs w:val="21"/>
                      <w:highlight w:val="none"/>
                      <w:u w:val="single"/>
                    </w:rPr>
                    <w:t>′</w:t>
                  </w:r>
                  <w:r>
                    <w:rPr>
                      <w:rFonts w:hint="eastAsia"/>
                      <w:i/>
                      <w:iCs/>
                      <w:color w:val="auto"/>
                      <w:kern w:val="0"/>
                      <w:szCs w:val="21"/>
                      <w:highlight w:val="none"/>
                      <w:u w:val="single"/>
                    </w:rPr>
                    <w:t>12.</w:t>
                  </w:r>
                  <w:r>
                    <w:rPr>
                      <w:rFonts w:hint="eastAsia"/>
                      <w:i/>
                      <w:iCs/>
                      <w:color w:val="auto"/>
                      <w:kern w:val="0"/>
                      <w:szCs w:val="21"/>
                      <w:highlight w:val="none"/>
                      <w:u w:val="single"/>
                      <w:lang w:val="en-US" w:eastAsia="zh-CN"/>
                    </w:rPr>
                    <w:t>213</w:t>
                  </w:r>
                  <w:r>
                    <w:rPr>
                      <w:i/>
                      <w:iCs/>
                      <w:color w:val="auto"/>
                      <w:kern w:val="0"/>
                      <w:szCs w:val="21"/>
                      <w:highlight w:val="none"/>
                      <w:u w:val="single"/>
                    </w:rPr>
                    <w:t>″，</w:t>
                  </w:r>
                  <w:r>
                    <w:rPr>
                      <w:rFonts w:hint="eastAsia"/>
                      <w:i/>
                      <w:iCs/>
                      <w:color w:val="auto"/>
                      <w:kern w:val="0"/>
                      <w:szCs w:val="21"/>
                      <w:highlight w:val="none"/>
                      <w:u w:val="single"/>
                    </w:rPr>
                    <w:t>43</w:t>
                  </w:r>
                  <w:r>
                    <w:rPr>
                      <w:i/>
                      <w:iCs/>
                      <w:color w:val="auto"/>
                      <w:kern w:val="0"/>
                      <w:szCs w:val="21"/>
                      <w:highlight w:val="none"/>
                      <w:u w:val="single"/>
                    </w:rPr>
                    <w:t>°</w:t>
                  </w:r>
                  <w:r>
                    <w:rPr>
                      <w:rFonts w:hint="eastAsia"/>
                      <w:i/>
                      <w:iCs/>
                      <w:color w:val="auto"/>
                      <w:kern w:val="0"/>
                      <w:szCs w:val="21"/>
                      <w:highlight w:val="none"/>
                      <w:u w:val="single"/>
                    </w:rPr>
                    <w:t>50</w:t>
                  </w:r>
                  <w:r>
                    <w:rPr>
                      <w:i/>
                      <w:iCs/>
                      <w:color w:val="auto"/>
                      <w:kern w:val="0"/>
                      <w:szCs w:val="21"/>
                      <w:highlight w:val="none"/>
                      <w:u w:val="single"/>
                    </w:rPr>
                    <w:t>′</w:t>
                  </w:r>
                  <w:r>
                    <w:rPr>
                      <w:rFonts w:hint="eastAsia"/>
                      <w:i/>
                      <w:iCs/>
                      <w:color w:val="auto"/>
                      <w:kern w:val="0"/>
                      <w:szCs w:val="21"/>
                      <w:highlight w:val="none"/>
                      <w:u w:val="single"/>
                    </w:rPr>
                    <w:t>1</w:t>
                  </w:r>
                  <w:r>
                    <w:rPr>
                      <w:rFonts w:hint="eastAsia"/>
                      <w:i/>
                      <w:iCs/>
                      <w:color w:val="auto"/>
                      <w:kern w:val="0"/>
                      <w:szCs w:val="21"/>
                      <w:highlight w:val="none"/>
                      <w:u w:val="single"/>
                      <w:lang w:val="en-US" w:eastAsia="zh-CN"/>
                    </w:rPr>
                    <w:t>1</w:t>
                  </w:r>
                  <w:r>
                    <w:rPr>
                      <w:rFonts w:hint="eastAsia"/>
                      <w:i/>
                      <w:iCs/>
                      <w:color w:val="auto"/>
                      <w:kern w:val="0"/>
                      <w:szCs w:val="21"/>
                      <w:highlight w:val="none"/>
                      <w:u w:val="single"/>
                    </w:rPr>
                    <w:t>.880</w:t>
                  </w:r>
                  <w:r>
                    <w:rPr>
                      <w:i/>
                      <w:iCs/>
                      <w:color w:val="auto"/>
                      <w:kern w:val="0"/>
                      <w:szCs w:val="21"/>
                      <w:highlight w:val="none"/>
                      <w:u w:val="single"/>
                    </w:rPr>
                    <w:t>″</w:t>
                  </w:r>
                </w:p>
              </w:tc>
              <w:tc>
                <w:tcPr>
                  <w:tcW w:w="1132" w:type="dxa"/>
                  <w:vMerge w:val="continue"/>
                  <w:tcBorders>
                    <w:tl2br w:val="nil"/>
                    <w:tr2bl w:val="nil"/>
                  </w:tcBorders>
                  <w:vAlign w:val="center"/>
                </w:tcPr>
                <w:p w14:paraId="722F33C7">
                  <w:pPr>
                    <w:jc w:val="center"/>
                    <w:rPr>
                      <w:i/>
                      <w:iCs/>
                      <w:color w:val="auto"/>
                      <w:highlight w:val="none"/>
                      <w:u w:val="single"/>
                    </w:rPr>
                  </w:pPr>
                </w:p>
              </w:tc>
            </w:tr>
          </w:tbl>
          <w:p w14:paraId="69E5FA3D">
            <w:pPr>
              <w:pStyle w:val="12"/>
              <w:spacing w:before="0" w:after="0" w:line="240" w:lineRule="auto"/>
              <w:ind w:right="0" w:firstLine="482"/>
              <w:rPr>
                <w:b/>
                <w:bCs/>
                <w:color w:val="auto"/>
                <w:sz w:val="24"/>
                <w:szCs w:val="24"/>
                <w:highlight w:val="none"/>
              </w:rPr>
            </w:pPr>
          </w:p>
          <w:p w14:paraId="120DD75D">
            <w:pPr>
              <w:pStyle w:val="12"/>
              <w:spacing w:before="0" w:after="0" w:line="360" w:lineRule="auto"/>
              <w:ind w:right="0" w:firstLine="482"/>
              <w:rPr>
                <w:b/>
                <w:bCs/>
                <w:color w:val="auto"/>
                <w:sz w:val="24"/>
                <w:szCs w:val="24"/>
                <w:highlight w:val="none"/>
              </w:rPr>
            </w:pPr>
            <w:r>
              <w:rPr>
                <w:rFonts w:hint="eastAsia"/>
                <w:b/>
                <w:bCs/>
                <w:color w:val="auto"/>
                <w:sz w:val="24"/>
                <w:szCs w:val="24"/>
                <w:highlight w:val="none"/>
              </w:rPr>
              <w:t>（2）监测计划</w:t>
            </w:r>
          </w:p>
          <w:p w14:paraId="380BCC93">
            <w:pPr>
              <w:pStyle w:val="12"/>
              <w:spacing w:before="0" w:after="0" w:line="360" w:lineRule="auto"/>
              <w:ind w:right="0" w:firstLine="482"/>
              <w:rPr>
                <w:color w:val="auto"/>
                <w:sz w:val="24"/>
                <w:szCs w:val="24"/>
                <w:highlight w:val="none"/>
              </w:rPr>
            </w:pPr>
            <w:r>
              <w:rPr>
                <w:rFonts w:hint="eastAsia"/>
                <w:bCs/>
                <w:color w:val="auto"/>
                <w:kern w:val="2"/>
                <w:sz w:val="24"/>
                <w:szCs w:val="24"/>
                <w:highlight w:val="none"/>
              </w:rPr>
              <w:t>根据《排污单位自行监测技术指南 总则》（HJ819-2017）《排污许可证申请与核发技术规范 医疗机构》（HJ1105-2020），项目运营期大气污染源自行监测计划如下表所示。</w:t>
            </w:r>
          </w:p>
          <w:p w14:paraId="0C0A6799">
            <w:pPr>
              <w:jc w:val="center"/>
              <w:rPr>
                <w:b/>
                <w:color w:val="auto"/>
                <w:sz w:val="24"/>
                <w:highlight w:val="none"/>
              </w:rPr>
            </w:pPr>
            <w:r>
              <w:rPr>
                <w:b/>
                <w:color w:val="auto"/>
                <w:sz w:val="24"/>
                <w:highlight w:val="none"/>
              </w:rPr>
              <w:t>表</w:t>
            </w:r>
            <w:r>
              <w:rPr>
                <w:rFonts w:hint="eastAsia"/>
                <w:b/>
                <w:color w:val="auto"/>
                <w:sz w:val="24"/>
                <w:highlight w:val="none"/>
              </w:rPr>
              <w:t>4-4</w:t>
            </w:r>
            <w:r>
              <w:rPr>
                <w:b/>
                <w:color w:val="auto"/>
                <w:sz w:val="24"/>
                <w:highlight w:val="none"/>
              </w:rPr>
              <w:t xml:space="preserve"> </w:t>
            </w:r>
            <w:r>
              <w:rPr>
                <w:rFonts w:hint="eastAsia"/>
                <w:b/>
                <w:color w:val="auto"/>
                <w:sz w:val="24"/>
                <w:highlight w:val="none"/>
              </w:rPr>
              <w:t xml:space="preserve"> </w:t>
            </w:r>
            <w:r>
              <w:rPr>
                <w:b/>
                <w:color w:val="auto"/>
                <w:sz w:val="24"/>
                <w:highlight w:val="none"/>
              </w:rPr>
              <w:t>项目废气监测信息一览表</w:t>
            </w:r>
          </w:p>
          <w:tbl>
            <w:tblPr>
              <w:tblStyle w:val="2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1136"/>
              <w:gridCol w:w="1365"/>
              <w:gridCol w:w="1268"/>
              <w:gridCol w:w="2999"/>
            </w:tblGrid>
            <w:tr w14:paraId="059067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jc w:val="center"/>
              </w:trPr>
              <w:tc>
                <w:tcPr>
                  <w:tcW w:w="1002" w:type="pct"/>
                  <w:vAlign w:val="center"/>
                </w:tcPr>
                <w:p w14:paraId="063521A4">
                  <w:pPr>
                    <w:adjustRightInd w:val="0"/>
                    <w:snapToGrid w:val="0"/>
                    <w:jc w:val="center"/>
                    <w:rPr>
                      <w:color w:val="auto"/>
                      <w:szCs w:val="21"/>
                      <w:highlight w:val="none"/>
                    </w:rPr>
                  </w:pPr>
                  <w:r>
                    <w:rPr>
                      <w:color w:val="auto"/>
                      <w:szCs w:val="21"/>
                      <w:highlight w:val="none"/>
                    </w:rPr>
                    <w:t>污染源</w:t>
                  </w:r>
                </w:p>
              </w:tc>
              <w:tc>
                <w:tcPr>
                  <w:tcW w:w="670" w:type="pct"/>
                  <w:vAlign w:val="center"/>
                </w:tcPr>
                <w:p w14:paraId="3F5847E0">
                  <w:pPr>
                    <w:jc w:val="center"/>
                    <w:rPr>
                      <w:color w:val="auto"/>
                      <w:szCs w:val="21"/>
                      <w:highlight w:val="none"/>
                    </w:rPr>
                  </w:pPr>
                  <w:r>
                    <w:rPr>
                      <w:color w:val="auto"/>
                      <w:szCs w:val="21"/>
                      <w:highlight w:val="none"/>
                    </w:rPr>
                    <w:t>监测点位</w:t>
                  </w:r>
                </w:p>
              </w:tc>
              <w:tc>
                <w:tcPr>
                  <w:tcW w:w="806" w:type="pct"/>
                  <w:vAlign w:val="center"/>
                </w:tcPr>
                <w:p w14:paraId="38CA382A">
                  <w:pPr>
                    <w:jc w:val="center"/>
                    <w:rPr>
                      <w:color w:val="auto"/>
                      <w:szCs w:val="21"/>
                      <w:highlight w:val="none"/>
                    </w:rPr>
                  </w:pPr>
                  <w:r>
                    <w:rPr>
                      <w:color w:val="auto"/>
                      <w:szCs w:val="21"/>
                      <w:highlight w:val="none"/>
                    </w:rPr>
                    <w:t>监测因子</w:t>
                  </w:r>
                </w:p>
              </w:tc>
              <w:tc>
                <w:tcPr>
                  <w:tcW w:w="748" w:type="pct"/>
                  <w:vAlign w:val="center"/>
                </w:tcPr>
                <w:p w14:paraId="40D96A4A">
                  <w:pPr>
                    <w:ind w:left="-107" w:leftChars="-51" w:right="-141" w:rightChars="-67"/>
                    <w:jc w:val="center"/>
                    <w:rPr>
                      <w:color w:val="auto"/>
                      <w:szCs w:val="21"/>
                      <w:highlight w:val="none"/>
                    </w:rPr>
                  </w:pPr>
                  <w:r>
                    <w:rPr>
                      <w:color w:val="auto"/>
                      <w:szCs w:val="21"/>
                      <w:highlight w:val="none"/>
                    </w:rPr>
                    <w:t>监测频率</w:t>
                  </w:r>
                </w:p>
              </w:tc>
              <w:tc>
                <w:tcPr>
                  <w:tcW w:w="1771" w:type="pct"/>
                  <w:vAlign w:val="center"/>
                </w:tcPr>
                <w:p w14:paraId="6FCF7A36">
                  <w:pPr>
                    <w:jc w:val="center"/>
                    <w:rPr>
                      <w:color w:val="auto"/>
                      <w:szCs w:val="21"/>
                      <w:highlight w:val="none"/>
                    </w:rPr>
                  </w:pPr>
                  <w:r>
                    <w:rPr>
                      <w:color w:val="auto"/>
                      <w:szCs w:val="21"/>
                      <w:highlight w:val="none"/>
                    </w:rPr>
                    <w:t>执行标准</w:t>
                  </w:r>
                </w:p>
              </w:tc>
            </w:tr>
            <w:tr w14:paraId="0C1526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Merge w:val="restart"/>
                  <w:vAlign w:val="center"/>
                </w:tcPr>
                <w:p w14:paraId="0FF09259">
                  <w:pPr>
                    <w:jc w:val="center"/>
                    <w:rPr>
                      <w:color w:val="auto"/>
                      <w:szCs w:val="21"/>
                      <w:highlight w:val="none"/>
                    </w:rPr>
                  </w:pPr>
                  <w:r>
                    <w:rPr>
                      <w:rFonts w:hint="eastAsia"/>
                      <w:color w:val="auto"/>
                      <w:szCs w:val="21"/>
                      <w:highlight w:val="none"/>
                    </w:rPr>
                    <w:t>污水站恶</w:t>
                  </w:r>
                </w:p>
                <w:p w14:paraId="1B2B153C">
                  <w:pPr>
                    <w:jc w:val="center"/>
                    <w:rPr>
                      <w:color w:val="auto"/>
                      <w:szCs w:val="21"/>
                      <w:highlight w:val="none"/>
                    </w:rPr>
                  </w:pPr>
                  <w:r>
                    <w:rPr>
                      <w:rFonts w:hint="eastAsia"/>
                      <w:color w:val="auto"/>
                      <w:szCs w:val="21"/>
                      <w:highlight w:val="none"/>
                    </w:rPr>
                    <w:t>臭气体</w:t>
                  </w:r>
                </w:p>
              </w:tc>
              <w:tc>
                <w:tcPr>
                  <w:tcW w:w="670" w:type="pct"/>
                  <w:vMerge w:val="restart"/>
                  <w:vAlign w:val="center"/>
                </w:tcPr>
                <w:p w14:paraId="5EDA5B6A">
                  <w:pPr>
                    <w:jc w:val="center"/>
                    <w:rPr>
                      <w:color w:val="auto"/>
                      <w:szCs w:val="21"/>
                      <w:highlight w:val="none"/>
                    </w:rPr>
                  </w:pPr>
                  <w:r>
                    <w:rPr>
                      <w:color w:val="auto"/>
                      <w:szCs w:val="21"/>
                      <w:highlight w:val="none"/>
                    </w:rPr>
                    <w:t>DA001</w:t>
                  </w:r>
                </w:p>
              </w:tc>
              <w:tc>
                <w:tcPr>
                  <w:tcW w:w="806" w:type="pct"/>
                  <w:vAlign w:val="center"/>
                </w:tcPr>
                <w:p w14:paraId="79F1C952">
                  <w:pPr>
                    <w:jc w:val="center"/>
                    <w:rPr>
                      <w:color w:val="auto"/>
                      <w:szCs w:val="21"/>
                      <w:highlight w:val="none"/>
                    </w:rPr>
                  </w:pPr>
                  <w:r>
                    <w:rPr>
                      <w:color w:val="auto"/>
                      <w:kern w:val="0"/>
                      <w:szCs w:val="21"/>
                      <w:highlight w:val="none"/>
                    </w:rPr>
                    <w:t>NH</w:t>
                  </w:r>
                  <w:r>
                    <w:rPr>
                      <w:color w:val="auto"/>
                      <w:kern w:val="0"/>
                      <w:szCs w:val="21"/>
                      <w:highlight w:val="none"/>
                      <w:vertAlign w:val="subscript"/>
                    </w:rPr>
                    <w:t>3</w:t>
                  </w:r>
                </w:p>
              </w:tc>
              <w:tc>
                <w:tcPr>
                  <w:tcW w:w="748" w:type="pct"/>
                  <w:vMerge w:val="restart"/>
                  <w:vAlign w:val="center"/>
                </w:tcPr>
                <w:p w14:paraId="4BC54A7F">
                  <w:pPr>
                    <w:jc w:val="center"/>
                    <w:rPr>
                      <w:color w:val="auto"/>
                      <w:szCs w:val="21"/>
                      <w:highlight w:val="none"/>
                    </w:rPr>
                  </w:pPr>
                  <w:r>
                    <w:rPr>
                      <w:color w:val="auto"/>
                      <w:szCs w:val="21"/>
                      <w:highlight w:val="none"/>
                    </w:rPr>
                    <w:t>1次/</w:t>
                  </w:r>
                  <w:r>
                    <w:rPr>
                      <w:rFonts w:hint="eastAsia"/>
                      <w:color w:val="auto"/>
                      <w:szCs w:val="21"/>
                      <w:highlight w:val="none"/>
                    </w:rPr>
                    <w:t>季度</w:t>
                  </w:r>
                </w:p>
              </w:tc>
              <w:tc>
                <w:tcPr>
                  <w:tcW w:w="1771" w:type="pct"/>
                  <w:vMerge w:val="restart"/>
                  <w:vAlign w:val="center"/>
                </w:tcPr>
                <w:p w14:paraId="6AC7BFC7">
                  <w:pPr>
                    <w:jc w:val="center"/>
                    <w:rPr>
                      <w:color w:val="auto"/>
                      <w:szCs w:val="21"/>
                      <w:highlight w:val="none"/>
                    </w:rPr>
                  </w:pPr>
                  <w:r>
                    <w:rPr>
                      <w:color w:val="auto"/>
                      <w:szCs w:val="21"/>
                      <w:highlight w:val="none"/>
                    </w:rPr>
                    <w:t>《恶臭污染物排放标准》（GB14554-93）</w:t>
                  </w:r>
                </w:p>
              </w:tc>
            </w:tr>
            <w:tr w14:paraId="6E2C30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Merge w:val="continue"/>
                  <w:vAlign w:val="center"/>
                </w:tcPr>
                <w:p w14:paraId="227BD470">
                  <w:pPr>
                    <w:jc w:val="center"/>
                    <w:rPr>
                      <w:color w:val="auto"/>
                      <w:szCs w:val="21"/>
                      <w:highlight w:val="none"/>
                    </w:rPr>
                  </w:pPr>
                </w:p>
              </w:tc>
              <w:tc>
                <w:tcPr>
                  <w:tcW w:w="670" w:type="pct"/>
                  <w:vMerge w:val="continue"/>
                  <w:vAlign w:val="center"/>
                </w:tcPr>
                <w:p w14:paraId="039193E0">
                  <w:pPr>
                    <w:jc w:val="center"/>
                    <w:rPr>
                      <w:color w:val="auto"/>
                      <w:szCs w:val="21"/>
                      <w:highlight w:val="none"/>
                    </w:rPr>
                  </w:pPr>
                </w:p>
              </w:tc>
              <w:tc>
                <w:tcPr>
                  <w:tcW w:w="806" w:type="pct"/>
                  <w:vAlign w:val="center"/>
                </w:tcPr>
                <w:p w14:paraId="02E29AEC">
                  <w:pPr>
                    <w:jc w:val="center"/>
                    <w:rPr>
                      <w:color w:val="auto"/>
                      <w:szCs w:val="21"/>
                      <w:highlight w:val="none"/>
                    </w:rPr>
                  </w:pPr>
                  <w:r>
                    <w:rPr>
                      <w:color w:val="auto"/>
                      <w:kern w:val="0"/>
                      <w:szCs w:val="21"/>
                      <w:highlight w:val="none"/>
                    </w:rPr>
                    <w:t>H</w:t>
                  </w:r>
                  <w:r>
                    <w:rPr>
                      <w:color w:val="auto"/>
                      <w:kern w:val="0"/>
                      <w:szCs w:val="21"/>
                      <w:highlight w:val="none"/>
                      <w:vertAlign w:val="subscript"/>
                    </w:rPr>
                    <w:t>2</w:t>
                  </w:r>
                  <w:r>
                    <w:rPr>
                      <w:color w:val="auto"/>
                      <w:kern w:val="0"/>
                      <w:szCs w:val="21"/>
                      <w:highlight w:val="none"/>
                    </w:rPr>
                    <w:t>S</w:t>
                  </w:r>
                </w:p>
              </w:tc>
              <w:tc>
                <w:tcPr>
                  <w:tcW w:w="748" w:type="pct"/>
                  <w:vMerge w:val="continue"/>
                  <w:vAlign w:val="center"/>
                </w:tcPr>
                <w:p w14:paraId="4A5DF918">
                  <w:pPr>
                    <w:jc w:val="center"/>
                    <w:rPr>
                      <w:color w:val="auto"/>
                      <w:szCs w:val="21"/>
                      <w:highlight w:val="none"/>
                    </w:rPr>
                  </w:pPr>
                </w:p>
              </w:tc>
              <w:tc>
                <w:tcPr>
                  <w:tcW w:w="1771" w:type="pct"/>
                  <w:vMerge w:val="continue"/>
                  <w:vAlign w:val="center"/>
                </w:tcPr>
                <w:p w14:paraId="1229F1C1">
                  <w:pPr>
                    <w:jc w:val="center"/>
                    <w:rPr>
                      <w:color w:val="auto"/>
                      <w:szCs w:val="21"/>
                      <w:highlight w:val="none"/>
                    </w:rPr>
                  </w:pPr>
                </w:p>
              </w:tc>
            </w:tr>
            <w:tr w14:paraId="4B1B4DC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Merge w:val="continue"/>
                  <w:vAlign w:val="center"/>
                </w:tcPr>
                <w:p w14:paraId="303BA894">
                  <w:pPr>
                    <w:jc w:val="center"/>
                    <w:rPr>
                      <w:color w:val="auto"/>
                      <w:szCs w:val="21"/>
                      <w:highlight w:val="none"/>
                    </w:rPr>
                  </w:pPr>
                </w:p>
              </w:tc>
              <w:tc>
                <w:tcPr>
                  <w:tcW w:w="670" w:type="pct"/>
                  <w:vMerge w:val="continue"/>
                  <w:vAlign w:val="center"/>
                </w:tcPr>
                <w:p w14:paraId="7BBF1166">
                  <w:pPr>
                    <w:jc w:val="center"/>
                    <w:rPr>
                      <w:color w:val="auto"/>
                      <w:szCs w:val="21"/>
                      <w:highlight w:val="none"/>
                    </w:rPr>
                  </w:pPr>
                </w:p>
              </w:tc>
              <w:tc>
                <w:tcPr>
                  <w:tcW w:w="806" w:type="pct"/>
                  <w:vAlign w:val="center"/>
                </w:tcPr>
                <w:p w14:paraId="6C0B7BE0">
                  <w:pPr>
                    <w:jc w:val="center"/>
                    <w:rPr>
                      <w:color w:val="auto"/>
                      <w:szCs w:val="21"/>
                      <w:highlight w:val="none"/>
                    </w:rPr>
                  </w:pPr>
                  <w:r>
                    <w:rPr>
                      <w:rFonts w:hint="eastAsia"/>
                      <w:color w:val="auto"/>
                      <w:szCs w:val="21"/>
                      <w:highlight w:val="none"/>
                    </w:rPr>
                    <w:t>臭气浓度</w:t>
                  </w:r>
                </w:p>
              </w:tc>
              <w:tc>
                <w:tcPr>
                  <w:tcW w:w="748" w:type="pct"/>
                  <w:vMerge w:val="continue"/>
                  <w:vAlign w:val="center"/>
                </w:tcPr>
                <w:p w14:paraId="0F9C2A1A">
                  <w:pPr>
                    <w:jc w:val="center"/>
                    <w:rPr>
                      <w:color w:val="auto"/>
                      <w:szCs w:val="21"/>
                      <w:highlight w:val="none"/>
                    </w:rPr>
                  </w:pPr>
                </w:p>
              </w:tc>
              <w:tc>
                <w:tcPr>
                  <w:tcW w:w="1771" w:type="pct"/>
                  <w:vMerge w:val="continue"/>
                  <w:vAlign w:val="center"/>
                </w:tcPr>
                <w:p w14:paraId="7507E64F">
                  <w:pPr>
                    <w:jc w:val="center"/>
                    <w:rPr>
                      <w:color w:val="auto"/>
                      <w:szCs w:val="21"/>
                      <w:highlight w:val="none"/>
                    </w:rPr>
                  </w:pPr>
                </w:p>
              </w:tc>
            </w:tr>
            <w:tr w14:paraId="068BFA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Align w:val="center"/>
                </w:tcPr>
                <w:p w14:paraId="3A0ED5F8">
                  <w:pPr>
                    <w:jc w:val="center"/>
                    <w:rPr>
                      <w:color w:val="auto"/>
                      <w:szCs w:val="21"/>
                      <w:highlight w:val="none"/>
                    </w:rPr>
                  </w:pPr>
                  <w:r>
                    <w:rPr>
                      <w:rFonts w:hint="eastAsia"/>
                      <w:color w:val="auto"/>
                      <w:szCs w:val="21"/>
                      <w:highlight w:val="none"/>
                    </w:rPr>
                    <w:t>食堂油烟</w:t>
                  </w:r>
                </w:p>
              </w:tc>
              <w:tc>
                <w:tcPr>
                  <w:tcW w:w="670" w:type="pct"/>
                  <w:vAlign w:val="center"/>
                </w:tcPr>
                <w:p w14:paraId="66335186">
                  <w:pPr>
                    <w:jc w:val="center"/>
                    <w:rPr>
                      <w:rFonts w:hint="eastAsia" w:eastAsia="宋体"/>
                      <w:color w:val="auto"/>
                      <w:szCs w:val="21"/>
                      <w:highlight w:val="none"/>
                      <w:lang w:eastAsia="zh-CN"/>
                    </w:rPr>
                  </w:pPr>
                  <w:r>
                    <w:rPr>
                      <w:rFonts w:hint="eastAsia"/>
                      <w:color w:val="auto"/>
                      <w:szCs w:val="21"/>
                      <w:highlight w:val="none"/>
                    </w:rPr>
                    <w:t>DA00</w:t>
                  </w:r>
                  <w:r>
                    <w:rPr>
                      <w:rFonts w:hint="eastAsia"/>
                      <w:color w:val="auto"/>
                      <w:szCs w:val="21"/>
                      <w:highlight w:val="none"/>
                      <w:lang w:val="en-US" w:eastAsia="zh-CN"/>
                    </w:rPr>
                    <w:t>2</w:t>
                  </w:r>
                </w:p>
              </w:tc>
              <w:tc>
                <w:tcPr>
                  <w:tcW w:w="806" w:type="pct"/>
                  <w:vAlign w:val="center"/>
                </w:tcPr>
                <w:p w14:paraId="59CB77FD">
                  <w:pPr>
                    <w:jc w:val="center"/>
                    <w:rPr>
                      <w:color w:val="auto"/>
                      <w:szCs w:val="21"/>
                      <w:highlight w:val="none"/>
                    </w:rPr>
                  </w:pPr>
                  <w:r>
                    <w:rPr>
                      <w:rFonts w:hint="eastAsia"/>
                      <w:color w:val="auto"/>
                      <w:szCs w:val="21"/>
                      <w:highlight w:val="none"/>
                    </w:rPr>
                    <w:t>食堂油烟</w:t>
                  </w:r>
                </w:p>
              </w:tc>
              <w:tc>
                <w:tcPr>
                  <w:tcW w:w="748" w:type="pct"/>
                  <w:vAlign w:val="center"/>
                </w:tcPr>
                <w:p w14:paraId="6DC71DD8">
                  <w:pPr>
                    <w:jc w:val="center"/>
                    <w:rPr>
                      <w:color w:val="auto"/>
                      <w:szCs w:val="21"/>
                      <w:highlight w:val="none"/>
                    </w:rPr>
                  </w:pPr>
                  <w:r>
                    <w:rPr>
                      <w:color w:val="auto"/>
                      <w:szCs w:val="21"/>
                      <w:highlight w:val="none"/>
                    </w:rPr>
                    <w:t>1次/</w:t>
                  </w:r>
                  <w:r>
                    <w:rPr>
                      <w:rFonts w:hint="eastAsia"/>
                      <w:color w:val="auto"/>
                      <w:szCs w:val="21"/>
                      <w:highlight w:val="none"/>
                    </w:rPr>
                    <w:t>年</w:t>
                  </w:r>
                </w:p>
              </w:tc>
              <w:tc>
                <w:tcPr>
                  <w:tcW w:w="1771" w:type="pct"/>
                  <w:vAlign w:val="center"/>
                </w:tcPr>
                <w:p w14:paraId="0AD0C7C1">
                  <w:pPr>
                    <w:jc w:val="center"/>
                    <w:rPr>
                      <w:color w:val="auto"/>
                      <w:szCs w:val="21"/>
                      <w:highlight w:val="none"/>
                    </w:rPr>
                  </w:pPr>
                  <w:r>
                    <w:rPr>
                      <w:color w:val="auto"/>
                      <w:szCs w:val="21"/>
                      <w:highlight w:val="none"/>
                    </w:rPr>
                    <w:t>《饮食业油烟排放标准》（GB18438-2001）</w:t>
                  </w:r>
                </w:p>
              </w:tc>
            </w:tr>
            <w:tr w14:paraId="5FBE09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Align w:val="center"/>
                </w:tcPr>
                <w:p w14:paraId="4086D16C">
                  <w:pPr>
                    <w:jc w:val="center"/>
                    <w:rPr>
                      <w:rFonts w:hint="eastAsia" w:eastAsia="宋体"/>
                      <w:color w:val="auto"/>
                      <w:szCs w:val="21"/>
                      <w:highlight w:val="none"/>
                      <w:lang w:eastAsia="zh-CN"/>
                    </w:rPr>
                  </w:pPr>
                  <w:r>
                    <w:rPr>
                      <w:rFonts w:hint="eastAsia"/>
                      <w:color w:val="auto"/>
                      <w:szCs w:val="21"/>
                      <w:highlight w:val="none"/>
                      <w:lang w:eastAsia="zh-CN"/>
                    </w:rPr>
                    <w:t>煎药室废气</w:t>
                  </w:r>
                </w:p>
              </w:tc>
              <w:tc>
                <w:tcPr>
                  <w:tcW w:w="670" w:type="pct"/>
                  <w:vAlign w:val="center"/>
                </w:tcPr>
                <w:p w14:paraId="700FA24B">
                  <w:pPr>
                    <w:jc w:val="center"/>
                    <w:rPr>
                      <w:rFonts w:hint="default" w:eastAsia="宋体"/>
                      <w:color w:val="auto"/>
                      <w:szCs w:val="21"/>
                      <w:highlight w:val="none"/>
                      <w:lang w:val="en-US" w:eastAsia="zh-CN"/>
                    </w:rPr>
                  </w:pPr>
                  <w:r>
                    <w:rPr>
                      <w:rFonts w:hint="eastAsia"/>
                      <w:color w:val="auto"/>
                      <w:szCs w:val="21"/>
                      <w:highlight w:val="none"/>
                      <w:lang w:val="en-US" w:eastAsia="zh-CN"/>
                    </w:rPr>
                    <w:t>DA003</w:t>
                  </w:r>
                </w:p>
              </w:tc>
              <w:tc>
                <w:tcPr>
                  <w:tcW w:w="806" w:type="pct"/>
                  <w:vAlign w:val="center"/>
                </w:tcPr>
                <w:p w14:paraId="199A61E1">
                  <w:pPr>
                    <w:jc w:val="center"/>
                    <w:rPr>
                      <w:rFonts w:hint="eastAsia"/>
                      <w:color w:val="auto"/>
                      <w:szCs w:val="21"/>
                      <w:highlight w:val="none"/>
                    </w:rPr>
                  </w:pPr>
                  <w:r>
                    <w:rPr>
                      <w:rFonts w:hint="eastAsia"/>
                      <w:color w:val="auto"/>
                      <w:szCs w:val="21"/>
                      <w:highlight w:val="none"/>
                    </w:rPr>
                    <w:t>臭气浓度</w:t>
                  </w:r>
                </w:p>
              </w:tc>
              <w:tc>
                <w:tcPr>
                  <w:tcW w:w="748" w:type="pct"/>
                  <w:vAlign w:val="center"/>
                </w:tcPr>
                <w:p w14:paraId="66284F61">
                  <w:pPr>
                    <w:jc w:val="center"/>
                    <w:rPr>
                      <w:color w:val="auto"/>
                      <w:szCs w:val="21"/>
                      <w:highlight w:val="none"/>
                    </w:rPr>
                  </w:pPr>
                  <w:r>
                    <w:rPr>
                      <w:color w:val="auto"/>
                      <w:szCs w:val="21"/>
                      <w:highlight w:val="none"/>
                    </w:rPr>
                    <w:t>1次/</w:t>
                  </w:r>
                  <w:r>
                    <w:rPr>
                      <w:rFonts w:hint="eastAsia"/>
                      <w:color w:val="auto"/>
                      <w:szCs w:val="21"/>
                      <w:highlight w:val="none"/>
                    </w:rPr>
                    <w:t>年</w:t>
                  </w:r>
                </w:p>
              </w:tc>
              <w:tc>
                <w:tcPr>
                  <w:tcW w:w="1771" w:type="pct"/>
                  <w:vAlign w:val="center"/>
                </w:tcPr>
                <w:p w14:paraId="7A8CFCEC">
                  <w:pPr>
                    <w:jc w:val="center"/>
                    <w:rPr>
                      <w:color w:val="auto"/>
                      <w:szCs w:val="21"/>
                      <w:highlight w:val="none"/>
                    </w:rPr>
                  </w:pPr>
                  <w:r>
                    <w:rPr>
                      <w:color w:val="auto"/>
                      <w:szCs w:val="21"/>
                      <w:highlight w:val="none"/>
                    </w:rPr>
                    <w:t>《恶臭污染物排放标准》（GB14554-93）</w:t>
                  </w:r>
                </w:p>
              </w:tc>
            </w:tr>
            <w:tr w14:paraId="2990416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Merge w:val="restart"/>
                  <w:vAlign w:val="center"/>
                </w:tcPr>
                <w:p w14:paraId="430F195E">
                  <w:pPr>
                    <w:jc w:val="center"/>
                    <w:rPr>
                      <w:bCs/>
                      <w:color w:val="auto"/>
                      <w:szCs w:val="21"/>
                      <w:highlight w:val="none"/>
                    </w:rPr>
                  </w:pPr>
                  <w:r>
                    <w:rPr>
                      <w:color w:val="auto"/>
                      <w:szCs w:val="21"/>
                      <w:highlight w:val="none"/>
                    </w:rPr>
                    <w:t>无组织废气</w:t>
                  </w:r>
                </w:p>
              </w:tc>
              <w:tc>
                <w:tcPr>
                  <w:tcW w:w="670" w:type="pct"/>
                  <w:vMerge w:val="restart"/>
                  <w:vAlign w:val="center"/>
                </w:tcPr>
                <w:p w14:paraId="354D1579">
                  <w:pPr>
                    <w:jc w:val="center"/>
                    <w:rPr>
                      <w:color w:val="auto"/>
                      <w:szCs w:val="21"/>
                      <w:highlight w:val="none"/>
                    </w:rPr>
                  </w:pPr>
                  <w:r>
                    <w:rPr>
                      <w:rFonts w:hint="eastAsia"/>
                      <w:color w:val="auto"/>
                      <w:szCs w:val="21"/>
                      <w:highlight w:val="none"/>
                    </w:rPr>
                    <w:t>污水站周界</w:t>
                  </w:r>
                </w:p>
              </w:tc>
              <w:tc>
                <w:tcPr>
                  <w:tcW w:w="806" w:type="pct"/>
                  <w:shd w:val="clear" w:color="auto" w:fill="auto"/>
                  <w:vAlign w:val="center"/>
                </w:tcPr>
                <w:p w14:paraId="693D9321">
                  <w:pPr>
                    <w:jc w:val="center"/>
                    <w:rPr>
                      <w:color w:val="auto"/>
                      <w:szCs w:val="21"/>
                      <w:highlight w:val="none"/>
                    </w:rPr>
                  </w:pPr>
                  <w:r>
                    <w:rPr>
                      <w:color w:val="auto"/>
                      <w:kern w:val="0"/>
                      <w:szCs w:val="21"/>
                      <w:highlight w:val="none"/>
                    </w:rPr>
                    <w:t>NH</w:t>
                  </w:r>
                  <w:r>
                    <w:rPr>
                      <w:color w:val="auto"/>
                      <w:kern w:val="0"/>
                      <w:szCs w:val="21"/>
                      <w:highlight w:val="none"/>
                      <w:vertAlign w:val="subscript"/>
                    </w:rPr>
                    <w:t>3</w:t>
                  </w:r>
                </w:p>
              </w:tc>
              <w:tc>
                <w:tcPr>
                  <w:tcW w:w="748" w:type="pct"/>
                  <w:vMerge w:val="restart"/>
                  <w:vAlign w:val="center"/>
                </w:tcPr>
                <w:p w14:paraId="7A424076">
                  <w:pPr>
                    <w:jc w:val="center"/>
                    <w:rPr>
                      <w:color w:val="auto"/>
                      <w:szCs w:val="21"/>
                      <w:highlight w:val="none"/>
                    </w:rPr>
                  </w:pPr>
                  <w:r>
                    <w:rPr>
                      <w:color w:val="auto"/>
                      <w:szCs w:val="21"/>
                      <w:highlight w:val="none"/>
                    </w:rPr>
                    <w:t>1次/</w:t>
                  </w:r>
                  <w:r>
                    <w:rPr>
                      <w:rFonts w:hint="eastAsia"/>
                      <w:color w:val="auto"/>
                      <w:szCs w:val="21"/>
                      <w:highlight w:val="none"/>
                    </w:rPr>
                    <w:t>季度</w:t>
                  </w:r>
                </w:p>
              </w:tc>
              <w:tc>
                <w:tcPr>
                  <w:tcW w:w="1771" w:type="pct"/>
                  <w:vMerge w:val="restart"/>
                  <w:vAlign w:val="center"/>
                </w:tcPr>
                <w:p w14:paraId="5AAFE926">
                  <w:pPr>
                    <w:jc w:val="center"/>
                    <w:rPr>
                      <w:color w:val="auto"/>
                      <w:szCs w:val="21"/>
                      <w:highlight w:val="none"/>
                    </w:rPr>
                  </w:pPr>
                  <w:r>
                    <w:rPr>
                      <w:color w:val="auto"/>
                      <w:szCs w:val="21"/>
                      <w:highlight w:val="none"/>
                    </w:rPr>
                    <w:t>《医疗机构水污染物排放标准》（GB18466-2005）</w:t>
                  </w:r>
                </w:p>
              </w:tc>
            </w:tr>
            <w:tr w14:paraId="564F11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Merge w:val="continue"/>
                  <w:vAlign w:val="center"/>
                </w:tcPr>
                <w:p w14:paraId="1E2ADEA6">
                  <w:pPr>
                    <w:jc w:val="center"/>
                    <w:rPr>
                      <w:color w:val="auto"/>
                      <w:szCs w:val="21"/>
                      <w:highlight w:val="none"/>
                    </w:rPr>
                  </w:pPr>
                </w:p>
              </w:tc>
              <w:tc>
                <w:tcPr>
                  <w:tcW w:w="670" w:type="pct"/>
                  <w:vMerge w:val="continue"/>
                  <w:vAlign w:val="center"/>
                </w:tcPr>
                <w:p w14:paraId="6DAC36EE">
                  <w:pPr>
                    <w:jc w:val="center"/>
                    <w:rPr>
                      <w:color w:val="auto"/>
                      <w:szCs w:val="21"/>
                      <w:highlight w:val="none"/>
                    </w:rPr>
                  </w:pPr>
                </w:p>
              </w:tc>
              <w:tc>
                <w:tcPr>
                  <w:tcW w:w="806" w:type="pct"/>
                  <w:shd w:val="clear" w:color="auto" w:fill="auto"/>
                  <w:vAlign w:val="center"/>
                </w:tcPr>
                <w:p w14:paraId="02C4443F">
                  <w:pPr>
                    <w:jc w:val="center"/>
                    <w:rPr>
                      <w:color w:val="auto"/>
                      <w:szCs w:val="21"/>
                      <w:highlight w:val="none"/>
                    </w:rPr>
                  </w:pPr>
                  <w:r>
                    <w:rPr>
                      <w:color w:val="auto"/>
                      <w:kern w:val="0"/>
                      <w:szCs w:val="21"/>
                      <w:highlight w:val="none"/>
                    </w:rPr>
                    <w:t>H</w:t>
                  </w:r>
                  <w:r>
                    <w:rPr>
                      <w:color w:val="auto"/>
                      <w:kern w:val="0"/>
                      <w:szCs w:val="21"/>
                      <w:highlight w:val="none"/>
                      <w:vertAlign w:val="subscript"/>
                    </w:rPr>
                    <w:t>2</w:t>
                  </w:r>
                  <w:r>
                    <w:rPr>
                      <w:color w:val="auto"/>
                      <w:kern w:val="0"/>
                      <w:szCs w:val="21"/>
                      <w:highlight w:val="none"/>
                    </w:rPr>
                    <w:t>S</w:t>
                  </w:r>
                </w:p>
              </w:tc>
              <w:tc>
                <w:tcPr>
                  <w:tcW w:w="748" w:type="pct"/>
                  <w:vMerge w:val="continue"/>
                  <w:vAlign w:val="center"/>
                </w:tcPr>
                <w:p w14:paraId="3E7ADB0F">
                  <w:pPr>
                    <w:jc w:val="center"/>
                    <w:rPr>
                      <w:color w:val="auto"/>
                      <w:szCs w:val="21"/>
                      <w:highlight w:val="none"/>
                    </w:rPr>
                  </w:pPr>
                </w:p>
              </w:tc>
              <w:tc>
                <w:tcPr>
                  <w:tcW w:w="1771" w:type="pct"/>
                  <w:vMerge w:val="continue"/>
                  <w:vAlign w:val="center"/>
                </w:tcPr>
                <w:p w14:paraId="0A32B4CF">
                  <w:pPr>
                    <w:jc w:val="center"/>
                    <w:rPr>
                      <w:color w:val="auto"/>
                      <w:szCs w:val="21"/>
                      <w:highlight w:val="none"/>
                    </w:rPr>
                  </w:pPr>
                </w:p>
              </w:tc>
            </w:tr>
            <w:tr w14:paraId="62230F0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jc w:val="center"/>
              </w:trPr>
              <w:tc>
                <w:tcPr>
                  <w:tcW w:w="1002" w:type="pct"/>
                  <w:vMerge w:val="continue"/>
                  <w:vAlign w:val="center"/>
                </w:tcPr>
                <w:p w14:paraId="3270DD04">
                  <w:pPr>
                    <w:jc w:val="center"/>
                    <w:rPr>
                      <w:color w:val="auto"/>
                      <w:szCs w:val="21"/>
                      <w:highlight w:val="none"/>
                    </w:rPr>
                  </w:pPr>
                </w:p>
              </w:tc>
              <w:tc>
                <w:tcPr>
                  <w:tcW w:w="670" w:type="pct"/>
                  <w:vMerge w:val="continue"/>
                  <w:vAlign w:val="center"/>
                </w:tcPr>
                <w:p w14:paraId="2EDBA358">
                  <w:pPr>
                    <w:jc w:val="center"/>
                    <w:rPr>
                      <w:color w:val="auto"/>
                      <w:szCs w:val="21"/>
                      <w:highlight w:val="none"/>
                    </w:rPr>
                  </w:pPr>
                </w:p>
              </w:tc>
              <w:tc>
                <w:tcPr>
                  <w:tcW w:w="806" w:type="pct"/>
                  <w:shd w:val="clear" w:color="auto" w:fill="auto"/>
                  <w:vAlign w:val="center"/>
                </w:tcPr>
                <w:p w14:paraId="3B1625FC">
                  <w:pPr>
                    <w:jc w:val="center"/>
                    <w:rPr>
                      <w:color w:val="auto"/>
                      <w:szCs w:val="21"/>
                      <w:highlight w:val="none"/>
                    </w:rPr>
                  </w:pPr>
                  <w:r>
                    <w:rPr>
                      <w:rFonts w:hint="eastAsia"/>
                      <w:color w:val="auto"/>
                      <w:szCs w:val="21"/>
                      <w:highlight w:val="none"/>
                    </w:rPr>
                    <w:t>臭气浓度</w:t>
                  </w:r>
                </w:p>
              </w:tc>
              <w:tc>
                <w:tcPr>
                  <w:tcW w:w="748" w:type="pct"/>
                  <w:vMerge w:val="continue"/>
                  <w:vAlign w:val="center"/>
                </w:tcPr>
                <w:p w14:paraId="5BBC052B">
                  <w:pPr>
                    <w:jc w:val="center"/>
                    <w:rPr>
                      <w:color w:val="auto"/>
                      <w:szCs w:val="21"/>
                      <w:highlight w:val="none"/>
                    </w:rPr>
                  </w:pPr>
                </w:p>
              </w:tc>
              <w:tc>
                <w:tcPr>
                  <w:tcW w:w="1771" w:type="pct"/>
                  <w:vMerge w:val="continue"/>
                  <w:vAlign w:val="center"/>
                </w:tcPr>
                <w:p w14:paraId="571F2D8B">
                  <w:pPr>
                    <w:jc w:val="center"/>
                    <w:rPr>
                      <w:color w:val="auto"/>
                      <w:szCs w:val="21"/>
                      <w:highlight w:val="none"/>
                    </w:rPr>
                  </w:pPr>
                </w:p>
              </w:tc>
            </w:tr>
            <w:tr w14:paraId="143BEF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Merge w:val="continue"/>
                  <w:vAlign w:val="center"/>
                </w:tcPr>
                <w:p w14:paraId="76055297">
                  <w:pPr>
                    <w:jc w:val="center"/>
                    <w:rPr>
                      <w:bCs/>
                      <w:color w:val="auto"/>
                      <w:szCs w:val="21"/>
                      <w:highlight w:val="none"/>
                    </w:rPr>
                  </w:pPr>
                </w:p>
              </w:tc>
              <w:tc>
                <w:tcPr>
                  <w:tcW w:w="670" w:type="pct"/>
                  <w:vMerge w:val="restart"/>
                  <w:vAlign w:val="center"/>
                </w:tcPr>
                <w:p w14:paraId="453E6823">
                  <w:pPr>
                    <w:ind w:left="-73" w:leftChars="-35" w:right="-63" w:rightChars="-30"/>
                    <w:jc w:val="center"/>
                    <w:rPr>
                      <w:color w:val="auto"/>
                      <w:szCs w:val="21"/>
                      <w:highlight w:val="none"/>
                    </w:rPr>
                  </w:pPr>
                  <w:r>
                    <w:rPr>
                      <w:color w:val="auto"/>
                      <w:szCs w:val="21"/>
                      <w:highlight w:val="none"/>
                    </w:rPr>
                    <w:t>厂界四周</w:t>
                  </w:r>
                </w:p>
              </w:tc>
              <w:tc>
                <w:tcPr>
                  <w:tcW w:w="806" w:type="pct"/>
                  <w:vAlign w:val="center"/>
                </w:tcPr>
                <w:p w14:paraId="062DD52B">
                  <w:pPr>
                    <w:jc w:val="center"/>
                    <w:rPr>
                      <w:color w:val="auto"/>
                      <w:szCs w:val="21"/>
                      <w:highlight w:val="none"/>
                    </w:rPr>
                  </w:pPr>
                  <w:r>
                    <w:rPr>
                      <w:color w:val="auto"/>
                      <w:kern w:val="0"/>
                      <w:szCs w:val="21"/>
                      <w:highlight w:val="none"/>
                    </w:rPr>
                    <w:t>NH</w:t>
                  </w:r>
                  <w:r>
                    <w:rPr>
                      <w:color w:val="auto"/>
                      <w:kern w:val="0"/>
                      <w:szCs w:val="21"/>
                      <w:highlight w:val="none"/>
                      <w:vertAlign w:val="subscript"/>
                    </w:rPr>
                    <w:t>3</w:t>
                  </w:r>
                </w:p>
              </w:tc>
              <w:tc>
                <w:tcPr>
                  <w:tcW w:w="748" w:type="pct"/>
                  <w:vMerge w:val="restart"/>
                  <w:vAlign w:val="center"/>
                </w:tcPr>
                <w:p w14:paraId="27578CEB">
                  <w:pPr>
                    <w:jc w:val="center"/>
                    <w:rPr>
                      <w:color w:val="auto"/>
                      <w:szCs w:val="21"/>
                      <w:highlight w:val="none"/>
                    </w:rPr>
                  </w:pPr>
                  <w:r>
                    <w:rPr>
                      <w:color w:val="auto"/>
                      <w:szCs w:val="21"/>
                      <w:highlight w:val="none"/>
                    </w:rPr>
                    <w:t>1次/</w:t>
                  </w:r>
                  <w:r>
                    <w:rPr>
                      <w:rFonts w:hint="eastAsia"/>
                      <w:color w:val="auto"/>
                      <w:szCs w:val="21"/>
                      <w:highlight w:val="none"/>
                    </w:rPr>
                    <w:t>年</w:t>
                  </w:r>
                </w:p>
              </w:tc>
              <w:tc>
                <w:tcPr>
                  <w:tcW w:w="1771" w:type="pct"/>
                  <w:vMerge w:val="restart"/>
                  <w:vAlign w:val="center"/>
                </w:tcPr>
                <w:p w14:paraId="64C5D2FC">
                  <w:pPr>
                    <w:jc w:val="center"/>
                    <w:rPr>
                      <w:color w:val="auto"/>
                      <w:szCs w:val="21"/>
                      <w:highlight w:val="none"/>
                    </w:rPr>
                  </w:pPr>
                  <w:r>
                    <w:rPr>
                      <w:color w:val="auto"/>
                      <w:szCs w:val="21"/>
                      <w:highlight w:val="none"/>
                    </w:rPr>
                    <w:t>《恶臭污染物排放标准》（GB14554-93）</w:t>
                  </w:r>
                </w:p>
              </w:tc>
            </w:tr>
            <w:tr w14:paraId="42384B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Merge w:val="continue"/>
                  <w:vAlign w:val="center"/>
                </w:tcPr>
                <w:p w14:paraId="5A61E48A">
                  <w:pPr>
                    <w:jc w:val="center"/>
                    <w:rPr>
                      <w:bCs/>
                      <w:color w:val="auto"/>
                      <w:szCs w:val="21"/>
                      <w:highlight w:val="none"/>
                    </w:rPr>
                  </w:pPr>
                </w:p>
              </w:tc>
              <w:tc>
                <w:tcPr>
                  <w:tcW w:w="670" w:type="pct"/>
                  <w:vMerge w:val="continue"/>
                  <w:vAlign w:val="center"/>
                </w:tcPr>
                <w:p w14:paraId="788966AF">
                  <w:pPr>
                    <w:ind w:left="-73" w:leftChars="-35" w:right="-63" w:rightChars="-30"/>
                    <w:jc w:val="center"/>
                    <w:rPr>
                      <w:color w:val="auto"/>
                      <w:szCs w:val="21"/>
                      <w:highlight w:val="none"/>
                    </w:rPr>
                  </w:pPr>
                </w:p>
              </w:tc>
              <w:tc>
                <w:tcPr>
                  <w:tcW w:w="806" w:type="pct"/>
                  <w:vAlign w:val="center"/>
                </w:tcPr>
                <w:p w14:paraId="4A353EA3">
                  <w:pPr>
                    <w:jc w:val="center"/>
                    <w:rPr>
                      <w:color w:val="auto"/>
                      <w:szCs w:val="21"/>
                      <w:highlight w:val="none"/>
                    </w:rPr>
                  </w:pPr>
                  <w:r>
                    <w:rPr>
                      <w:color w:val="auto"/>
                      <w:kern w:val="0"/>
                      <w:szCs w:val="21"/>
                      <w:highlight w:val="none"/>
                    </w:rPr>
                    <w:t>H</w:t>
                  </w:r>
                  <w:r>
                    <w:rPr>
                      <w:color w:val="auto"/>
                      <w:kern w:val="0"/>
                      <w:szCs w:val="21"/>
                      <w:highlight w:val="none"/>
                      <w:vertAlign w:val="subscript"/>
                    </w:rPr>
                    <w:t>2</w:t>
                  </w:r>
                  <w:r>
                    <w:rPr>
                      <w:color w:val="auto"/>
                      <w:kern w:val="0"/>
                      <w:szCs w:val="21"/>
                      <w:highlight w:val="none"/>
                    </w:rPr>
                    <w:t>S</w:t>
                  </w:r>
                </w:p>
              </w:tc>
              <w:tc>
                <w:tcPr>
                  <w:tcW w:w="748" w:type="pct"/>
                  <w:vMerge w:val="continue"/>
                  <w:vAlign w:val="center"/>
                </w:tcPr>
                <w:p w14:paraId="77B0BED0">
                  <w:pPr>
                    <w:jc w:val="center"/>
                    <w:rPr>
                      <w:color w:val="auto"/>
                      <w:szCs w:val="21"/>
                      <w:highlight w:val="none"/>
                    </w:rPr>
                  </w:pPr>
                </w:p>
              </w:tc>
              <w:tc>
                <w:tcPr>
                  <w:tcW w:w="1771" w:type="pct"/>
                  <w:vMerge w:val="continue"/>
                  <w:vAlign w:val="center"/>
                </w:tcPr>
                <w:p w14:paraId="52953C54">
                  <w:pPr>
                    <w:jc w:val="center"/>
                    <w:rPr>
                      <w:color w:val="auto"/>
                      <w:szCs w:val="21"/>
                      <w:highlight w:val="none"/>
                    </w:rPr>
                  </w:pPr>
                </w:p>
              </w:tc>
            </w:tr>
            <w:tr w14:paraId="5D52D8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02" w:type="pct"/>
                  <w:vMerge w:val="continue"/>
                  <w:vAlign w:val="center"/>
                </w:tcPr>
                <w:p w14:paraId="342B022F">
                  <w:pPr>
                    <w:jc w:val="center"/>
                    <w:rPr>
                      <w:bCs/>
                      <w:color w:val="auto"/>
                      <w:szCs w:val="21"/>
                      <w:highlight w:val="none"/>
                    </w:rPr>
                  </w:pPr>
                </w:p>
              </w:tc>
              <w:tc>
                <w:tcPr>
                  <w:tcW w:w="670" w:type="pct"/>
                  <w:vMerge w:val="continue"/>
                  <w:vAlign w:val="center"/>
                </w:tcPr>
                <w:p w14:paraId="70FFA069">
                  <w:pPr>
                    <w:ind w:left="-73" w:leftChars="-35" w:right="-63" w:rightChars="-30"/>
                    <w:jc w:val="center"/>
                    <w:rPr>
                      <w:color w:val="auto"/>
                      <w:szCs w:val="21"/>
                      <w:highlight w:val="none"/>
                    </w:rPr>
                  </w:pPr>
                </w:p>
              </w:tc>
              <w:tc>
                <w:tcPr>
                  <w:tcW w:w="806" w:type="pct"/>
                  <w:shd w:val="clear" w:color="auto" w:fill="auto"/>
                  <w:vAlign w:val="center"/>
                </w:tcPr>
                <w:p w14:paraId="19B9C619">
                  <w:pPr>
                    <w:jc w:val="center"/>
                    <w:rPr>
                      <w:color w:val="auto"/>
                      <w:szCs w:val="21"/>
                      <w:highlight w:val="none"/>
                    </w:rPr>
                  </w:pPr>
                  <w:r>
                    <w:rPr>
                      <w:rFonts w:hint="eastAsia"/>
                      <w:color w:val="auto"/>
                      <w:szCs w:val="21"/>
                      <w:highlight w:val="none"/>
                    </w:rPr>
                    <w:t>臭气浓度</w:t>
                  </w:r>
                </w:p>
              </w:tc>
              <w:tc>
                <w:tcPr>
                  <w:tcW w:w="748" w:type="pct"/>
                  <w:vMerge w:val="continue"/>
                  <w:vAlign w:val="center"/>
                </w:tcPr>
                <w:p w14:paraId="06F15A91">
                  <w:pPr>
                    <w:jc w:val="center"/>
                    <w:rPr>
                      <w:color w:val="auto"/>
                      <w:szCs w:val="21"/>
                      <w:highlight w:val="none"/>
                    </w:rPr>
                  </w:pPr>
                </w:p>
              </w:tc>
              <w:tc>
                <w:tcPr>
                  <w:tcW w:w="1771" w:type="pct"/>
                  <w:vMerge w:val="continue"/>
                  <w:vAlign w:val="center"/>
                </w:tcPr>
                <w:p w14:paraId="742C29F7">
                  <w:pPr>
                    <w:jc w:val="center"/>
                    <w:rPr>
                      <w:color w:val="auto"/>
                      <w:szCs w:val="21"/>
                      <w:highlight w:val="none"/>
                    </w:rPr>
                  </w:pPr>
                </w:p>
              </w:tc>
            </w:tr>
          </w:tbl>
          <w:p w14:paraId="4525F615">
            <w:pPr>
              <w:ind w:firstLine="482" w:firstLineChars="200"/>
              <w:rPr>
                <w:b/>
                <w:color w:val="auto"/>
                <w:sz w:val="24"/>
                <w:highlight w:val="none"/>
              </w:rPr>
            </w:pPr>
          </w:p>
          <w:p w14:paraId="6D377EEB">
            <w:pPr>
              <w:pStyle w:val="59"/>
              <w:snapToGrid w:val="0"/>
              <w:spacing w:beforeLines="0" w:afterLines="0" w:line="360" w:lineRule="auto"/>
              <w:ind w:firstLine="482" w:firstLineChars="200"/>
              <w:jc w:val="both"/>
              <w:rPr>
                <w:rFonts w:eastAsia="宋体"/>
                <w:b/>
                <w:bCs/>
                <w:iCs/>
                <w:color w:val="auto"/>
                <w:highlight w:val="none"/>
              </w:rPr>
            </w:pPr>
            <w:r>
              <w:rPr>
                <w:rFonts w:hint="eastAsia" w:eastAsia="宋体"/>
                <w:b/>
                <w:bCs/>
                <w:iCs/>
                <w:color w:val="auto"/>
                <w:highlight w:val="none"/>
              </w:rPr>
              <w:t>1.5、废气非正常排放</w:t>
            </w:r>
          </w:p>
          <w:p w14:paraId="050CF170">
            <w:pPr>
              <w:pStyle w:val="59"/>
              <w:snapToGrid w:val="0"/>
              <w:spacing w:beforeLines="0" w:afterLines="0" w:line="360" w:lineRule="auto"/>
              <w:ind w:firstLine="480" w:firstLineChars="200"/>
              <w:jc w:val="both"/>
              <w:rPr>
                <w:rFonts w:eastAsia="宋体"/>
                <w:iCs/>
                <w:color w:val="auto"/>
                <w:highlight w:val="none"/>
              </w:rPr>
            </w:pPr>
            <w:r>
              <w:rPr>
                <w:rFonts w:hint="eastAsia" w:eastAsia="宋体"/>
                <w:iCs/>
                <w:color w:val="auto"/>
                <w:highlight w:val="none"/>
              </w:rPr>
              <w:t>非正常及事故排放主要为污水站负压收集+活性炭吸附装置失效。本项目可能出现非正常排放的主要环节是废气排放，事故发生后短期内均可恢复正常工作，风险相对较小。</w:t>
            </w:r>
          </w:p>
          <w:p w14:paraId="5C971719">
            <w:pPr>
              <w:pStyle w:val="59"/>
              <w:snapToGrid w:val="0"/>
              <w:spacing w:beforeLines="0" w:afterLines="0" w:line="360" w:lineRule="auto"/>
              <w:ind w:firstLine="480" w:firstLineChars="200"/>
              <w:jc w:val="both"/>
              <w:rPr>
                <w:rFonts w:cs="宋体"/>
                <w:color w:val="auto"/>
                <w:highlight w:val="none"/>
              </w:rPr>
            </w:pPr>
            <w:r>
              <w:rPr>
                <w:rFonts w:hint="eastAsia" w:eastAsia="宋体"/>
                <w:iCs/>
                <w:color w:val="auto"/>
                <w:highlight w:val="none"/>
              </w:rPr>
              <w:t>废气非正常排放时应</w:t>
            </w:r>
            <w:r>
              <w:rPr>
                <w:rFonts w:hint="eastAsia" w:eastAsia="宋体"/>
                <w:color w:val="auto"/>
                <w:highlight w:val="none"/>
              </w:rPr>
              <w:t>开启通风系统，加强通风，减轻污染物浓度，非正常工况按100%失效进行统计，非正常工况废气污染物排放情况见下表。</w:t>
            </w:r>
          </w:p>
          <w:p w14:paraId="2B5E09E0">
            <w:pPr>
              <w:spacing w:line="440" w:lineRule="exact"/>
              <w:jc w:val="center"/>
              <w:rPr>
                <w:rFonts w:cs="宋体"/>
                <w:b/>
                <w:color w:val="auto"/>
                <w:kern w:val="21"/>
                <w:sz w:val="24"/>
                <w:highlight w:val="none"/>
              </w:rPr>
            </w:pPr>
            <w:r>
              <w:rPr>
                <w:rFonts w:hint="eastAsia" w:cs="宋体"/>
                <w:b/>
                <w:color w:val="auto"/>
                <w:kern w:val="21"/>
                <w:sz w:val="24"/>
                <w:highlight w:val="none"/>
              </w:rPr>
              <w:t>表4-5  本项目非正常工况污染物排放情况</w:t>
            </w:r>
          </w:p>
          <w:tbl>
            <w:tblPr>
              <w:tblStyle w:val="28"/>
              <w:tblW w:w="4997"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732"/>
              <w:gridCol w:w="881"/>
              <w:gridCol w:w="1086"/>
              <w:gridCol w:w="861"/>
              <w:gridCol w:w="701"/>
              <w:gridCol w:w="1004"/>
              <w:gridCol w:w="849"/>
              <w:gridCol w:w="877"/>
              <w:gridCol w:w="701"/>
              <w:gridCol w:w="751"/>
            </w:tblGrid>
            <w:tr w14:paraId="413B10C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90" w:hRule="atLeast"/>
                <w:jc w:val="center"/>
              </w:trPr>
              <w:tc>
                <w:tcPr>
                  <w:tcW w:w="433" w:type="pct"/>
                  <w:vMerge w:val="restart"/>
                  <w:tcBorders>
                    <w:top w:val="single" w:color="auto" w:sz="12" w:space="0"/>
                    <w:left w:val="nil"/>
                  </w:tcBorders>
                  <w:vAlign w:val="center"/>
                </w:tcPr>
                <w:p w14:paraId="51ADB083">
                  <w:pPr>
                    <w:overflowPunct w:val="0"/>
                    <w:adjustRightInd w:val="0"/>
                    <w:snapToGrid w:val="0"/>
                    <w:ind w:firstLine="4"/>
                    <w:jc w:val="center"/>
                    <w:textAlignment w:val="baseline"/>
                    <w:rPr>
                      <w:b/>
                      <w:color w:val="auto"/>
                      <w:kern w:val="0"/>
                      <w:szCs w:val="21"/>
                      <w:highlight w:val="none"/>
                    </w:rPr>
                  </w:pPr>
                  <w:r>
                    <w:rPr>
                      <w:b/>
                      <w:color w:val="auto"/>
                      <w:kern w:val="0"/>
                      <w:szCs w:val="21"/>
                      <w:highlight w:val="none"/>
                    </w:rPr>
                    <w:t>排放源编号</w:t>
                  </w:r>
                </w:p>
              </w:tc>
              <w:tc>
                <w:tcPr>
                  <w:tcW w:w="521" w:type="pct"/>
                  <w:vMerge w:val="restart"/>
                  <w:tcBorders>
                    <w:top w:val="single" w:color="auto" w:sz="12" w:space="0"/>
                  </w:tcBorders>
                  <w:vAlign w:val="center"/>
                </w:tcPr>
                <w:p w14:paraId="0F597F23">
                  <w:pPr>
                    <w:overflowPunct w:val="0"/>
                    <w:adjustRightInd w:val="0"/>
                    <w:snapToGrid w:val="0"/>
                    <w:ind w:firstLine="4"/>
                    <w:jc w:val="center"/>
                    <w:textAlignment w:val="baseline"/>
                    <w:rPr>
                      <w:b/>
                      <w:color w:val="auto"/>
                      <w:kern w:val="0"/>
                      <w:szCs w:val="21"/>
                      <w:highlight w:val="none"/>
                    </w:rPr>
                  </w:pPr>
                  <w:r>
                    <w:rPr>
                      <w:b/>
                      <w:color w:val="auto"/>
                      <w:kern w:val="0"/>
                      <w:szCs w:val="21"/>
                      <w:highlight w:val="none"/>
                    </w:rPr>
                    <w:t>污染源</w:t>
                  </w:r>
                </w:p>
              </w:tc>
              <w:tc>
                <w:tcPr>
                  <w:tcW w:w="642" w:type="pct"/>
                  <w:vMerge w:val="restart"/>
                  <w:tcBorders>
                    <w:top w:val="single" w:color="auto" w:sz="12" w:space="0"/>
                  </w:tcBorders>
                  <w:vAlign w:val="center"/>
                </w:tcPr>
                <w:p w14:paraId="776F2A9E">
                  <w:pPr>
                    <w:overflowPunct w:val="0"/>
                    <w:adjustRightInd w:val="0"/>
                    <w:snapToGrid w:val="0"/>
                    <w:ind w:firstLine="4"/>
                    <w:jc w:val="center"/>
                    <w:textAlignment w:val="baseline"/>
                    <w:rPr>
                      <w:b/>
                      <w:color w:val="auto"/>
                      <w:kern w:val="0"/>
                      <w:szCs w:val="21"/>
                      <w:highlight w:val="none"/>
                    </w:rPr>
                  </w:pPr>
                  <w:r>
                    <w:rPr>
                      <w:b/>
                      <w:color w:val="auto"/>
                      <w:kern w:val="0"/>
                      <w:szCs w:val="21"/>
                      <w:highlight w:val="none"/>
                    </w:rPr>
                    <w:t>污染物</w:t>
                  </w:r>
                </w:p>
                <w:p w14:paraId="7EC2E57B">
                  <w:pPr>
                    <w:overflowPunct w:val="0"/>
                    <w:adjustRightInd w:val="0"/>
                    <w:snapToGrid w:val="0"/>
                    <w:ind w:firstLine="4"/>
                    <w:jc w:val="center"/>
                    <w:textAlignment w:val="baseline"/>
                    <w:rPr>
                      <w:b/>
                      <w:color w:val="auto"/>
                      <w:kern w:val="0"/>
                      <w:szCs w:val="21"/>
                      <w:highlight w:val="none"/>
                    </w:rPr>
                  </w:pPr>
                  <w:r>
                    <w:rPr>
                      <w:b/>
                      <w:color w:val="auto"/>
                      <w:kern w:val="0"/>
                      <w:szCs w:val="21"/>
                      <w:highlight w:val="none"/>
                    </w:rPr>
                    <w:t>名称</w:t>
                  </w:r>
                </w:p>
              </w:tc>
              <w:tc>
                <w:tcPr>
                  <w:tcW w:w="509" w:type="pct"/>
                  <w:vMerge w:val="restart"/>
                  <w:tcBorders>
                    <w:top w:val="single" w:color="auto" w:sz="12" w:space="0"/>
                  </w:tcBorders>
                  <w:vAlign w:val="center"/>
                </w:tcPr>
                <w:p w14:paraId="15EAAA14">
                  <w:pPr>
                    <w:overflowPunct w:val="0"/>
                    <w:adjustRightInd w:val="0"/>
                    <w:snapToGrid w:val="0"/>
                    <w:ind w:firstLine="4"/>
                    <w:jc w:val="center"/>
                    <w:textAlignment w:val="baseline"/>
                    <w:rPr>
                      <w:b/>
                      <w:color w:val="auto"/>
                      <w:kern w:val="0"/>
                      <w:szCs w:val="21"/>
                      <w:highlight w:val="none"/>
                    </w:rPr>
                  </w:pPr>
                  <w:r>
                    <w:rPr>
                      <w:b/>
                      <w:color w:val="auto"/>
                      <w:kern w:val="0"/>
                      <w:szCs w:val="21"/>
                      <w:highlight w:val="none"/>
                    </w:rPr>
                    <w:t>非正常排放原因</w:t>
                  </w:r>
                </w:p>
              </w:tc>
              <w:tc>
                <w:tcPr>
                  <w:tcW w:w="415" w:type="pct"/>
                  <w:vMerge w:val="restart"/>
                  <w:tcBorders>
                    <w:top w:val="single" w:color="auto" w:sz="12" w:space="0"/>
                  </w:tcBorders>
                  <w:vAlign w:val="center"/>
                </w:tcPr>
                <w:p w14:paraId="668B879F">
                  <w:pPr>
                    <w:overflowPunct w:val="0"/>
                    <w:adjustRightInd w:val="0"/>
                    <w:snapToGrid w:val="0"/>
                    <w:ind w:firstLine="4"/>
                    <w:jc w:val="center"/>
                    <w:textAlignment w:val="baseline"/>
                    <w:rPr>
                      <w:b/>
                      <w:color w:val="auto"/>
                      <w:kern w:val="0"/>
                      <w:szCs w:val="21"/>
                      <w:highlight w:val="none"/>
                    </w:rPr>
                  </w:pPr>
                  <w:r>
                    <w:rPr>
                      <w:b/>
                      <w:color w:val="auto"/>
                      <w:kern w:val="0"/>
                      <w:szCs w:val="21"/>
                      <w:highlight w:val="none"/>
                    </w:rPr>
                    <w:t>去除率%</w:t>
                  </w:r>
                </w:p>
              </w:tc>
              <w:tc>
                <w:tcPr>
                  <w:tcW w:w="1616" w:type="pct"/>
                  <w:gridSpan w:val="3"/>
                  <w:tcBorders>
                    <w:top w:val="single" w:color="auto" w:sz="12" w:space="0"/>
                  </w:tcBorders>
                  <w:vAlign w:val="center"/>
                </w:tcPr>
                <w:p w14:paraId="11DECE1C">
                  <w:pPr>
                    <w:overflowPunct w:val="0"/>
                    <w:adjustRightInd w:val="0"/>
                    <w:snapToGrid w:val="0"/>
                    <w:ind w:firstLine="4"/>
                    <w:jc w:val="center"/>
                    <w:textAlignment w:val="baseline"/>
                    <w:rPr>
                      <w:b/>
                      <w:color w:val="auto"/>
                      <w:kern w:val="0"/>
                      <w:szCs w:val="21"/>
                      <w:highlight w:val="none"/>
                    </w:rPr>
                  </w:pPr>
                  <w:r>
                    <w:rPr>
                      <w:b/>
                      <w:color w:val="auto"/>
                      <w:kern w:val="0"/>
                      <w:szCs w:val="21"/>
                      <w:highlight w:val="none"/>
                    </w:rPr>
                    <w:t>排放状况</w:t>
                  </w:r>
                </w:p>
              </w:tc>
              <w:tc>
                <w:tcPr>
                  <w:tcW w:w="415" w:type="pct"/>
                  <w:vMerge w:val="restart"/>
                  <w:tcBorders>
                    <w:top w:val="single" w:color="auto" w:sz="12" w:space="0"/>
                  </w:tcBorders>
                  <w:vAlign w:val="center"/>
                </w:tcPr>
                <w:p w14:paraId="2B95B881">
                  <w:pPr>
                    <w:overflowPunct w:val="0"/>
                    <w:adjustRightInd w:val="0"/>
                    <w:snapToGrid w:val="0"/>
                    <w:spacing w:before="40" w:after="60" w:line="200" w:lineRule="atLeast"/>
                    <w:ind w:firstLine="4"/>
                    <w:jc w:val="center"/>
                    <w:textAlignment w:val="baseline"/>
                    <w:rPr>
                      <w:b/>
                      <w:color w:val="auto"/>
                      <w:kern w:val="0"/>
                      <w:szCs w:val="21"/>
                      <w:highlight w:val="none"/>
                    </w:rPr>
                  </w:pPr>
                  <w:r>
                    <w:rPr>
                      <w:b/>
                      <w:color w:val="auto"/>
                      <w:kern w:val="0"/>
                      <w:szCs w:val="21"/>
                      <w:highlight w:val="none"/>
                    </w:rPr>
                    <w:t>单次持续时间</w:t>
                  </w:r>
                </w:p>
              </w:tc>
              <w:tc>
                <w:tcPr>
                  <w:tcW w:w="445" w:type="pct"/>
                  <w:vMerge w:val="restart"/>
                  <w:tcBorders>
                    <w:top w:val="single" w:color="auto" w:sz="12" w:space="0"/>
                    <w:right w:val="nil"/>
                  </w:tcBorders>
                  <w:vAlign w:val="center"/>
                </w:tcPr>
                <w:p w14:paraId="29D3E669">
                  <w:pPr>
                    <w:overflowPunct w:val="0"/>
                    <w:adjustRightInd w:val="0"/>
                    <w:snapToGrid w:val="0"/>
                    <w:spacing w:before="40" w:after="60" w:line="200" w:lineRule="atLeast"/>
                    <w:ind w:firstLine="4"/>
                    <w:jc w:val="center"/>
                    <w:textAlignment w:val="baseline"/>
                    <w:rPr>
                      <w:b/>
                      <w:color w:val="auto"/>
                      <w:kern w:val="0"/>
                      <w:szCs w:val="21"/>
                      <w:highlight w:val="none"/>
                    </w:rPr>
                  </w:pPr>
                  <w:r>
                    <w:rPr>
                      <w:b/>
                      <w:color w:val="auto"/>
                      <w:kern w:val="0"/>
                      <w:szCs w:val="21"/>
                      <w:highlight w:val="none"/>
                    </w:rPr>
                    <w:t>年发生频次</w:t>
                  </w:r>
                </w:p>
              </w:tc>
            </w:tr>
            <w:tr w14:paraId="292E69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90" w:hRule="atLeast"/>
                <w:jc w:val="center"/>
              </w:trPr>
              <w:tc>
                <w:tcPr>
                  <w:tcW w:w="433" w:type="pct"/>
                  <w:vMerge w:val="continue"/>
                  <w:tcBorders>
                    <w:left w:val="nil"/>
                  </w:tcBorders>
                  <w:vAlign w:val="center"/>
                </w:tcPr>
                <w:p w14:paraId="12006D54">
                  <w:pPr>
                    <w:adjustRightInd w:val="0"/>
                    <w:snapToGrid w:val="0"/>
                    <w:jc w:val="center"/>
                    <w:rPr>
                      <w:color w:val="auto"/>
                      <w:szCs w:val="21"/>
                      <w:highlight w:val="none"/>
                    </w:rPr>
                  </w:pPr>
                </w:p>
              </w:tc>
              <w:tc>
                <w:tcPr>
                  <w:tcW w:w="521" w:type="pct"/>
                  <w:vMerge w:val="continue"/>
                  <w:vAlign w:val="center"/>
                </w:tcPr>
                <w:p w14:paraId="356EF5B9">
                  <w:pPr>
                    <w:jc w:val="center"/>
                    <w:rPr>
                      <w:color w:val="auto"/>
                      <w:szCs w:val="21"/>
                      <w:highlight w:val="none"/>
                    </w:rPr>
                  </w:pPr>
                </w:p>
              </w:tc>
              <w:tc>
                <w:tcPr>
                  <w:tcW w:w="642" w:type="pct"/>
                  <w:vMerge w:val="continue"/>
                  <w:vAlign w:val="center"/>
                </w:tcPr>
                <w:p w14:paraId="7CD59B9C">
                  <w:pPr>
                    <w:jc w:val="center"/>
                    <w:rPr>
                      <w:color w:val="auto"/>
                      <w:szCs w:val="21"/>
                      <w:highlight w:val="none"/>
                    </w:rPr>
                  </w:pPr>
                </w:p>
              </w:tc>
              <w:tc>
                <w:tcPr>
                  <w:tcW w:w="509" w:type="pct"/>
                  <w:vMerge w:val="continue"/>
                  <w:vAlign w:val="center"/>
                </w:tcPr>
                <w:p w14:paraId="29BFB4F9">
                  <w:pPr>
                    <w:overflowPunct w:val="0"/>
                    <w:adjustRightInd w:val="0"/>
                    <w:snapToGrid w:val="0"/>
                    <w:ind w:firstLine="4"/>
                    <w:jc w:val="center"/>
                    <w:textAlignment w:val="baseline"/>
                    <w:rPr>
                      <w:color w:val="auto"/>
                      <w:szCs w:val="21"/>
                      <w:highlight w:val="none"/>
                    </w:rPr>
                  </w:pPr>
                </w:p>
              </w:tc>
              <w:tc>
                <w:tcPr>
                  <w:tcW w:w="415" w:type="pct"/>
                  <w:vMerge w:val="continue"/>
                  <w:vAlign w:val="center"/>
                </w:tcPr>
                <w:p w14:paraId="3A8E6D54">
                  <w:pPr>
                    <w:overflowPunct w:val="0"/>
                    <w:adjustRightInd w:val="0"/>
                    <w:snapToGrid w:val="0"/>
                    <w:ind w:firstLine="4"/>
                    <w:jc w:val="center"/>
                    <w:textAlignment w:val="baseline"/>
                    <w:rPr>
                      <w:color w:val="auto"/>
                      <w:kern w:val="0"/>
                      <w:szCs w:val="21"/>
                      <w:highlight w:val="none"/>
                    </w:rPr>
                  </w:pPr>
                </w:p>
              </w:tc>
              <w:tc>
                <w:tcPr>
                  <w:tcW w:w="594" w:type="pct"/>
                  <w:vAlign w:val="center"/>
                </w:tcPr>
                <w:p w14:paraId="05050430">
                  <w:pPr>
                    <w:widowControl/>
                    <w:ind w:left="-105" w:leftChars="-50" w:right="-105" w:rightChars="-50"/>
                    <w:jc w:val="center"/>
                    <w:rPr>
                      <w:b/>
                      <w:color w:val="auto"/>
                      <w:kern w:val="0"/>
                      <w:szCs w:val="21"/>
                      <w:highlight w:val="none"/>
                    </w:rPr>
                  </w:pPr>
                  <w:r>
                    <w:rPr>
                      <w:b/>
                      <w:color w:val="auto"/>
                      <w:kern w:val="0"/>
                      <w:szCs w:val="21"/>
                      <w:highlight w:val="none"/>
                    </w:rPr>
                    <w:t>kg/h</w:t>
                  </w:r>
                </w:p>
              </w:tc>
              <w:tc>
                <w:tcPr>
                  <w:tcW w:w="503" w:type="pct"/>
                  <w:vAlign w:val="center"/>
                </w:tcPr>
                <w:p w14:paraId="2C7E62A8">
                  <w:pPr>
                    <w:widowControl/>
                    <w:ind w:left="-105" w:leftChars="-50" w:right="-105" w:rightChars="-50"/>
                    <w:jc w:val="center"/>
                    <w:rPr>
                      <w:b/>
                      <w:color w:val="auto"/>
                      <w:kern w:val="0"/>
                      <w:szCs w:val="21"/>
                      <w:highlight w:val="none"/>
                    </w:rPr>
                  </w:pPr>
                  <w:r>
                    <w:rPr>
                      <w:rFonts w:hint="eastAsia"/>
                      <w:b/>
                      <w:color w:val="auto"/>
                      <w:kern w:val="0"/>
                      <w:szCs w:val="21"/>
                      <w:highlight w:val="none"/>
                    </w:rPr>
                    <w:t>kg</w:t>
                  </w:r>
                  <w:r>
                    <w:rPr>
                      <w:b/>
                      <w:color w:val="auto"/>
                      <w:kern w:val="0"/>
                      <w:szCs w:val="21"/>
                      <w:highlight w:val="none"/>
                    </w:rPr>
                    <w:t>/a</w:t>
                  </w:r>
                </w:p>
              </w:tc>
              <w:tc>
                <w:tcPr>
                  <w:tcW w:w="519" w:type="pct"/>
                  <w:vAlign w:val="center"/>
                </w:tcPr>
                <w:p w14:paraId="079B89DF">
                  <w:pPr>
                    <w:widowControl/>
                    <w:ind w:left="-105" w:leftChars="-50" w:right="-105" w:rightChars="-50"/>
                    <w:jc w:val="center"/>
                    <w:rPr>
                      <w:b/>
                      <w:color w:val="auto"/>
                      <w:kern w:val="0"/>
                      <w:szCs w:val="21"/>
                      <w:highlight w:val="none"/>
                    </w:rPr>
                  </w:pPr>
                  <w:r>
                    <w:rPr>
                      <w:b/>
                      <w:color w:val="auto"/>
                      <w:kern w:val="0"/>
                      <w:szCs w:val="21"/>
                      <w:highlight w:val="none"/>
                    </w:rPr>
                    <w:t>mg/m</w:t>
                  </w:r>
                  <w:r>
                    <w:rPr>
                      <w:b/>
                      <w:color w:val="auto"/>
                      <w:kern w:val="0"/>
                      <w:szCs w:val="21"/>
                      <w:highlight w:val="none"/>
                      <w:vertAlign w:val="superscript"/>
                    </w:rPr>
                    <w:t>3</w:t>
                  </w:r>
                </w:p>
              </w:tc>
              <w:tc>
                <w:tcPr>
                  <w:tcW w:w="415" w:type="pct"/>
                  <w:vMerge w:val="continue"/>
                  <w:vAlign w:val="center"/>
                </w:tcPr>
                <w:p w14:paraId="7504E462">
                  <w:pPr>
                    <w:jc w:val="center"/>
                    <w:rPr>
                      <w:color w:val="auto"/>
                      <w:szCs w:val="21"/>
                      <w:highlight w:val="none"/>
                    </w:rPr>
                  </w:pPr>
                </w:p>
              </w:tc>
              <w:tc>
                <w:tcPr>
                  <w:tcW w:w="445" w:type="pct"/>
                  <w:vMerge w:val="continue"/>
                  <w:tcBorders>
                    <w:right w:val="nil"/>
                  </w:tcBorders>
                  <w:vAlign w:val="center"/>
                </w:tcPr>
                <w:p w14:paraId="57BA8287">
                  <w:pPr>
                    <w:jc w:val="center"/>
                    <w:rPr>
                      <w:color w:val="auto"/>
                      <w:szCs w:val="21"/>
                      <w:highlight w:val="none"/>
                    </w:rPr>
                  </w:pPr>
                </w:p>
              </w:tc>
            </w:tr>
            <w:tr w14:paraId="167A703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90" w:hRule="atLeast"/>
                <w:jc w:val="center"/>
              </w:trPr>
              <w:tc>
                <w:tcPr>
                  <w:tcW w:w="433" w:type="pct"/>
                  <w:vMerge w:val="restart"/>
                  <w:tcBorders>
                    <w:left w:val="nil"/>
                  </w:tcBorders>
                  <w:vAlign w:val="center"/>
                </w:tcPr>
                <w:p w14:paraId="749FD737">
                  <w:pPr>
                    <w:adjustRightInd w:val="0"/>
                    <w:snapToGrid w:val="0"/>
                    <w:jc w:val="center"/>
                    <w:rPr>
                      <w:color w:val="auto"/>
                      <w:szCs w:val="21"/>
                      <w:highlight w:val="none"/>
                    </w:rPr>
                  </w:pPr>
                  <w:r>
                    <w:rPr>
                      <w:color w:val="auto"/>
                      <w:szCs w:val="21"/>
                      <w:highlight w:val="none"/>
                    </w:rPr>
                    <w:t>DA00</w:t>
                  </w:r>
                  <w:r>
                    <w:rPr>
                      <w:rFonts w:hint="eastAsia"/>
                      <w:color w:val="auto"/>
                      <w:szCs w:val="21"/>
                      <w:highlight w:val="none"/>
                    </w:rPr>
                    <w:t>1</w:t>
                  </w:r>
                </w:p>
              </w:tc>
              <w:tc>
                <w:tcPr>
                  <w:tcW w:w="521" w:type="pct"/>
                  <w:vMerge w:val="restart"/>
                  <w:vAlign w:val="center"/>
                </w:tcPr>
                <w:p w14:paraId="33103EF6">
                  <w:pPr>
                    <w:jc w:val="center"/>
                    <w:rPr>
                      <w:color w:val="auto"/>
                      <w:szCs w:val="21"/>
                      <w:highlight w:val="none"/>
                    </w:rPr>
                  </w:pPr>
                  <w:r>
                    <w:rPr>
                      <w:rFonts w:hint="eastAsia"/>
                      <w:color w:val="auto"/>
                      <w:szCs w:val="21"/>
                      <w:highlight w:val="none"/>
                    </w:rPr>
                    <w:t>污水站恶臭气体</w:t>
                  </w:r>
                </w:p>
              </w:tc>
              <w:tc>
                <w:tcPr>
                  <w:tcW w:w="642" w:type="pct"/>
                  <w:vAlign w:val="center"/>
                </w:tcPr>
                <w:p w14:paraId="114C1F17">
                  <w:pPr>
                    <w:widowControl/>
                    <w:jc w:val="center"/>
                    <w:rPr>
                      <w:color w:val="auto"/>
                      <w:szCs w:val="21"/>
                      <w:highlight w:val="none"/>
                    </w:rPr>
                  </w:pPr>
                  <w:r>
                    <w:rPr>
                      <w:color w:val="auto"/>
                      <w:spacing w:val="-2"/>
                      <w:szCs w:val="21"/>
                      <w:highlight w:val="none"/>
                    </w:rPr>
                    <w:t>NH</w:t>
                  </w:r>
                  <w:r>
                    <w:rPr>
                      <w:color w:val="auto"/>
                      <w:spacing w:val="-2"/>
                      <w:szCs w:val="21"/>
                      <w:highlight w:val="none"/>
                      <w:vertAlign w:val="subscript"/>
                    </w:rPr>
                    <w:t>3</w:t>
                  </w:r>
                </w:p>
              </w:tc>
              <w:tc>
                <w:tcPr>
                  <w:tcW w:w="509" w:type="pct"/>
                  <w:vMerge w:val="restart"/>
                  <w:vAlign w:val="center"/>
                </w:tcPr>
                <w:p w14:paraId="30515FEB">
                  <w:pPr>
                    <w:overflowPunct w:val="0"/>
                    <w:adjustRightInd w:val="0"/>
                    <w:snapToGrid w:val="0"/>
                    <w:ind w:firstLine="4"/>
                    <w:jc w:val="center"/>
                    <w:textAlignment w:val="baseline"/>
                    <w:rPr>
                      <w:color w:val="auto"/>
                      <w:szCs w:val="21"/>
                      <w:highlight w:val="none"/>
                    </w:rPr>
                  </w:pPr>
                  <w:r>
                    <w:rPr>
                      <w:rFonts w:hint="eastAsia"/>
                      <w:color w:val="auto"/>
                      <w:szCs w:val="21"/>
                      <w:highlight w:val="none"/>
                    </w:rPr>
                    <w:t>处理设施失效</w:t>
                  </w:r>
                </w:p>
              </w:tc>
              <w:tc>
                <w:tcPr>
                  <w:tcW w:w="415" w:type="pct"/>
                  <w:vAlign w:val="center"/>
                </w:tcPr>
                <w:p w14:paraId="3CD97471">
                  <w:pPr>
                    <w:overflowPunct w:val="0"/>
                    <w:adjustRightInd w:val="0"/>
                    <w:snapToGrid w:val="0"/>
                    <w:ind w:firstLine="4"/>
                    <w:jc w:val="center"/>
                    <w:textAlignment w:val="baseline"/>
                    <w:rPr>
                      <w:color w:val="auto"/>
                      <w:kern w:val="0"/>
                      <w:szCs w:val="21"/>
                      <w:highlight w:val="none"/>
                    </w:rPr>
                  </w:pPr>
                  <w:r>
                    <w:rPr>
                      <w:rFonts w:hint="eastAsia"/>
                      <w:color w:val="auto"/>
                      <w:kern w:val="0"/>
                      <w:szCs w:val="21"/>
                      <w:highlight w:val="none"/>
                    </w:rPr>
                    <w:t>0</w:t>
                  </w:r>
                </w:p>
              </w:tc>
              <w:tc>
                <w:tcPr>
                  <w:tcW w:w="594" w:type="pct"/>
                  <w:vAlign w:val="center"/>
                </w:tcPr>
                <w:p w14:paraId="7D54E41F">
                  <w:pPr>
                    <w:jc w:val="center"/>
                    <w:rPr>
                      <w:color w:val="auto"/>
                      <w:szCs w:val="21"/>
                      <w:highlight w:val="none"/>
                    </w:rPr>
                  </w:pPr>
                  <w:r>
                    <w:rPr>
                      <w:rFonts w:hint="eastAsia"/>
                      <w:color w:val="auto"/>
                      <w:szCs w:val="21"/>
                      <w:highlight w:val="none"/>
                    </w:rPr>
                    <w:t>0.0004</w:t>
                  </w:r>
                </w:p>
              </w:tc>
              <w:tc>
                <w:tcPr>
                  <w:tcW w:w="503" w:type="pct"/>
                  <w:vAlign w:val="center"/>
                </w:tcPr>
                <w:p w14:paraId="3CC067A2">
                  <w:pPr>
                    <w:jc w:val="center"/>
                    <w:rPr>
                      <w:color w:val="auto"/>
                      <w:szCs w:val="21"/>
                      <w:highlight w:val="none"/>
                    </w:rPr>
                  </w:pPr>
                  <w:r>
                    <w:rPr>
                      <w:rFonts w:hint="eastAsia"/>
                      <w:color w:val="auto"/>
                      <w:szCs w:val="21"/>
                      <w:highlight w:val="none"/>
                    </w:rPr>
                    <w:t>1.48</w:t>
                  </w:r>
                </w:p>
              </w:tc>
              <w:tc>
                <w:tcPr>
                  <w:tcW w:w="519" w:type="pct"/>
                  <w:vAlign w:val="center"/>
                </w:tcPr>
                <w:p w14:paraId="3C547AC2">
                  <w:pPr>
                    <w:jc w:val="center"/>
                    <w:rPr>
                      <w:color w:val="auto"/>
                      <w:szCs w:val="21"/>
                      <w:highlight w:val="none"/>
                    </w:rPr>
                  </w:pPr>
                  <w:r>
                    <w:rPr>
                      <w:rFonts w:hint="eastAsia"/>
                      <w:color w:val="auto"/>
                      <w:szCs w:val="21"/>
                      <w:highlight w:val="none"/>
                    </w:rPr>
                    <w:t>/</w:t>
                  </w:r>
                </w:p>
              </w:tc>
              <w:tc>
                <w:tcPr>
                  <w:tcW w:w="415" w:type="pct"/>
                  <w:vAlign w:val="center"/>
                </w:tcPr>
                <w:p w14:paraId="0FF63434">
                  <w:pPr>
                    <w:jc w:val="center"/>
                    <w:rPr>
                      <w:color w:val="auto"/>
                      <w:szCs w:val="21"/>
                      <w:highlight w:val="none"/>
                    </w:rPr>
                  </w:pPr>
                  <w:r>
                    <w:rPr>
                      <w:color w:val="auto"/>
                      <w:szCs w:val="21"/>
                      <w:highlight w:val="none"/>
                    </w:rPr>
                    <w:t>1h</w:t>
                  </w:r>
                </w:p>
              </w:tc>
              <w:tc>
                <w:tcPr>
                  <w:tcW w:w="445" w:type="pct"/>
                  <w:tcBorders>
                    <w:right w:val="nil"/>
                  </w:tcBorders>
                  <w:vAlign w:val="center"/>
                </w:tcPr>
                <w:p w14:paraId="733D6C8E">
                  <w:pPr>
                    <w:jc w:val="center"/>
                    <w:rPr>
                      <w:color w:val="auto"/>
                      <w:szCs w:val="21"/>
                      <w:highlight w:val="none"/>
                    </w:rPr>
                  </w:pPr>
                  <w:r>
                    <w:rPr>
                      <w:color w:val="auto"/>
                      <w:szCs w:val="21"/>
                      <w:highlight w:val="none"/>
                    </w:rPr>
                    <w:t>1次/年</w:t>
                  </w:r>
                </w:p>
              </w:tc>
            </w:tr>
            <w:tr w14:paraId="21B6E3A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90" w:hRule="atLeast"/>
                <w:jc w:val="center"/>
              </w:trPr>
              <w:tc>
                <w:tcPr>
                  <w:tcW w:w="433" w:type="pct"/>
                  <w:vMerge w:val="continue"/>
                  <w:tcBorders>
                    <w:left w:val="nil"/>
                  </w:tcBorders>
                  <w:vAlign w:val="center"/>
                </w:tcPr>
                <w:p w14:paraId="72306FF5">
                  <w:pPr>
                    <w:adjustRightInd w:val="0"/>
                    <w:snapToGrid w:val="0"/>
                    <w:jc w:val="center"/>
                    <w:rPr>
                      <w:color w:val="auto"/>
                      <w:szCs w:val="21"/>
                      <w:highlight w:val="none"/>
                    </w:rPr>
                  </w:pPr>
                </w:p>
              </w:tc>
              <w:tc>
                <w:tcPr>
                  <w:tcW w:w="521" w:type="pct"/>
                  <w:vMerge w:val="continue"/>
                  <w:vAlign w:val="center"/>
                </w:tcPr>
                <w:p w14:paraId="4743F2C1">
                  <w:pPr>
                    <w:jc w:val="center"/>
                    <w:rPr>
                      <w:color w:val="auto"/>
                      <w:szCs w:val="21"/>
                      <w:highlight w:val="none"/>
                    </w:rPr>
                  </w:pPr>
                </w:p>
              </w:tc>
              <w:tc>
                <w:tcPr>
                  <w:tcW w:w="642" w:type="pct"/>
                  <w:vAlign w:val="center"/>
                </w:tcPr>
                <w:p w14:paraId="14C4AD8F">
                  <w:pPr>
                    <w:widowControl/>
                    <w:jc w:val="center"/>
                    <w:rPr>
                      <w:color w:val="auto"/>
                      <w:szCs w:val="21"/>
                      <w:highlight w:val="none"/>
                    </w:rPr>
                  </w:pPr>
                  <w:r>
                    <w:rPr>
                      <w:color w:val="auto"/>
                      <w:spacing w:val="-2"/>
                      <w:szCs w:val="21"/>
                      <w:highlight w:val="none"/>
                    </w:rPr>
                    <w:t>H</w:t>
                  </w:r>
                  <w:r>
                    <w:rPr>
                      <w:color w:val="auto"/>
                      <w:spacing w:val="-2"/>
                      <w:szCs w:val="21"/>
                      <w:highlight w:val="none"/>
                      <w:vertAlign w:val="subscript"/>
                    </w:rPr>
                    <w:t>2</w:t>
                  </w:r>
                  <w:r>
                    <w:rPr>
                      <w:color w:val="auto"/>
                      <w:spacing w:val="-2"/>
                      <w:szCs w:val="21"/>
                      <w:highlight w:val="none"/>
                    </w:rPr>
                    <w:t>S</w:t>
                  </w:r>
                </w:p>
              </w:tc>
              <w:tc>
                <w:tcPr>
                  <w:tcW w:w="509" w:type="pct"/>
                  <w:vMerge w:val="continue"/>
                  <w:vAlign w:val="center"/>
                </w:tcPr>
                <w:p w14:paraId="5842F973">
                  <w:pPr>
                    <w:overflowPunct w:val="0"/>
                    <w:adjustRightInd w:val="0"/>
                    <w:snapToGrid w:val="0"/>
                    <w:ind w:firstLine="4"/>
                    <w:jc w:val="center"/>
                    <w:textAlignment w:val="baseline"/>
                    <w:rPr>
                      <w:color w:val="auto"/>
                      <w:szCs w:val="21"/>
                      <w:highlight w:val="none"/>
                    </w:rPr>
                  </w:pPr>
                </w:p>
              </w:tc>
              <w:tc>
                <w:tcPr>
                  <w:tcW w:w="415" w:type="pct"/>
                  <w:vAlign w:val="center"/>
                </w:tcPr>
                <w:p w14:paraId="1C689AF4">
                  <w:pPr>
                    <w:overflowPunct w:val="0"/>
                    <w:adjustRightInd w:val="0"/>
                    <w:snapToGrid w:val="0"/>
                    <w:ind w:firstLine="4"/>
                    <w:jc w:val="center"/>
                    <w:textAlignment w:val="baseline"/>
                    <w:rPr>
                      <w:color w:val="auto"/>
                      <w:kern w:val="0"/>
                      <w:szCs w:val="21"/>
                      <w:highlight w:val="none"/>
                    </w:rPr>
                  </w:pPr>
                  <w:r>
                    <w:rPr>
                      <w:rFonts w:hint="eastAsia"/>
                      <w:color w:val="auto"/>
                      <w:kern w:val="0"/>
                      <w:szCs w:val="21"/>
                      <w:highlight w:val="none"/>
                    </w:rPr>
                    <w:t>0</w:t>
                  </w:r>
                </w:p>
              </w:tc>
              <w:tc>
                <w:tcPr>
                  <w:tcW w:w="594" w:type="pct"/>
                  <w:vAlign w:val="center"/>
                </w:tcPr>
                <w:p w14:paraId="740D44E0">
                  <w:pPr>
                    <w:jc w:val="center"/>
                    <w:rPr>
                      <w:color w:val="auto"/>
                      <w:szCs w:val="21"/>
                      <w:highlight w:val="none"/>
                    </w:rPr>
                  </w:pPr>
                  <w:r>
                    <w:rPr>
                      <w:color w:val="auto"/>
                      <w:szCs w:val="21"/>
                      <w:highlight w:val="none"/>
                    </w:rPr>
                    <w:t>1.</w:t>
                  </w:r>
                  <w:r>
                    <w:rPr>
                      <w:rFonts w:hint="eastAsia"/>
                      <w:color w:val="auto"/>
                      <w:szCs w:val="21"/>
                      <w:highlight w:val="none"/>
                    </w:rPr>
                    <w:t>57</w:t>
                  </w:r>
                  <w:r>
                    <w:rPr>
                      <w:color w:val="auto"/>
                      <w:szCs w:val="21"/>
                      <w:highlight w:val="none"/>
                    </w:rPr>
                    <w:t>×10</w:t>
                  </w:r>
                  <w:r>
                    <w:rPr>
                      <w:color w:val="auto"/>
                      <w:szCs w:val="21"/>
                      <w:highlight w:val="none"/>
                      <w:vertAlign w:val="superscript"/>
                    </w:rPr>
                    <w:t>-5</w:t>
                  </w:r>
                </w:p>
              </w:tc>
              <w:tc>
                <w:tcPr>
                  <w:tcW w:w="503" w:type="pct"/>
                  <w:vAlign w:val="center"/>
                </w:tcPr>
                <w:p w14:paraId="3C183518">
                  <w:pPr>
                    <w:jc w:val="center"/>
                    <w:rPr>
                      <w:color w:val="auto"/>
                      <w:szCs w:val="21"/>
                      <w:highlight w:val="none"/>
                    </w:rPr>
                  </w:pPr>
                  <w:r>
                    <w:rPr>
                      <w:rFonts w:hint="eastAsia"/>
                      <w:color w:val="auto"/>
                      <w:szCs w:val="21"/>
                      <w:highlight w:val="none"/>
                    </w:rPr>
                    <w:t>0.057</w:t>
                  </w:r>
                </w:p>
              </w:tc>
              <w:tc>
                <w:tcPr>
                  <w:tcW w:w="519" w:type="pct"/>
                  <w:vAlign w:val="center"/>
                </w:tcPr>
                <w:p w14:paraId="07B9ACF8">
                  <w:pPr>
                    <w:jc w:val="center"/>
                    <w:rPr>
                      <w:color w:val="auto"/>
                      <w:szCs w:val="21"/>
                      <w:highlight w:val="none"/>
                    </w:rPr>
                  </w:pPr>
                  <w:r>
                    <w:rPr>
                      <w:rFonts w:hint="eastAsia"/>
                      <w:color w:val="auto"/>
                      <w:szCs w:val="21"/>
                      <w:highlight w:val="none"/>
                    </w:rPr>
                    <w:t>/</w:t>
                  </w:r>
                </w:p>
              </w:tc>
              <w:tc>
                <w:tcPr>
                  <w:tcW w:w="415" w:type="pct"/>
                  <w:vAlign w:val="center"/>
                </w:tcPr>
                <w:p w14:paraId="792D5200">
                  <w:pPr>
                    <w:jc w:val="center"/>
                    <w:rPr>
                      <w:color w:val="auto"/>
                      <w:szCs w:val="21"/>
                      <w:highlight w:val="none"/>
                    </w:rPr>
                  </w:pPr>
                  <w:r>
                    <w:rPr>
                      <w:color w:val="auto"/>
                      <w:szCs w:val="21"/>
                      <w:highlight w:val="none"/>
                    </w:rPr>
                    <w:t>1h</w:t>
                  </w:r>
                </w:p>
              </w:tc>
              <w:tc>
                <w:tcPr>
                  <w:tcW w:w="445" w:type="pct"/>
                  <w:tcBorders>
                    <w:right w:val="nil"/>
                  </w:tcBorders>
                  <w:vAlign w:val="center"/>
                </w:tcPr>
                <w:p w14:paraId="5AAFB4C6">
                  <w:pPr>
                    <w:jc w:val="center"/>
                    <w:rPr>
                      <w:color w:val="auto"/>
                      <w:szCs w:val="21"/>
                      <w:highlight w:val="none"/>
                    </w:rPr>
                  </w:pPr>
                  <w:r>
                    <w:rPr>
                      <w:color w:val="auto"/>
                      <w:szCs w:val="21"/>
                      <w:highlight w:val="none"/>
                    </w:rPr>
                    <w:t>1次/年</w:t>
                  </w:r>
                </w:p>
              </w:tc>
            </w:tr>
            <w:tr w14:paraId="07B17AF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90" w:hRule="atLeast"/>
                <w:jc w:val="center"/>
              </w:trPr>
              <w:tc>
                <w:tcPr>
                  <w:tcW w:w="433" w:type="pct"/>
                  <w:vMerge w:val="continue"/>
                  <w:tcBorders>
                    <w:left w:val="nil"/>
                  </w:tcBorders>
                  <w:vAlign w:val="center"/>
                </w:tcPr>
                <w:p w14:paraId="004746D9">
                  <w:pPr>
                    <w:adjustRightInd w:val="0"/>
                    <w:snapToGrid w:val="0"/>
                    <w:jc w:val="center"/>
                    <w:rPr>
                      <w:color w:val="auto"/>
                      <w:szCs w:val="21"/>
                      <w:highlight w:val="none"/>
                    </w:rPr>
                  </w:pPr>
                </w:p>
              </w:tc>
              <w:tc>
                <w:tcPr>
                  <w:tcW w:w="521" w:type="pct"/>
                  <w:vMerge w:val="continue"/>
                  <w:vAlign w:val="center"/>
                </w:tcPr>
                <w:p w14:paraId="49759E84">
                  <w:pPr>
                    <w:jc w:val="center"/>
                    <w:rPr>
                      <w:color w:val="auto"/>
                      <w:szCs w:val="21"/>
                      <w:highlight w:val="none"/>
                    </w:rPr>
                  </w:pPr>
                </w:p>
              </w:tc>
              <w:tc>
                <w:tcPr>
                  <w:tcW w:w="642" w:type="pct"/>
                  <w:vAlign w:val="center"/>
                </w:tcPr>
                <w:p w14:paraId="404F03D3">
                  <w:pPr>
                    <w:jc w:val="center"/>
                    <w:rPr>
                      <w:color w:val="auto"/>
                      <w:szCs w:val="21"/>
                      <w:highlight w:val="none"/>
                    </w:rPr>
                  </w:pPr>
                  <w:r>
                    <w:rPr>
                      <w:rFonts w:hint="eastAsia"/>
                      <w:color w:val="auto"/>
                      <w:szCs w:val="21"/>
                      <w:highlight w:val="none"/>
                    </w:rPr>
                    <w:t>臭气浓度</w:t>
                  </w:r>
                </w:p>
              </w:tc>
              <w:tc>
                <w:tcPr>
                  <w:tcW w:w="509" w:type="pct"/>
                  <w:vMerge w:val="continue"/>
                  <w:vAlign w:val="center"/>
                </w:tcPr>
                <w:p w14:paraId="32527DA9">
                  <w:pPr>
                    <w:overflowPunct w:val="0"/>
                    <w:adjustRightInd w:val="0"/>
                    <w:snapToGrid w:val="0"/>
                    <w:ind w:firstLine="4"/>
                    <w:jc w:val="center"/>
                    <w:textAlignment w:val="baseline"/>
                    <w:rPr>
                      <w:color w:val="auto"/>
                      <w:szCs w:val="21"/>
                      <w:highlight w:val="none"/>
                    </w:rPr>
                  </w:pPr>
                </w:p>
              </w:tc>
              <w:tc>
                <w:tcPr>
                  <w:tcW w:w="415" w:type="pct"/>
                  <w:vAlign w:val="center"/>
                </w:tcPr>
                <w:p w14:paraId="21AB853A">
                  <w:pPr>
                    <w:overflowPunct w:val="0"/>
                    <w:adjustRightInd w:val="0"/>
                    <w:snapToGrid w:val="0"/>
                    <w:ind w:firstLine="4"/>
                    <w:jc w:val="center"/>
                    <w:textAlignment w:val="baseline"/>
                    <w:rPr>
                      <w:color w:val="auto"/>
                      <w:kern w:val="0"/>
                      <w:szCs w:val="21"/>
                      <w:highlight w:val="none"/>
                    </w:rPr>
                  </w:pPr>
                  <w:r>
                    <w:rPr>
                      <w:rFonts w:hint="eastAsia"/>
                      <w:color w:val="auto"/>
                      <w:kern w:val="0"/>
                      <w:szCs w:val="21"/>
                      <w:highlight w:val="none"/>
                    </w:rPr>
                    <w:t>0</w:t>
                  </w:r>
                </w:p>
              </w:tc>
              <w:tc>
                <w:tcPr>
                  <w:tcW w:w="594" w:type="pct"/>
                  <w:vAlign w:val="center"/>
                </w:tcPr>
                <w:p w14:paraId="4C22CAD3">
                  <w:pPr>
                    <w:jc w:val="center"/>
                    <w:rPr>
                      <w:color w:val="auto"/>
                      <w:szCs w:val="21"/>
                      <w:highlight w:val="none"/>
                    </w:rPr>
                  </w:pPr>
                  <w:r>
                    <w:rPr>
                      <w:rFonts w:hint="eastAsia"/>
                      <w:color w:val="auto"/>
                      <w:szCs w:val="21"/>
                      <w:highlight w:val="none"/>
                    </w:rPr>
                    <w:t>/</w:t>
                  </w:r>
                </w:p>
              </w:tc>
              <w:tc>
                <w:tcPr>
                  <w:tcW w:w="503" w:type="pct"/>
                  <w:vAlign w:val="center"/>
                </w:tcPr>
                <w:p w14:paraId="6DCBE8CD">
                  <w:pPr>
                    <w:jc w:val="center"/>
                    <w:rPr>
                      <w:color w:val="auto"/>
                      <w:szCs w:val="21"/>
                      <w:highlight w:val="none"/>
                    </w:rPr>
                  </w:pPr>
                  <w:r>
                    <w:rPr>
                      <w:rFonts w:hint="eastAsia"/>
                      <w:color w:val="auto"/>
                      <w:szCs w:val="21"/>
                      <w:highlight w:val="none"/>
                    </w:rPr>
                    <w:t>/</w:t>
                  </w:r>
                </w:p>
              </w:tc>
              <w:tc>
                <w:tcPr>
                  <w:tcW w:w="519" w:type="pct"/>
                  <w:vAlign w:val="center"/>
                </w:tcPr>
                <w:p w14:paraId="42AEECBF">
                  <w:pPr>
                    <w:jc w:val="center"/>
                    <w:rPr>
                      <w:color w:val="auto"/>
                      <w:szCs w:val="21"/>
                      <w:highlight w:val="none"/>
                    </w:rPr>
                  </w:pPr>
                  <w:r>
                    <w:rPr>
                      <w:rFonts w:hint="eastAsia"/>
                      <w:color w:val="auto"/>
                      <w:szCs w:val="21"/>
                      <w:highlight w:val="none"/>
                    </w:rPr>
                    <w:t>663（无量纲）</w:t>
                  </w:r>
                </w:p>
              </w:tc>
              <w:tc>
                <w:tcPr>
                  <w:tcW w:w="415" w:type="pct"/>
                  <w:vAlign w:val="center"/>
                </w:tcPr>
                <w:p w14:paraId="4BBD20FF">
                  <w:pPr>
                    <w:jc w:val="center"/>
                    <w:rPr>
                      <w:color w:val="auto"/>
                      <w:szCs w:val="21"/>
                      <w:highlight w:val="none"/>
                    </w:rPr>
                  </w:pPr>
                  <w:r>
                    <w:rPr>
                      <w:color w:val="auto"/>
                      <w:szCs w:val="21"/>
                      <w:highlight w:val="none"/>
                    </w:rPr>
                    <w:t>1h</w:t>
                  </w:r>
                </w:p>
              </w:tc>
              <w:tc>
                <w:tcPr>
                  <w:tcW w:w="445" w:type="pct"/>
                  <w:tcBorders>
                    <w:right w:val="nil"/>
                  </w:tcBorders>
                  <w:vAlign w:val="center"/>
                </w:tcPr>
                <w:p w14:paraId="31A7A6A9">
                  <w:pPr>
                    <w:jc w:val="center"/>
                    <w:rPr>
                      <w:color w:val="auto"/>
                      <w:szCs w:val="21"/>
                      <w:highlight w:val="none"/>
                    </w:rPr>
                  </w:pPr>
                  <w:r>
                    <w:rPr>
                      <w:color w:val="auto"/>
                      <w:szCs w:val="21"/>
                      <w:highlight w:val="none"/>
                    </w:rPr>
                    <w:t>1次/年</w:t>
                  </w:r>
                </w:p>
              </w:tc>
            </w:tr>
            <w:tr w14:paraId="4FE9D1E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90" w:hRule="atLeast"/>
                <w:jc w:val="center"/>
              </w:trPr>
              <w:tc>
                <w:tcPr>
                  <w:tcW w:w="433" w:type="pct"/>
                  <w:tcBorders>
                    <w:left w:val="nil"/>
                    <w:bottom w:val="single" w:color="auto" w:sz="12" w:space="0"/>
                  </w:tcBorders>
                  <w:vAlign w:val="center"/>
                </w:tcPr>
                <w:p w14:paraId="3EC5FEFD">
                  <w:pPr>
                    <w:adjustRightInd w:val="0"/>
                    <w:snapToGrid w:val="0"/>
                    <w:jc w:val="center"/>
                    <w:rPr>
                      <w:rFonts w:hint="eastAsia" w:eastAsia="宋体"/>
                      <w:color w:val="auto"/>
                      <w:szCs w:val="21"/>
                      <w:highlight w:val="none"/>
                      <w:lang w:eastAsia="zh-CN"/>
                    </w:rPr>
                  </w:pPr>
                  <w:r>
                    <w:rPr>
                      <w:rFonts w:hint="eastAsia"/>
                      <w:color w:val="auto"/>
                      <w:szCs w:val="21"/>
                      <w:highlight w:val="none"/>
                    </w:rPr>
                    <w:t>DA00</w:t>
                  </w:r>
                  <w:r>
                    <w:rPr>
                      <w:rFonts w:hint="eastAsia"/>
                      <w:color w:val="auto"/>
                      <w:szCs w:val="21"/>
                      <w:highlight w:val="none"/>
                      <w:lang w:val="en-US" w:eastAsia="zh-CN"/>
                    </w:rPr>
                    <w:t>2</w:t>
                  </w:r>
                </w:p>
              </w:tc>
              <w:tc>
                <w:tcPr>
                  <w:tcW w:w="521" w:type="pct"/>
                  <w:tcBorders>
                    <w:bottom w:val="single" w:color="auto" w:sz="12" w:space="0"/>
                  </w:tcBorders>
                  <w:vAlign w:val="center"/>
                </w:tcPr>
                <w:p w14:paraId="4CD3F36C">
                  <w:pPr>
                    <w:jc w:val="center"/>
                    <w:rPr>
                      <w:color w:val="auto"/>
                      <w:szCs w:val="21"/>
                      <w:highlight w:val="none"/>
                    </w:rPr>
                  </w:pPr>
                  <w:r>
                    <w:rPr>
                      <w:rFonts w:hint="eastAsia"/>
                      <w:color w:val="auto"/>
                      <w:szCs w:val="21"/>
                      <w:highlight w:val="none"/>
                    </w:rPr>
                    <w:t>食堂油烟</w:t>
                  </w:r>
                </w:p>
              </w:tc>
              <w:tc>
                <w:tcPr>
                  <w:tcW w:w="642" w:type="pct"/>
                  <w:tcBorders>
                    <w:bottom w:val="single" w:color="auto" w:sz="12" w:space="0"/>
                  </w:tcBorders>
                  <w:vAlign w:val="center"/>
                </w:tcPr>
                <w:p w14:paraId="7A2E42F5">
                  <w:pPr>
                    <w:jc w:val="center"/>
                    <w:rPr>
                      <w:color w:val="auto"/>
                      <w:szCs w:val="21"/>
                      <w:highlight w:val="none"/>
                    </w:rPr>
                  </w:pPr>
                  <w:r>
                    <w:rPr>
                      <w:rFonts w:hint="eastAsia"/>
                      <w:color w:val="auto"/>
                      <w:szCs w:val="21"/>
                      <w:highlight w:val="none"/>
                    </w:rPr>
                    <w:t>食堂油烟</w:t>
                  </w:r>
                </w:p>
              </w:tc>
              <w:tc>
                <w:tcPr>
                  <w:tcW w:w="509" w:type="pct"/>
                  <w:vMerge w:val="continue"/>
                  <w:tcBorders>
                    <w:bottom w:val="single" w:color="auto" w:sz="12" w:space="0"/>
                  </w:tcBorders>
                  <w:vAlign w:val="center"/>
                </w:tcPr>
                <w:p w14:paraId="5BCBB134">
                  <w:pPr>
                    <w:overflowPunct w:val="0"/>
                    <w:adjustRightInd w:val="0"/>
                    <w:snapToGrid w:val="0"/>
                    <w:ind w:firstLine="4"/>
                    <w:jc w:val="center"/>
                    <w:textAlignment w:val="baseline"/>
                    <w:rPr>
                      <w:color w:val="auto"/>
                      <w:szCs w:val="21"/>
                      <w:highlight w:val="none"/>
                    </w:rPr>
                  </w:pPr>
                </w:p>
              </w:tc>
              <w:tc>
                <w:tcPr>
                  <w:tcW w:w="415" w:type="pct"/>
                  <w:tcBorders>
                    <w:bottom w:val="single" w:color="auto" w:sz="12" w:space="0"/>
                  </w:tcBorders>
                  <w:vAlign w:val="center"/>
                </w:tcPr>
                <w:p w14:paraId="305A1001">
                  <w:pPr>
                    <w:overflowPunct w:val="0"/>
                    <w:adjustRightInd w:val="0"/>
                    <w:snapToGrid w:val="0"/>
                    <w:ind w:firstLine="4"/>
                    <w:jc w:val="center"/>
                    <w:textAlignment w:val="baseline"/>
                    <w:rPr>
                      <w:color w:val="auto"/>
                      <w:kern w:val="0"/>
                      <w:szCs w:val="21"/>
                      <w:highlight w:val="none"/>
                    </w:rPr>
                  </w:pPr>
                  <w:r>
                    <w:rPr>
                      <w:rFonts w:hint="eastAsia"/>
                      <w:color w:val="auto"/>
                      <w:kern w:val="0"/>
                      <w:szCs w:val="21"/>
                      <w:highlight w:val="none"/>
                    </w:rPr>
                    <w:t>0</w:t>
                  </w:r>
                </w:p>
              </w:tc>
              <w:tc>
                <w:tcPr>
                  <w:tcW w:w="594" w:type="pct"/>
                  <w:tcBorders>
                    <w:bottom w:val="single" w:color="auto" w:sz="12" w:space="0"/>
                  </w:tcBorders>
                  <w:vAlign w:val="center"/>
                </w:tcPr>
                <w:p w14:paraId="0A24B05D">
                  <w:pPr>
                    <w:jc w:val="center"/>
                    <w:rPr>
                      <w:color w:val="auto"/>
                      <w:szCs w:val="21"/>
                      <w:highlight w:val="none"/>
                    </w:rPr>
                  </w:pPr>
                  <w:r>
                    <w:rPr>
                      <w:rFonts w:hint="eastAsia"/>
                      <w:color w:val="auto"/>
                      <w:szCs w:val="21"/>
                      <w:highlight w:val="none"/>
                    </w:rPr>
                    <w:t>0.021</w:t>
                  </w:r>
                </w:p>
              </w:tc>
              <w:tc>
                <w:tcPr>
                  <w:tcW w:w="503" w:type="pct"/>
                  <w:tcBorders>
                    <w:bottom w:val="single" w:color="auto" w:sz="12" w:space="0"/>
                  </w:tcBorders>
                  <w:vAlign w:val="center"/>
                </w:tcPr>
                <w:p w14:paraId="3C8E8387">
                  <w:pPr>
                    <w:jc w:val="center"/>
                    <w:rPr>
                      <w:color w:val="auto"/>
                      <w:szCs w:val="21"/>
                      <w:highlight w:val="none"/>
                    </w:rPr>
                  </w:pPr>
                  <w:r>
                    <w:rPr>
                      <w:rFonts w:hint="eastAsia"/>
                      <w:color w:val="auto"/>
                      <w:szCs w:val="21"/>
                      <w:highlight w:val="none"/>
                    </w:rPr>
                    <w:t>11.5</w:t>
                  </w:r>
                </w:p>
              </w:tc>
              <w:tc>
                <w:tcPr>
                  <w:tcW w:w="519" w:type="pct"/>
                  <w:tcBorders>
                    <w:bottom w:val="single" w:color="auto" w:sz="12" w:space="0"/>
                  </w:tcBorders>
                  <w:vAlign w:val="center"/>
                </w:tcPr>
                <w:p w14:paraId="42589E2C">
                  <w:pPr>
                    <w:jc w:val="center"/>
                    <w:rPr>
                      <w:color w:val="auto"/>
                      <w:szCs w:val="21"/>
                      <w:highlight w:val="none"/>
                    </w:rPr>
                  </w:pPr>
                  <w:r>
                    <w:rPr>
                      <w:rFonts w:hint="eastAsia"/>
                      <w:color w:val="auto"/>
                      <w:szCs w:val="21"/>
                      <w:highlight w:val="none"/>
                    </w:rPr>
                    <w:t>4.2</w:t>
                  </w:r>
                </w:p>
              </w:tc>
              <w:tc>
                <w:tcPr>
                  <w:tcW w:w="415" w:type="pct"/>
                  <w:tcBorders>
                    <w:bottom w:val="single" w:color="auto" w:sz="12" w:space="0"/>
                  </w:tcBorders>
                  <w:vAlign w:val="center"/>
                </w:tcPr>
                <w:p w14:paraId="5CB8C670">
                  <w:pPr>
                    <w:jc w:val="center"/>
                    <w:rPr>
                      <w:color w:val="auto"/>
                      <w:szCs w:val="21"/>
                      <w:highlight w:val="none"/>
                    </w:rPr>
                  </w:pPr>
                  <w:r>
                    <w:rPr>
                      <w:color w:val="auto"/>
                      <w:szCs w:val="21"/>
                      <w:highlight w:val="none"/>
                    </w:rPr>
                    <w:t>1h</w:t>
                  </w:r>
                </w:p>
              </w:tc>
              <w:tc>
                <w:tcPr>
                  <w:tcW w:w="445" w:type="pct"/>
                  <w:tcBorders>
                    <w:bottom w:val="single" w:color="auto" w:sz="12" w:space="0"/>
                    <w:right w:val="nil"/>
                  </w:tcBorders>
                  <w:vAlign w:val="center"/>
                </w:tcPr>
                <w:p w14:paraId="37A1A954">
                  <w:pPr>
                    <w:jc w:val="center"/>
                    <w:rPr>
                      <w:color w:val="auto"/>
                      <w:szCs w:val="21"/>
                      <w:highlight w:val="none"/>
                    </w:rPr>
                  </w:pPr>
                  <w:r>
                    <w:rPr>
                      <w:color w:val="auto"/>
                      <w:szCs w:val="21"/>
                      <w:highlight w:val="none"/>
                    </w:rPr>
                    <w:t>1次/年</w:t>
                  </w:r>
                </w:p>
              </w:tc>
            </w:tr>
          </w:tbl>
          <w:p w14:paraId="58269BAE">
            <w:pPr>
              <w:spacing w:line="360" w:lineRule="auto"/>
              <w:rPr>
                <w:color w:val="auto"/>
                <w:spacing w:val="-1"/>
                <w:sz w:val="24"/>
                <w:highlight w:val="none"/>
              </w:rPr>
            </w:pPr>
          </w:p>
        </w:tc>
      </w:tr>
      <w:bookmarkEnd w:id="36"/>
    </w:tbl>
    <w:p w14:paraId="1AB8150E">
      <w:pPr>
        <w:adjustRightInd w:val="0"/>
        <w:snapToGrid w:val="0"/>
        <w:jc w:val="center"/>
        <w:rPr>
          <w:bCs/>
          <w:color w:val="auto"/>
          <w:szCs w:val="21"/>
          <w:highlight w:val="none"/>
        </w:rPr>
      </w:pPr>
      <w:r>
        <w:rPr>
          <w:bCs/>
          <w:color w:val="auto"/>
          <w:szCs w:val="21"/>
          <w:highlight w:val="none"/>
        </w:rPr>
        <w:br w:type="page"/>
      </w:r>
    </w:p>
    <w:p w14:paraId="0FCB7423">
      <w:pPr>
        <w:adjustRightInd w:val="0"/>
        <w:snapToGrid w:val="0"/>
        <w:jc w:val="center"/>
        <w:rPr>
          <w:bCs/>
          <w:color w:val="auto"/>
          <w:szCs w:val="21"/>
          <w:highlight w:val="none"/>
        </w:rPr>
        <w:sectPr>
          <w:pgSz w:w="11907" w:h="16840"/>
          <w:pgMar w:top="1701" w:right="1531" w:bottom="2127" w:left="1531" w:header="851" w:footer="851" w:gutter="0"/>
          <w:cols w:space="720" w:num="1"/>
          <w:docGrid w:linePitch="312" w:charSpace="0"/>
        </w:sectPr>
      </w:pPr>
    </w:p>
    <w:tbl>
      <w:tblPr>
        <w:tblStyle w:val="2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7"/>
        <w:gridCol w:w="8634"/>
      </w:tblGrid>
      <w:tr w14:paraId="7700F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53" w:hRule="atLeast"/>
          <w:jc w:val="center"/>
        </w:trPr>
        <w:tc>
          <w:tcPr>
            <w:tcW w:w="347" w:type="dxa"/>
            <w:tcMar>
              <w:left w:w="28" w:type="dxa"/>
              <w:right w:w="28" w:type="dxa"/>
            </w:tcMar>
            <w:vAlign w:val="center"/>
          </w:tcPr>
          <w:p w14:paraId="2DFF488E">
            <w:pPr>
              <w:adjustRightInd w:val="0"/>
              <w:snapToGrid w:val="0"/>
              <w:jc w:val="center"/>
              <w:rPr>
                <w:bCs/>
                <w:color w:val="auto"/>
                <w:szCs w:val="21"/>
                <w:highlight w:val="none"/>
              </w:rPr>
            </w:pPr>
            <w:r>
              <w:rPr>
                <w:bCs/>
                <w:color w:val="auto"/>
                <w:szCs w:val="21"/>
                <w:highlight w:val="none"/>
              </w:rPr>
              <w:t>运营期环境影响和保护措施</w:t>
            </w:r>
          </w:p>
        </w:tc>
        <w:tc>
          <w:tcPr>
            <w:tcW w:w="8634" w:type="dxa"/>
            <w:vAlign w:val="center"/>
          </w:tcPr>
          <w:p w14:paraId="358F4707">
            <w:pPr>
              <w:widowControl/>
              <w:numPr>
                <w:ilvl w:val="255"/>
                <w:numId w:val="0"/>
              </w:numPr>
              <w:snapToGrid w:val="0"/>
              <w:spacing w:line="360" w:lineRule="auto"/>
              <w:ind w:firstLine="482" w:firstLineChars="200"/>
              <w:rPr>
                <w:b/>
                <w:bCs/>
                <w:color w:val="auto"/>
                <w:sz w:val="24"/>
                <w:highlight w:val="none"/>
              </w:rPr>
            </w:pPr>
            <w:r>
              <w:rPr>
                <w:b/>
                <w:bCs/>
                <w:color w:val="auto"/>
                <w:sz w:val="24"/>
                <w:highlight w:val="none"/>
              </w:rPr>
              <w:t>2.废水</w:t>
            </w:r>
          </w:p>
          <w:p w14:paraId="54A4B068">
            <w:pPr>
              <w:pStyle w:val="59"/>
              <w:snapToGrid w:val="0"/>
              <w:spacing w:beforeLines="0" w:afterLines="0" w:line="360" w:lineRule="auto"/>
              <w:ind w:firstLine="482" w:firstLineChars="200"/>
              <w:jc w:val="both"/>
              <w:rPr>
                <w:rFonts w:eastAsia="宋体"/>
                <w:snapToGrid w:val="0"/>
                <w:color w:val="auto"/>
                <w:highlight w:val="none"/>
              </w:rPr>
            </w:pPr>
            <w:r>
              <w:rPr>
                <w:rFonts w:eastAsia="宋体"/>
                <w:b/>
                <w:color w:val="auto"/>
                <w:highlight w:val="none"/>
              </w:rPr>
              <w:t>2.1废水产生情况</w:t>
            </w:r>
          </w:p>
          <w:p w14:paraId="4D106FF4">
            <w:pPr>
              <w:tabs>
                <w:tab w:val="left" w:pos="5550"/>
              </w:tabs>
              <w:spacing w:line="360" w:lineRule="auto"/>
              <w:ind w:firstLine="480" w:firstLineChars="200"/>
              <w:rPr>
                <w:color w:val="auto"/>
                <w:sz w:val="24"/>
                <w:highlight w:val="none"/>
              </w:rPr>
            </w:pPr>
            <w:r>
              <w:rPr>
                <w:snapToGrid w:val="0"/>
                <w:color w:val="auto"/>
                <w:sz w:val="24"/>
                <w:highlight w:val="none"/>
              </w:rPr>
              <w:t>本项目产生的废水主要为</w:t>
            </w:r>
            <w:r>
              <w:rPr>
                <w:color w:val="auto"/>
                <w:sz w:val="24"/>
                <w:highlight w:val="none"/>
              </w:rPr>
              <w:t>职工生活</w:t>
            </w:r>
            <w:r>
              <w:rPr>
                <w:rFonts w:hint="eastAsia"/>
                <w:color w:val="auto"/>
                <w:sz w:val="24"/>
                <w:highlight w:val="none"/>
              </w:rPr>
              <w:t>污</w:t>
            </w:r>
            <w:r>
              <w:rPr>
                <w:color w:val="auto"/>
                <w:sz w:val="24"/>
                <w:highlight w:val="none"/>
              </w:rPr>
              <w:t>水、住院病房</w:t>
            </w:r>
            <w:r>
              <w:rPr>
                <w:rFonts w:hint="eastAsia"/>
                <w:color w:val="auto"/>
                <w:sz w:val="24"/>
                <w:highlight w:val="none"/>
              </w:rPr>
              <w:t>废</w:t>
            </w:r>
            <w:r>
              <w:rPr>
                <w:color w:val="auto"/>
                <w:sz w:val="24"/>
                <w:highlight w:val="none"/>
              </w:rPr>
              <w:t>水、门诊患者</w:t>
            </w:r>
            <w:r>
              <w:rPr>
                <w:rFonts w:hint="eastAsia"/>
                <w:color w:val="auto"/>
                <w:sz w:val="24"/>
                <w:highlight w:val="none"/>
              </w:rPr>
              <w:t>废</w:t>
            </w:r>
            <w:r>
              <w:rPr>
                <w:color w:val="auto"/>
                <w:sz w:val="24"/>
                <w:highlight w:val="none"/>
              </w:rPr>
              <w:t>水、地面清洁</w:t>
            </w:r>
            <w:r>
              <w:rPr>
                <w:rFonts w:hint="eastAsia"/>
                <w:color w:val="auto"/>
                <w:sz w:val="24"/>
                <w:highlight w:val="none"/>
              </w:rPr>
              <w:t>废</w:t>
            </w:r>
            <w:r>
              <w:rPr>
                <w:color w:val="auto"/>
                <w:sz w:val="24"/>
                <w:highlight w:val="none"/>
              </w:rPr>
              <w:t>水、化验室</w:t>
            </w:r>
            <w:r>
              <w:rPr>
                <w:rFonts w:hint="eastAsia"/>
                <w:color w:val="auto"/>
                <w:sz w:val="24"/>
                <w:highlight w:val="none"/>
              </w:rPr>
              <w:t>废</w:t>
            </w:r>
            <w:r>
              <w:rPr>
                <w:color w:val="auto"/>
                <w:sz w:val="24"/>
                <w:highlight w:val="none"/>
              </w:rPr>
              <w:t>水、食堂</w:t>
            </w:r>
            <w:r>
              <w:rPr>
                <w:rFonts w:hint="eastAsia"/>
                <w:color w:val="auto"/>
                <w:sz w:val="24"/>
                <w:highlight w:val="none"/>
              </w:rPr>
              <w:t>废</w:t>
            </w:r>
            <w:r>
              <w:rPr>
                <w:color w:val="auto"/>
                <w:sz w:val="24"/>
                <w:highlight w:val="none"/>
              </w:rPr>
              <w:t>水、中药室</w:t>
            </w:r>
            <w:r>
              <w:rPr>
                <w:rFonts w:hint="eastAsia"/>
                <w:color w:val="auto"/>
                <w:sz w:val="24"/>
                <w:highlight w:val="none"/>
              </w:rPr>
              <w:t>废</w:t>
            </w:r>
            <w:r>
              <w:rPr>
                <w:color w:val="auto"/>
                <w:sz w:val="24"/>
                <w:highlight w:val="none"/>
              </w:rPr>
              <w:t>水</w:t>
            </w:r>
            <w:r>
              <w:rPr>
                <w:rFonts w:hint="eastAsia"/>
                <w:color w:val="auto"/>
                <w:sz w:val="24"/>
                <w:highlight w:val="none"/>
              </w:rPr>
              <w:t>，</w:t>
            </w:r>
            <w:r>
              <w:rPr>
                <w:snapToGrid w:val="0"/>
                <w:color w:val="auto"/>
                <w:sz w:val="24"/>
                <w:highlight w:val="none"/>
              </w:rPr>
              <w:t>废水</w:t>
            </w:r>
            <w:r>
              <w:rPr>
                <w:rFonts w:hint="eastAsia"/>
                <w:snapToGrid w:val="0"/>
                <w:color w:val="auto"/>
                <w:sz w:val="24"/>
                <w:highlight w:val="none"/>
              </w:rPr>
              <w:t>总</w:t>
            </w:r>
            <w:r>
              <w:rPr>
                <w:snapToGrid w:val="0"/>
                <w:color w:val="auto"/>
                <w:sz w:val="24"/>
                <w:highlight w:val="none"/>
              </w:rPr>
              <w:t>排放量为</w:t>
            </w:r>
            <w:r>
              <w:rPr>
                <w:rFonts w:hint="eastAsia"/>
                <w:snapToGrid w:val="0"/>
                <w:color w:val="auto"/>
                <w:sz w:val="24"/>
                <w:highlight w:val="none"/>
              </w:rPr>
              <w:t>15.273</w:t>
            </w:r>
            <w:r>
              <w:rPr>
                <w:snapToGrid w:val="0"/>
                <w:color w:val="auto"/>
                <w:sz w:val="24"/>
                <w:highlight w:val="none"/>
              </w:rPr>
              <w:t>m</w:t>
            </w:r>
            <w:r>
              <w:rPr>
                <w:snapToGrid w:val="0"/>
                <w:color w:val="auto"/>
                <w:sz w:val="24"/>
                <w:highlight w:val="none"/>
                <w:vertAlign w:val="superscript"/>
              </w:rPr>
              <w:t>3</w:t>
            </w:r>
            <w:r>
              <w:rPr>
                <w:snapToGrid w:val="0"/>
                <w:color w:val="auto"/>
                <w:sz w:val="24"/>
                <w:highlight w:val="none"/>
              </w:rPr>
              <w:t>/d</w:t>
            </w:r>
            <w:r>
              <w:rPr>
                <w:rFonts w:hint="eastAsia"/>
                <w:snapToGrid w:val="0"/>
                <w:color w:val="auto"/>
                <w:sz w:val="24"/>
                <w:highlight w:val="none"/>
              </w:rPr>
              <w:t>（5574.645</w:t>
            </w:r>
            <w:r>
              <w:rPr>
                <w:snapToGrid w:val="0"/>
                <w:color w:val="auto"/>
                <w:sz w:val="24"/>
                <w:highlight w:val="none"/>
              </w:rPr>
              <w:t>m</w:t>
            </w:r>
            <w:r>
              <w:rPr>
                <w:snapToGrid w:val="0"/>
                <w:color w:val="auto"/>
                <w:sz w:val="24"/>
                <w:highlight w:val="none"/>
                <w:vertAlign w:val="superscript"/>
              </w:rPr>
              <w:t>3</w:t>
            </w:r>
            <w:r>
              <w:rPr>
                <w:snapToGrid w:val="0"/>
                <w:color w:val="auto"/>
                <w:sz w:val="24"/>
                <w:highlight w:val="none"/>
              </w:rPr>
              <w:t>/</w:t>
            </w:r>
            <w:r>
              <w:rPr>
                <w:rFonts w:hint="eastAsia"/>
                <w:snapToGrid w:val="0"/>
                <w:color w:val="auto"/>
                <w:sz w:val="24"/>
                <w:highlight w:val="none"/>
              </w:rPr>
              <w:t>a）。污染物产生浓度参考</w:t>
            </w:r>
            <w:r>
              <w:rPr>
                <w:rFonts w:hint="eastAsia"/>
                <w:snapToGrid w:val="0"/>
                <w:color w:val="auto"/>
                <w:sz w:val="24"/>
                <w:highlight w:val="none"/>
              </w:rPr>
              <w:t>《医院污水处理工程技术规范》</w:t>
            </w:r>
            <w:r>
              <w:rPr>
                <w:rFonts w:hint="eastAsia"/>
                <w:snapToGrid w:val="0"/>
                <w:color w:val="auto"/>
                <w:sz w:val="24"/>
                <w:highlight w:val="none"/>
              </w:rPr>
              <w:t>HJ2029-2013中表一的经验数据，</w:t>
            </w:r>
            <w:r>
              <w:rPr>
                <w:color w:val="auto"/>
                <w:sz w:val="24"/>
                <w:highlight w:val="none"/>
              </w:rPr>
              <w:t>COD</w:t>
            </w:r>
            <w:r>
              <w:rPr>
                <w:rFonts w:hint="eastAsia"/>
                <w:color w:val="auto"/>
                <w:sz w:val="24"/>
                <w:highlight w:val="none"/>
              </w:rPr>
              <w:t>浓度为250mg/L，</w:t>
            </w:r>
            <w:r>
              <w:rPr>
                <w:color w:val="auto"/>
                <w:sz w:val="24"/>
                <w:highlight w:val="none"/>
              </w:rPr>
              <w:t>BOD</w:t>
            </w:r>
            <w:r>
              <w:rPr>
                <w:color w:val="auto"/>
                <w:sz w:val="24"/>
                <w:highlight w:val="none"/>
                <w:vertAlign w:val="subscript"/>
              </w:rPr>
              <w:t>5</w:t>
            </w:r>
            <w:r>
              <w:rPr>
                <w:rFonts w:hint="eastAsia"/>
                <w:color w:val="auto"/>
                <w:sz w:val="24"/>
                <w:highlight w:val="none"/>
              </w:rPr>
              <w:t>浓度为100mg/L，SS浓度为80mg/L，氨氮浓度为30mg/L，粪大肠菌群数为1</w:t>
            </w:r>
            <w:r>
              <w:rPr>
                <w:rFonts w:hint="eastAsia"/>
                <w:color w:val="auto"/>
                <w:szCs w:val="21"/>
                <w:highlight w:val="none"/>
              </w:rPr>
              <w:t>×</w:t>
            </w:r>
            <w:r>
              <w:rPr>
                <w:rFonts w:hint="eastAsia"/>
                <w:color w:val="auto"/>
                <w:sz w:val="24"/>
                <w:highlight w:val="none"/>
              </w:rPr>
              <w:t>10</w:t>
            </w:r>
            <w:r>
              <w:rPr>
                <w:rFonts w:hint="eastAsia"/>
                <w:color w:val="auto"/>
                <w:sz w:val="24"/>
                <w:highlight w:val="none"/>
                <w:vertAlign w:val="superscript"/>
              </w:rPr>
              <w:t>6</w:t>
            </w:r>
            <w:r>
              <w:rPr>
                <w:rFonts w:hint="eastAsia"/>
                <w:color w:val="auto"/>
                <w:sz w:val="24"/>
                <w:highlight w:val="none"/>
              </w:rPr>
              <w:t>个</w:t>
            </w:r>
            <w:r>
              <w:rPr>
                <w:color w:val="auto"/>
                <w:sz w:val="24"/>
                <w:highlight w:val="none"/>
              </w:rPr>
              <w:t>/L</w:t>
            </w:r>
            <w:r>
              <w:rPr>
                <w:rFonts w:hint="eastAsia"/>
                <w:color w:val="auto"/>
                <w:sz w:val="24"/>
                <w:highlight w:val="none"/>
              </w:rPr>
              <w:t>。动植物油200mg/L，</w:t>
            </w:r>
            <w:r>
              <w:rPr>
                <w:rFonts w:hint="eastAsia"/>
                <w:snapToGrid w:val="0"/>
                <w:color w:val="auto"/>
                <w:sz w:val="24"/>
                <w:highlight w:val="none"/>
              </w:rPr>
              <w:t>项目食堂废水经隔油池处理后同其他废水</w:t>
            </w:r>
            <w:r>
              <w:rPr>
                <w:rFonts w:hint="eastAsia"/>
                <w:snapToGrid w:val="0"/>
                <w:color w:val="auto"/>
                <w:sz w:val="24"/>
                <w:highlight w:val="none"/>
              </w:rPr>
              <w:t>一同排入化粪池后，经过“MBR一体化处理设备”处理后经市政管网排入长春市南部污水处理</w:t>
            </w:r>
            <w:r>
              <w:rPr>
                <w:rFonts w:hint="eastAsia"/>
                <w:snapToGrid w:val="0"/>
                <w:color w:val="auto"/>
                <w:sz w:val="24"/>
                <w:highlight w:val="none"/>
              </w:rPr>
              <w:t>厂，污水处理站处理效率：COD处理效率为80%，BOD</w:t>
            </w:r>
            <w:r>
              <w:rPr>
                <w:rFonts w:hint="eastAsia"/>
                <w:snapToGrid w:val="0"/>
                <w:color w:val="auto"/>
                <w:sz w:val="24"/>
                <w:highlight w:val="none"/>
                <w:vertAlign w:val="subscript"/>
              </w:rPr>
              <w:t>5</w:t>
            </w:r>
            <w:r>
              <w:rPr>
                <w:rFonts w:hint="eastAsia"/>
                <w:snapToGrid w:val="0"/>
                <w:color w:val="auto"/>
                <w:sz w:val="24"/>
                <w:highlight w:val="none"/>
              </w:rPr>
              <w:t>处理效率为90%，SS处理效率为90%，氨氮处理效率为60%，粪大肠菌群数处理效率为99.9%。动植物油去除效率约为90%</w:t>
            </w:r>
            <w:r>
              <w:rPr>
                <w:color w:val="auto"/>
                <w:sz w:val="24"/>
                <w:highlight w:val="none"/>
              </w:rPr>
              <w:t>。</w:t>
            </w:r>
            <w:r>
              <w:rPr>
                <w:snapToGrid w:val="0"/>
                <w:color w:val="auto"/>
                <w:sz w:val="24"/>
                <w:highlight w:val="none"/>
              </w:rPr>
              <w:t>本项目产生废水产生量情况详见下表</w:t>
            </w:r>
            <w:r>
              <w:rPr>
                <w:rFonts w:hint="eastAsia"/>
                <w:snapToGrid w:val="0"/>
                <w:color w:val="auto"/>
                <w:sz w:val="24"/>
                <w:highlight w:val="none"/>
              </w:rPr>
              <w:t>。</w:t>
            </w:r>
          </w:p>
          <w:p w14:paraId="0AA3CC3E">
            <w:pPr>
              <w:pStyle w:val="79"/>
              <w:ind w:firstLine="482" w:firstLineChars="200"/>
              <w:jc w:val="center"/>
              <w:rPr>
                <w:color w:val="auto"/>
                <w:kern w:val="2"/>
                <w:sz w:val="24"/>
                <w:szCs w:val="24"/>
                <w:highlight w:val="none"/>
              </w:rPr>
            </w:pPr>
            <w:r>
              <w:rPr>
                <w:b/>
                <w:color w:val="auto"/>
                <w:sz w:val="24"/>
                <w:szCs w:val="24"/>
                <w:highlight w:val="none"/>
              </w:rPr>
              <w:t>表</w:t>
            </w:r>
            <w:r>
              <w:rPr>
                <w:rFonts w:hint="eastAsia"/>
                <w:b/>
                <w:color w:val="auto"/>
                <w:sz w:val="24"/>
                <w:szCs w:val="24"/>
                <w:highlight w:val="none"/>
              </w:rPr>
              <w:t xml:space="preserve">4-6 </w:t>
            </w:r>
            <w:r>
              <w:rPr>
                <w:b/>
                <w:color w:val="auto"/>
                <w:sz w:val="24"/>
                <w:szCs w:val="24"/>
                <w:highlight w:val="none"/>
              </w:rPr>
              <w:t xml:space="preserve">  项目废水污染物产生情况</w:t>
            </w:r>
          </w:p>
          <w:tbl>
            <w:tblPr>
              <w:tblStyle w:val="28"/>
              <w:tblW w:w="841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689"/>
              <w:gridCol w:w="806"/>
              <w:gridCol w:w="1084"/>
              <w:gridCol w:w="1045"/>
              <w:gridCol w:w="945"/>
              <w:gridCol w:w="849"/>
              <w:gridCol w:w="1084"/>
              <w:gridCol w:w="976"/>
            </w:tblGrid>
            <w:tr w14:paraId="4B248D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restart"/>
                  <w:tcBorders>
                    <w:tl2br w:val="nil"/>
                    <w:tr2bl w:val="nil"/>
                  </w:tcBorders>
                  <w:vAlign w:val="center"/>
                </w:tcPr>
                <w:p w14:paraId="48DF2FE1">
                  <w:pPr>
                    <w:widowControl/>
                    <w:jc w:val="center"/>
                    <w:textAlignment w:val="center"/>
                    <w:rPr>
                      <w:color w:val="auto"/>
                      <w:kern w:val="0"/>
                      <w:szCs w:val="21"/>
                      <w:highlight w:val="none"/>
                      <w:lang w:bidi="ar"/>
                    </w:rPr>
                  </w:pPr>
                  <w:r>
                    <w:rPr>
                      <w:color w:val="auto"/>
                      <w:kern w:val="0"/>
                      <w:szCs w:val="21"/>
                      <w:highlight w:val="none"/>
                      <w:lang w:bidi="ar"/>
                    </w:rPr>
                    <w:t>污染源</w:t>
                  </w:r>
                </w:p>
              </w:tc>
              <w:tc>
                <w:tcPr>
                  <w:tcW w:w="689" w:type="dxa"/>
                  <w:vMerge w:val="restart"/>
                  <w:tcBorders>
                    <w:tl2br w:val="nil"/>
                    <w:tr2bl w:val="nil"/>
                  </w:tcBorders>
                  <w:vAlign w:val="center"/>
                </w:tcPr>
                <w:p w14:paraId="353C9DE9">
                  <w:pPr>
                    <w:widowControl/>
                    <w:jc w:val="center"/>
                    <w:textAlignment w:val="center"/>
                    <w:rPr>
                      <w:color w:val="auto"/>
                      <w:kern w:val="0"/>
                      <w:szCs w:val="21"/>
                      <w:highlight w:val="none"/>
                      <w:lang w:bidi="ar"/>
                    </w:rPr>
                  </w:pPr>
                  <w:r>
                    <w:rPr>
                      <w:color w:val="auto"/>
                      <w:kern w:val="0"/>
                      <w:szCs w:val="21"/>
                      <w:highlight w:val="none"/>
                      <w:lang w:bidi="ar"/>
                    </w:rPr>
                    <w:t>水量</w:t>
                  </w:r>
                </w:p>
                <w:p w14:paraId="7182BEF2">
                  <w:pPr>
                    <w:widowControl/>
                    <w:jc w:val="center"/>
                    <w:textAlignment w:val="center"/>
                    <w:rPr>
                      <w:color w:val="auto"/>
                      <w:kern w:val="0"/>
                      <w:szCs w:val="21"/>
                      <w:highlight w:val="none"/>
                      <w:lang w:bidi="ar"/>
                    </w:rPr>
                  </w:pPr>
                  <w:r>
                    <w:rPr>
                      <w:color w:val="auto"/>
                      <w:kern w:val="0"/>
                      <w:szCs w:val="21"/>
                      <w:highlight w:val="none"/>
                      <w:lang w:bidi="ar"/>
                    </w:rPr>
                    <w:t>(t/a)</w:t>
                  </w:r>
                </w:p>
              </w:tc>
              <w:tc>
                <w:tcPr>
                  <w:tcW w:w="806" w:type="dxa"/>
                  <w:vMerge w:val="restart"/>
                  <w:tcBorders>
                    <w:tl2br w:val="nil"/>
                    <w:tr2bl w:val="nil"/>
                  </w:tcBorders>
                  <w:vAlign w:val="center"/>
                </w:tcPr>
                <w:p w14:paraId="3FE438CF">
                  <w:pPr>
                    <w:widowControl/>
                    <w:jc w:val="center"/>
                    <w:textAlignment w:val="center"/>
                    <w:rPr>
                      <w:color w:val="auto"/>
                      <w:kern w:val="0"/>
                      <w:szCs w:val="21"/>
                      <w:highlight w:val="none"/>
                      <w:lang w:bidi="ar"/>
                    </w:rPr>
                  </w:pPr>
                  <w:r>
                    <w:rPr>
                      <w:color w:val="auto"/>
                      <w:kern w:val="0"/>
                      <w:szCs w:val="21"/>
                      <w:highlight w:val="none"/>
                      <w:lang w:bidi="ar"/>
                    </w:rPr>
                    <w:t>污染物</w:t>
                  </w:r>
                </w:p>
              </w:tc>
              <w:tc>
                <w:tcPr>
                  <w:tcW w:w="2129" w:type="dxa"/>
                  <w:gridSpan w:val="2"/>
                  <w:tcBorders>
                    <w:tl2br w:val="nil"/>
                    <w:tr2bl w:val="nil"/>
                  </w:tcBorders>
                  <w:vAlign w:val="center"/>
                </w:tcPr>
                <w:p w14:paraId="31643072">
                  <w:pPr>
                    <w:widowControl/>
                    <w:jc w:val="center"/>
                    <w:textAlignment w:val="center"/>
                    <w:rPr>
                      <w:color w:val="auto"/>
                      <w:kern w:val="0"/>
                      <w:szCs w:val="21"/>
                      <w:highlight w:val="none"/>
                      <w:lang w:bidi="ar"/>
                    </w:rPr>
                  </w:pPr>
                  <w:r>
                    <w:rPr>
                      <w:color w:val="auto"/>
                      <w:kern w:val="0"/>
                      <w:szCs w:val="21"/>
                      <w:highlight w:val="none"/>
                      <w:lang w:bidi="ar"/>
                    </w:rPr>
                    <w:t>产生</w:t>
                  </w:r>
                </w:p>
              </w:tc>
              <w:tc>
                <w:tcPr>
                  <w:tcW w:w="945" w:type="dxa"/>
                  <w:vMerge w:val="restart"/>
                  <w:tcBorders>
                    <w:tl2br w:val="nil"/>
                    <w:tr2bl w:val="nil"/>
                  </w:tcBorders>
                  <w:vAlign w:val="center"/>
                </w:tcPr>
                <w:p w14:paraId="6BA357AF">
                  <w:pPr>
                    <w:widowControl/>
                    <w:jc w:val="center"/>
                    <w:textAlignment w:val="center"/>
                    <w:rPr>
                      <w:color w:val="auto"/>
                      <w:kern w:val="0"/>
                      <w:szCs w:val="21"/>
                      <w:highlight w:val="none"/>
                      <w:lang w:bidi="ar"/>
                    </w:rPr>
                  </w:pPr>
                  <w:r>
                    <w:rPr>
                      <w:color w:val="auto"/>
                      <w:kern w:val="0"/>
                      <w:szCs w:val="21"/>
                      <w:highlight w:val="none"/>
                      <w:lang w:bidi="ar"/>
                    </w:rPr>
                    <w:t>治理设施</w:t>
                  </w:r>
                </w:p>
              </w:tc>
              <w:tc>
                <w:tcPr>
                  <w:tcW w:w="2909" w:type="dxa"/>
                  <w:gridSpan w:val="3"/>
                  <w:tcBorders>
                    <w:tl2br w:val="nil"/>
                    <w:tr2bl w:val="nil"/>
                  </w:tcBorders>
                  <w:vAlign w:val="center"/>
                </w:tcPr>
                <w:p w14:paraId="7467BF58">
                  <w:pPr>
                    <w:widowControl/>
                    <w:jc w:val="center"/>
                    <w:textAlignment w:val="center"/>
                    <w:rPr>
                      <w:color w:val="auto"/>
                      <w:kern w:val="0"/>
                      <w:szCs w:val="21"/>
                      <w:highlight w:val="none"/>
                      <w:lang w:bidi="ar"/>
                    </w:rPr>
                  </w:pPr>
                  <w:r>
                    <w:rPr>
                      <w:color w:val="auto"/>
                      <w:kern w:val="0"/>
                      <w:szCs w:val="21"/>
                      <w:highlight w:val="none"/>
                      <w:lang w:bidi="ar"/>
                    </w:rPr>
                    <w:t>排放</w:t>
                  </w:r>
                </w:p>
              </w:tc>
            </w:tr>
            <w:tr w14:paraId="1BC5C2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54431B56">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2D7C8B42">
                  <w:pPr>
                    <w:widowControl/>
                    <w:jc w:val="center"/>
                    <w:textAlignment w:val="center"/>
                    <w:rPr>
                      <w:color w:val="auto"/>
                      <w:kern w:val="0"/>
                      <w:szCs w:val="21"/>
                      <w:highlight w:val="none"/>
                      <w:lang w:bidi="ar"/>
                    </w:rPr>
                  </w:pPr>
                </w:p>
              </w:tc>
              <w:tc>
                <w:tcPr>
                  <w:tcW w:w="806" w:type="dxa"/>
                  <w:vMerge w:val="continue"/>
                  <w:tcBorders>
                    <w:tl2br w:val="nil"/>
                    <w:tr2bl w:val="nil"/>
                  </w:tcBorders>
                  <w:vAlign w:val="center"/>
                </w:tcPr>
                <w:p w14:paraId="1DF734BA">
                  <w:pPr>
                    <w:widowControl/>
                    <w:jc w:val="center"/>
                    <w:textAlignment w:val="center"/>
                    <w:rPr>
                      <w:color w:val="auto"/>
                      <w:kern w:val="0"/>
                      <w:szCs w:val="21"/>
                      <w:highlight w:val="none"/>
                      <w:lang w:bidi="ar"/>
                    </w:rPr>
                  </w:pPr>
                </w:p>
              </w:tc>
              <w:tc>
                <w:tcPr>
                  <w:tcW w:w="1084" w:type="dxa"/>
                  <w:tcBorders>
                    <w:tl2br w:val="nil"/>
                    <w:tr2bl w:val="nil"/>
                  </w:tcBorders>
                  <w:vAlign w:val="center"/>
                </w:tcPr>
                <w:p w14:paraId="2FAE7D91">
                  <w:pPr>
                    <w:widowControl/>
                    <w:jc w:val="center"/>
                    <w:textAlignment w:val="center"/>
                    <w:rPr>
                      <w:color w:val="auto"/>
                      <w:kern w:val="0"/>
                      <w:szCs w:val="21"/>
                      <w:highlight w:val="none"/>
                      <w:lang w:bidi="ar"/>
                    </w:rPr>
                  </w:pPr>
                  <w:r>
                    <w:rPr>
                      <w:color w:val="auto"/>
                      <w:kern w:val="0"/>
                      <w:szCs w:val="21"/>
                      <w:highlight w:val="none"/>
                      <w:lang w:bidi="ar"/>
                    </w:rPr>
                    <w:t>浓度</w:t>
                  </w:r>
                </w:p>
                <w:p w14:paraId="5413EDC7">
                  <w:pPr>
                    <w:widowControl/>
                    <w:jc w:val="center"/>
                    <w:textAlignment w:val="center"/>
                    <w:rPr>
                      <w:color w:val="auto"/>
                      <w:kern w:val="0"/>
                      <w:szCs w:val="21"/>
                      <w:highlight w:val="none"/>
                      <w:lang w:bidi="ar"/>
                    </w:rPr>
                  </w:pPr>
                  <w:r>
                    <w:rPr>
                      <w:color w:val="auto"/>
                      <w:kern w:val="0"/>
                      <w:szCs w:val="21"/>
                      <w:highlight w:val="none"/>
                      <w:lang w:bidi="ar"/>
                    </w:rPr>
                    <w:t>（mg/L）</w:t>
                  </w:r>
                </w:p>
              </w:tc>
              <w:tc>
                <w:tcPr>
                  <w:tcW w:w="1045" w:type="dxa"/>
                  <w:tcBorders>
                    <w:tl2br w:val="nil"/>
                    <w:tr2bl w:val="nil"/>
                  </w:tcBorders>
                  <w:vAlign w:val="center"/>
                </w:tcPr>
                <w:p w14:paraId="1B95DDC9">
                  <w:pPr>
                    <w:widowControl/>
                    <w:jc w:val="center"/>
                    <w:textAlignment w:val="center"/>
                    <w:rPr>
                      <w:color w:val="auto"/>
                      <w:kern w:val="0"/>
                      <w:szCs w:val="21"/>
                      <w:highlight w:val="none"/>
                      <w:lang w:bidi="ar"/>
                    </w:rPr>
                  </w:pPr>
                  <w:r>
                    <w:rPr>
                      <w:color w:val="auto"/>
                      <w:kern w:val="0"/>
                      <w:szCs w:val="21"/>
                      <w:highlight w:val="none"/>
                      <w:lang w:bidi="ar"/>
                    </w:rPr>
                    <w:t>产生量</w:t>
                  </w:r>
                </w:p>
                <w:p w14:paraId="5F6A3079">
                  <w:pPr>
                    <w:widowControl/>
                    <w:jc w:val="center"/>
                    <w:textAlignment w:val="center"/>
                    <w:rPr>
                      <w:color w:val="auto"/>
                      <w:kern w:val="0"/>
                      <w:szCs w:val="21"/>
                      <w:highlight w:val="none"/>
                      <w:lang w:bidi="ar"/>
                    </w:rPr>
                  </w:pPr>
                  <w:r>
                    <w:rPr>
                      <w:color w:val="auto"/>
                      <w:kern w:val="0"/>
                      <w:szCs w:val="21"/>
                      <w:highlight w:val="none"/>
                      <w:lang w:bidi="ar"/>
                    </w:rPr>
                    <w:t>（t/a）</w:t>
                  </w:r>
                </w:p>
              </w:tc>
              <w:tc>
                <w:tcPr>
                  <w:tcW w:w="945" w:type="dxa"/>
                  <w:vMerge w:val="continue"/>
                  <w:tcBorders>
                    <w:tl2br w:val="nil"/>
                    <w:tr2bl w:val="nil"/>
                  </w:tcBorders>
                  <w:vAlign w:val="center"/>
                </w:tcPr>
                <w:p w14:paraId="07D2849A">
                  <w:pPr>
                    <w:widowControl/>
                    <w:jc w:val="center"/>
                    <w:textAlignment w:val="center"/>
                    <w:rPr>
                      <w:color w:val="auto"/>
                      <w:kern w:val="0"/>
                      <w:szCs w:val="21"/>
                      <w:highlight w:val="none"/>
                      <w:lang w:bidi="ar"/>
                    </w:rPr>
                  </w:pPr>
                </w:p>
              </w:tc>
              <w:tc>
                <w:tcPr>
                  <w:tcW w:w="849" w:type="dxa"/>
                  <w:tcBorders>
                    <w:right w:val="single" w:color="auto" w:sz="4" w:space="0"/>
                    <w:tl2br w:val="nil"/>
                    <w:tr2bl w:val="nil"/>
                  </w:tcBorders>
                  <w:vAlign w:val="center"/>
                </w:tcPr>
                <w:p w14:paraId="3235B7FA">
                  <w:pPr>
                    <w:widowControl/>
                    <w:jc w:val="center"/>
                    <w:textAlignment w:val="center"/>
                    <w:rPr>
                      <w:color w:val="auto"/>
                      <w:kern w:val="0"/>
                      <w:szCs w:val="21"/>
                      <w:highlight w:val="none"/>
                      <w:lang w:bidi="ar"/>
                    </w:rPr>
                  </w:pPr>
                  <w:r>
                    <w:rPr>
                      <w:rFonts w:hint="eastAsia"/>
                      <w:color w:val="auto"/>
                      <w:kern w:val="0"/>
                      <w:szCs w:val="21"/>
                      <w:highlight w:val="none"/>
                      <w:lang w:bidi="ar"/>
                    </w:rPr>
                    <w:t>水量</w:t>
                  </w:r>
                  <w:r>
                    <w:rPr>
                      <w:color w:val="auto"/>
                      <w:kern w:val="0"/>
                      <w:szCs w:val="21"/>
                      <w:highlight w:val="none"/>
                      <w:lang w:bidi="ar"/>
                    </w:rPr>
                    <w:t>(t/a)</w:t>
                  </w:r>
                </w:p>
              </w:tc>
              <w:tc>
                <w:tcPr>
                  <w:tcW w:w="1084" w:type="dxa"/>
                  <w:tcBorders>
                    <w:right w:val="single" w:color="auto" w:sz="4" w:space="0"/>
                    <w:tl2br w:val="nil"/>
                    <w:tr2bl w:val="nil"/>
                  </w:tcBorders>
                  <w:vAlign w:val="center"/>
                </w:tcPr>
                <w:p w14:paraId="51DFB5DB">
                  <w:pPr>
                    <w:widowControl/>
                    <w:jc w:val="center"/>
                    <w:textAlignment w:val="center"/>
                    <w:rPr>
                      <w:color w:val="auto"/>
                      <w:kern w:val="0"/>
                      <w:szCs w:val="21"/>
                      <w:highlight w:val="none"/>
                      <w:lang w:bidi="ar"/>
                    </w:rPr>
                  </w:pPr>
                  <w:r>
                    <w:rPr>
                      <w:color w:val="auto"/>
                      <w:kern w:val="0"/>
                      <w:szCs w:val="21"/>
                      <w:highlight w:val="none"/>
                      <w:lang w:bidi="ar"/>
                    </w:rPr>
                    <w:t>浓度</w:t>
                  </w:r>
                </w:p>
                <w:p w14:paraId="0E5069B4">
                  <w:pPr>
                    <w:widowControl/>
                    <w:jc w:val="center"/>
                    <w:textAlignment w:val="center"/>
                    <w:rPr>
                      <w:color w:val="auto"/>
                      <w:kern w:val="0"/>
                      <w:szCs w:val="21"/>
                      <w:highlight w:val="none"/>
                      <w:lang w:bidi="ar"/>
                    </w:rPr>
                  </w:pPr>
                  <w:r>
                    <w:rPr>
                      <w:color w:val="auto"/>
                      <w:kern w:val="0"/>
                      <w:szCs w:val="21"/>
                      <w:highlight w:val="none"/>
                      <w:lang w:bidi="ar"/>
                    </w:rPr>
                    <w:t>（mg/L）</w:t>
                  </w:r>
                </w:p>
              </w:tc>
              <w:tc>
                <w:tcPr>
                  <w:tcW w:w="976" w:type="dxa"/>
                  <w:tcBorders>
                    <w:left w:val="single" w:color="auto" w:sz="4" w:space="0"/>
                    <w:tl2br w:val="nil"/>
                    <w:tr2bl w:val="nil"/>
                  </w:tcBorders>
                  <w:vAlign w:val="center"/>
                </w:tcPr>
                <w:p w14:paraId="3DF3DB62">
                  <w:pPr>
                    <w:widowControl/>
                    <w:jc w:val="center"/>
                    <w:textAlignment w:val="center"/>
                    <w:rPr>
                      <w:color w:val="auto"/>
                      <w:kern w:val="0"/>
                      <w:szCs w:val="21"/>
                      <w:highlight w:val="none"/>
                      <w:lang w:bidi="ar"/>
                    </w:rPr>
                  </w:pPr>
                  <w:r>
                    <w:rPr>
                      <w:color w:val="auto"/>
                      <w:kern w:val="0"/>
                      <w:szCs w:val="21"/>
                      <w:highlight w:val="none"/>
                      <w:lang w:bidi="ar"/>
                    </w:rPr>
                    <w:t>排放量</w:t>
                  </w:r>
                </w:p>
                <w:p w14:paraId="4F3412E5">
                  <w:pPr>
                    <w:widowControl/>
                    <w:jc w:val="center"/>
                    <w:textAlignment w:val="center"/>
                    <w:rPr>
                      <w:color w:val="auto"/>
                      <w:kern w:val="0"/>
                      <w:szCs w:val="21"/>
                      <w:highlight w:val="none"/>
                      <w:lang w:bidi="ar"/>
                    </w:rPr>
                  </w:pPr>
                  <w:r>
                    <w:rPr>
                      <w:color w:val="auto"/>
                      <w:kern w:val="0"/>
                      <w:szCs w:val="21"/>
                      <w:highlight w:val="none"/>
                      <w:lang w:bidi="ar"/>
                    </w:rPr>
                    <w:t>（t/a）</w:t>
                  </w:r>
                </w:p>
              </w:tc>
            </w:tr>
            <w:tr w14:paraId="3AD1AD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restart"/>
                  <w:tcBorders>
                    <w:tl2br w:val="nil"/>
                    <w:tr2bl w:val="nil"/>
                  </w:tcBorders>
                  <w:vAlign w:val="center"/>
                </w:tcPr>
                <w:p w14:paraId="0CBB8EB1">
                  <w:pPr>
                    <w:widowControl/>
                    <w:jc w:val="center"/>
                    <w:textAlignment w:val="center"/>
                    <w:rPr>
                      <w:color w:val="auto"/>
                      <w:kern w:val="0"/>
                      <w:szCs w:val="21"/>
                      <w:highlight w:val="none"/>
                      <w:lang w:bidi="ar"/>
                    </w:rPr>
                  </w:pPr>
                  <w:r>
                    <w:rPr>
                      <w:rFonts w:hint="eastAsia"/>
                      <w:color w:val="auto"/>
                      <w:kern w:val="0"/>
                      <w:szCs w:val="21"/>
                      <w:highlight w:val="none"/>
                      <w:lang w:bidi="ar"/>
                    </w:rPr>
                    <w:t>职工生活、病房、门诊、化验室及煎药室混合废水</w:t>
                  </w:r>
                </w:p>
              </w:tc>
              <w:tc>
                <w:tcPr>
                  <w:tcW w:w="689" w:type="dxa"/>
                  <w:vMerge w:val="restart"/>
                  <w:tcBorders>
                    <w:tl2br w:val="nil"/>
                    <w:tr2bl w:val="nil"/>
                  </w:tcBorders>
                  <w:vAlign w:val="center"/>
                </w:tcPr>
                <w:p w14:paraId="125DCECE">
                  <w:pPr>
                    <w:widowControl/>
                    <w:jc w:val="center"/>
                    <w:textAlignment w:val="center"/>
                    <w:rPr>
                      <w:color w:val="auto"/>
                      <w:kern w:val="0"/>
                      <w:szCs w:val="21"/>
                      <w:highlight w:val="none"/>
                      <w:lang w:bidi="ar"/>
                    </w:rPr>
                  </w:pPr>
                  <w:r>
                    <w:rPr>
                      <w:rFonts w:hint="eastAsia"/>
                      <w:color w:val="auto"/>
                      <w:kern w:val="0"/>
                      <w:szCs w:val="21"/>
                      <w:highlight w:val="none"/>
                      <w:lang w:bidi="ar"/>
                    </w:rPr>
                    <w:t>3974.458</w:t>
                  </w:r>
                </w:p>
              </w:tc>
              <w:tc>
                <w:tcPr>
                  <w:tcW w:w="806" w:type="dxa"/>
                  <w:tcBorders>
                    <w:tl2br w:val="nil"/>
                    <w:tr2bl w:val="nil"/>
                  </w:tcBorders>
                  <w:vAlign w:val="center"/>
                </w:tcPr>
                <w:p w14:paraId="33D378A6">
                  <w:pPr>
                    <w:widowControl/>
                    <w:jc w:val="center"/>
                    <w:textAlignment w:val="center"/>
                    <w:rPr>
                      <w:color w:val="auto"/>
                      <w:kern w:val="0"/>
                      <w:szCs w:val="21"/>
                      <w:highlight w:val="none"/>
                      <w:lang w:bidi="ar"/>
                    </w:rPr>
                  </w:pPr>
                  <w:r>
                    <w:rPr>
                      <w:color w:val="auto"/>
                      <w:kern w:val="0"/>
                      <w:szCs w:val="21"/>
                      <w:highlight w:val="none"/>
                      <w:lang w:bidi="ar"/>
                    </w:rPr>
                    <w:t>COD</w:t>
                  </w:r>
                </w:p>
              </w:tc>
              <w:tc>
                <w:tcPr>
                  <w:tcW w:w="1084" w:type="dxa"/>
                  <w:tcBorders>
                    <w:tl2br w:val="nil"/>
                    <w:tr2bl w:val="nil"/>
                  </w:tcBorders>
                  <w:vAlign w:val="center"/>
                </w:tcPr>
                <w:p w14:paraId="52C83A8A">
                  <w:pPr>
                    <w:widowControl/>
                    <w:jc w:val="center"/>
                    <w:textAlignment w:val="center"/>
                    <w:rPr>
                      <w:color w:val="auto"/>
                      <w:kern w:val="0"/>
                      <w:szCs w:val="21"/>
                      <w:highlight w:val="none"/>
                      <w:lang w:bidi="ar"/>
                    </w:rPr>
                  </w:pPr>
                  <w:r>
                    <w:rPr>
                      <w:rFonts w:hint="eastAsia"/>
                      <w:color w:val="auto"/>
                      <w:kern w:val="0"/>
                      <w:szCs w:val="21"/>
                      <w:highlight w:val="none"/>
                      <w:lang w:bidi="ar"/>
                    </w:rPr>
                    <w:t>250</w:t>
                  </w:r>
                </w:p>
              </w:tc>
              <w:tc>
                <w:tcPr>
                  <w:tcW w:w="1045" w:type="dxa"/>
                  <w:tcBorders>
                    <w:tl2br w:val="nil"/>
                    <w:tr2bl w:val="nil"/>
                  </w:tcBorders>
                  <w:vAlign w:val="center"/>
                </w:tcPr>
                <w:p w14:paraId="667AAFD9">
                  <w:pPr>
                    <w:widowControl/>
                    <w:jc w:val="center"/>
                    <w:textAlignment w:val="center"/>
                    <w:rPr>
                      <w:color w:val="auto"/>
                      <w:kern w:val="0"/>
                      <w:szCs w:val="21"/>
                      <w:highlight w:val="none"/>
                      <w:lang w:bidi="ar"/>
                    </w:rPr>
                  </w:pPr>
                  <w:r>
                    <w:rPr>
                      <w:rFonts w:hint="eastAsia"/>
                      <w:color w:val="auto"/>
                      <w:kern w:val="0"/>
                      <w:szCs w:val="21"/>
                      <w:highlight w:val="none"/>
                      <w:lang w:bidi="ar"/>
                    </w:rPr>
                    <w:t>0.99</w:t>
                  </w:r>
                </w:p>
              </w:tc>
              <w:tc>
                <w:tcPr>
                  <w:tcW w:w="945" w:type="dxa"/>
                  <w:vMerge w:val="restart"/>
                  <w:tcBorders>
                    <w:tl2br w:val="nil"/>
                    <w:tr2bl w:val="nil"/>
                  </w:tcBorders>
                  <w:vAlign w:val="center"/>
                </w:tcPr>
                <w:p w14:paraId="0BB9115F">
                  <w:pPr>
                    <w:widowControl/>
                    <w:jc w:val="center"/>
                    <w:textAlignment w:val="center"/>
                    <w:rPr>
                      <w:color w:val="auto"/>
                      <w:kern w:val="0"/>
                      <w:szCs w:val="21"/>
                      <w:highlight w:val="none"/>
                      <w:lang w:bidi="ar"/>
                    </w:rPr>
                  </w:pPr>
                  <w:r>
                    <w:rPr>
                      <w:rFonts w:hint="eastAsia"/>
                      <w:color w:val="auto"/>
                      <w:kern w:val="0"/>
                      <w:szCs w:val="21"/>
                      <w:highlight w:val="none"/>
                      <w:lang w:bidi="ar"/>
                    </w:rPr>
                    <w:t>化粪池+MBR一体化处理设施+消毒</w:t>
                  </w:r>
                </w:p>
              </w:tc>
              <w:tc>
                <w:tcPr>
                  <w:tcW w:w="849" w:type="dxa"/>
                  <w:vMerge w:val="restart"/>
                  <w:tcBorders>
                    <w:tl2br w:val="nil"/>
                    <w:tr2bl w:val="nil"/>
                  </w:tcBorders>
                  <w:vAlign w:val="center"/>
                </w:tcPr>
                <w:p w14:paraId="55DC0E73">
                  <w:pPr>
                    <w:widowControl/>
                    <w:jc w:val="center"/>
                    <w:textAlignment w:val="center"/>
                    <w:rPr>
                      <w:color w:val="auto"/>
                      <w:kern w:val="0"/>
                      <w:szCs w:val="21"/>
                      <w:highlight w:val="none"/>
                      <w:lang w:bidi="ar"/>
                    </w:rPr>
                  </w:pPr>
                  <w:r>
                    <w:rPr>
                      <w:rFonts w:hint="eastAsia"/>
                      <w:color w:val="auto"/>
                      <w:kern w:val="0"/>
                      <w:szCs w:val="21"/>
                      <w:highlight w:val="none"/>
                      <w:lang w:bidi="ar"/>
                    </w:rPr>
                    <w:t>5370.245</w:t>
                  </w:r>
                </w:p>
              </w:tc>
              <w:tc>
                <w:tcPr>
                  <w:tcW w:w="1084" w:type="dxa"/>
                  <w:tcBorders>
                    <w:tl2br w:val="nil"/>
                    <w:tr2bl w:val="nil"/>
                  </w:tcBorders>
                  <w:vAlign w:val="center"/>
                </w:tcPr>
                <w:p w14:paraId="762340AB">
                  <w:pPr>
                    <w:widowControl/>
                    <w:jc w:val="center"/>
                    <w:textAlignment w:val="center"/>
                    <w:rPr>
                      <w:color w:val="auto"/>
                      <w:kern w:val="0"/>
                      <w:szCs w:val="21"/>
                      <w:highlight w:val="none"/>
                      <w:lang w:bidi="ar"/>
                    </w:rPr>
                  </w:pPr>
                  <w:r>
                    <w:rPr>
                      <w:rFonts w:hint="eastAsia"/>
                      <w:color w:val="auto"/>
                      <w:kern w:val="0"/>
                      <w:szCs w:val="21"/>
                      <w:highlight w:val="none"/>
                      <w:lang w:bidi="ar"/>
                    </w:rPr>
                    <w:t>50</w:t>
                  </w:r>
                </w:p>
              </w:tc>
              <w:tc>
                <w:tcPr>
                  <w:tcW w:w="976" w:type="dxa"/>
                  <w:tcBorders>
                    <w:tl2br w:val="nil"/>
                    <w:tr2bl w:val="nil"/>
                  </w:tcBorders>
                  <w:vAlign w:val="center"/>
                </w:tcPr>
                <w:p w14:paraId="4174D9BB">
                  <w:pPr>
                    <w:widowControl/>
                    <w:jc w:val="center"/>
                    <w:textAlignment w:val="center"/>
                    <w:rPr>
                      <w:color w:val="auto"/>
                      <w:kern w:val="0"/>
                      <w:szCs w:val="21"/>
                      <w:highlight w:val="none"/>
                      <w:lang w:bidi="ar"/>
                    </w:rPr>
                  </w:pPr>
                  <w:r>
                    <w:rPr>
                      <w:rFonts w:hint="eastAsia"/>
                      <w:color w:val="auto"/>
                      <w:kern w:val="0"/>
                      <w:szCs w:val="21"/>
                      <w:highlight w:val="none"/>
                      <w:lang w:bidi="ar"/>
                    </w:rPr>
                    <w:t>0.108</w:t>
                  </w:r>
                </w:p>
              </w:tc>
            </w:tr>
            <w:tr w14:paraId="430B45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18F16E89">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012A4D46">
                  <w:pPr>
                    <w:widowControl/>
                    <w:jc w:val="center"/>
                    <w:textAlignment w:val="center"/>
                    <w:rPr>
                      <w:color w:val="auto"/>
                      <w:kern w:val="0"/>
                      <w:szCs w:val="21"/>
                      <w:highlight w:val="none"/>
                      <w:lang w:bidi="ar"/>
                    </w:rPr>
                  </w:pPr>
                </w:p>
              </w:tc>
              <w:tc>
                <w:tcPr>
                  <w:tcW w:w="806" w:type="dxa"/>
                  <w:tcBorders>
                    <w:tl2br w:val="nil"/>
                    <w:tr2bl w:val="nil"/>
                  </w:tcBorders>
                  <w:vAlign w:val="center"/>
                </w:tcPr>
                <w:p w14:paraId="4EE31F31">
                  <w:pPr>
                    <w:widowControl/>
                    <w:jc w:val="center"/>
                    <w:textAlignment w:val="center"/>
                    <w:rPr>
                      <w:color w:val="auto"/>
                      <w:kern w:val="0"/>
                      <w:szCs w:val="21"/>
                      <w:highlight w:val="none"/>
                      <w:lang w:bidi="ar"/>
                    </w:rPr>
                  </w:pPr>
                  <w:r>
                    <w:rPr>
                      <w:color w:val="auto"/>
                      <w:kern w:val="0"/>
                      <w:szCs w:val="21"/>
                      <w:highlight w:val="none"/>
                      <w:lang w:bidi="ar"/>
                    </w:rPr>
                    <w:t>BOD</w:t>
                  </w:r>
                  <w:r>
                    <w:rPr>
                      <w:color w:val="auto"/>
                      <w:kern w:val="0"/>
                      <w:szCs w:val="21"/>
                      <w:highlight w:val="none"/>
                      <w:vertAlign w:val="subscript"/>
                      <w:lang w:bidi="ar"/>
                    </w:rPr>
                    <w:t>5</w:t>
                  </w:r>
                </w:p>
              </w:tc>
              <w:tc>
                <w:tcPr>
                  <w:tcW w:w="1084" w:type="dxa"/>
                  <w:tcBorders>
                    <w:tl2br w:val="nil"/>
                    <w:tr2bl w:val="nil"/>
                  </w:tcBorders>
                  <w:vAlign w:val="center"/>
                </w:tcPr>
                <w:p w14:paraId="7A306D72">
                  <w:pPr>
                    <w:widowControl/>
                    <w:jc w:val="center"/>
                    <w:textAlignment w:val="center"/>
                    <w:rPr>
                      <w:color w:val="auto"/>
                      <w:kern w:val="0"/>
                      <w:szCs w:val="21"/>
                      <w:highlight w:val="none"/>
                      <w:lang w:bidi="ar"/>
                    </w:rPr>
                  </w:pPr>
                  <w:r>
                    <w:rPr>
                      <w:rFonts w:hint="eastAsia"/>
                      <w:color w:val="auto"/>
                      <w:kern w:val="0"/>
                      <w:szCs w:val="21"/>
                      <w:highlight w:val="none"/>
                      <w:lang w:bidi="ar"/>
                    </w:rPr>
                    <w:t>100</w:t>
                  </w:r>
                </w:p>
              </w:tc>
              <w:tc>
                <w:tcPr>
                  <w:tcW w:w="1045" w:type="dxa"/>
                  <w:tcBorders>
                    <w:tl2br w:val="nil"/>
                    <w:tr2bl w:val="nil"/>
                  </w:tcBorders>
                  <w:vAlign w:val="center"/>
                </w:tcPr>
                <w:p w14:paraId="2EE3A121">
                  <w:pPr>
                    <w:widowControl/>
                    <w:jc w:val="center"/>
                    <w:textAlignment w:val="center"/>
                    <w:rPr>
                      <w:color w:val="auto"/>
                      <w:kern w:val="0"/>
                      <w:szCs w:val="21"/>
                      <w:highlight w:val="none"/>
                      <w:lang w:bidi="ar"/>
                    </w:rPr>
                  </w:pPr>
                  <w:r>
                    <w:rPr>
                      <w:rFonts w:hint="eastAsia"/>
                      <w:color w:val="auto"/>
                      <w:kern w:val="0"/>
                      <w:szCs w:val="21"/>
                      <w:highlight w:val="none"/>
                      <w:lang w:bidi="ar"/>
                    </w:rPr>
                    <w:t>0.40</w:t>
                  </w:r>
                </w:p>
              </w:tc>
              <w:tc>
                <w:tcPr>
                  <w:tcW w:w="945" w:type="dxa"/>
                  <w:vMerge w:val="continue"/>
                  <w:tcBorders>
                    <w:tl2br w:val="nil"/>
                    <w:tr2bl w:val="nil"/>
                  </w:tcBorders>
                  <w:vAlign w:val="center"/>
                </w:tcPr>
                <w:p w14:paraId="6DA94C6C">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12E5B87C">
                  <w:pPr>
                    <w:widowControl/>
                    <w:jc w:val="center"/>
                    <w:textAlignment w:val="center"/>
                    <w:rPr>
                      <w:color w:val="auto"/>
                      <w:kern w:val="0"/>
                      <w:szCs w:val="21"/>
                      <w:highlight w:val="none"/>
                      <w:lang w:bidi="ar"/>
                    </w:rPr>
                  </w:pPr>
                </w:p>
              </w:tc>
              <w:tc>
                <w:tcPr>
                  <w:tcW w:w="1084" w:type="dxa"/>
                  <w:tcBorders>
                    <w:tl2br w:val="nil"/>
                    <w:tr2bl w:val="nil"/>
                  </w:tcBorders>
                  <w:vAlign w:val="center"/>
                </w:tcPr>
                <w:p w14:paraId="11E31A3B">
                  <w:pPr>
                    <w:widowControl/>
                    <w:jc w:val="center"/>
                    <w:textAlignment w:val="center"/>
                    <w:rPr>
                      <w:color w:val="auto"/>
                      <w:kern w:val="0"/>
                      <w:szCs w:val="21"/>
                      <w:highlight w:val="none"/>
                      <w:lang w:bidi="ar"/>
                    </w:rPr>
                  </w:pPr>
                  <w:r>
                    <w:rPr>
                      <w:rFonts w:hint="eastAsia"/>
                      <w:color w:val="auto"/>
                      <w:kern w:val="0"/>
                      <w:szCs w:val="21"/>
                      <w:highlight w:val="none"/>
                      <w:lang w:bidi="ar"/>
                    </w:rPr>
                    <w:t>10</w:t>
                  </w:r>
                </w:p>
              </w:tc>
              <w:tc>
                <w:tcPr>
                  <w:tcW w:w="976" w:type="dxa"/>
                  <w:tcBorders>
                    <w:tl2br w:val="nil"/>
                    <w:tr2bl w:val="nil"/>
                  </w:tcBorders>
                  <w:vAlign w:val="center"/>
                </w:tcPr>
                <w:p w14:paraId="50721137">
                  <w:pPr>
                    <w:widowControl/>
                    <w:jc w:val="center"/>
                    <w:textAlignment w:val="center"/>
                    <w:rPr>
                      <w:color w:val="auto"/>
                      <w:kern w:val="0"/>
                      <w:szCs w:val="21"/>
                      <w:highlight w:val="none"/>
                      <w:lang w:bidi="ar"/>
                    </w:rPr>
                  </w:pPr>
                  <w:r>
                    <w:rPr>
                      <w:rFonts w:hint="eastAsia"/>
                      <w:color w:val="auto"/>
                      <w:kern w:val="0"/>
                      <w:szCs w:val="21"/>
                      <w:highlight w:val="none"/>
                      <w:lang w:bidi="ar"/>
                    </w:rPr>
                    <w:t>0.054</w:t>
                  </w:r>
                </w:p>
              </w:tc>
            </w:tr>
            <w:tr w14:paraId="5C8F3A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226D3D30">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53D11B1A">
                  <w:pPr>
                    <w:widowControl/>
                    <w:jc w:val="center"/>
                    <w:textAlignment w:val="center"/>
                    <w:rPr>
                      <w:color w:val="auto"/>
                      <w:kern w:val="0"/>
                      <w:szCs w:val="21"/>
                      <w:highlight w:val="none"/>
                      <w:lang w:bidi="ar"/>
                    </w:rPr>
                  </w:pPr>
                </w:p>
              </w:tc>
              <w:tc>
                <w:tcPr>
                  <w:tcW w:w="806" w:type="dxa"/>
                  <w:tcBorders>
                    <w:tl2br w:val="nil"/>
                    <w:tr2bl w:val="nil"/>
                  </w:tcBorders>
                  <w:vAlign w:val="center"/>
                </w:tcPr>
                <w:p w14:paraId="180984EC">
                  <w:pPr>
                    <w:widowControl/>
                    <w:jc w:val="center"/>
                    <w:textAlignment w:val="center"/>
                    <w:rPr>
                      <w:color w:val="auto"/>
                      <w:kern w:val="0"/>
                      <w:szCs w:val="21"/>
                      <w:highlight w:val="none"/>
                      <w:lang w:bidi="ar"/>
                    </w:rPr>
                  </w:pPr>
                  <w:r>
                    <w:rPr>
                      <w:color w:val="auto"/>
                      <w:kern w:val="0"/>
                      <w:szCs w:val="21"/>
                      <w:highlight w:val="none"/>
                      <w:lang w:bidi="ar"/>
                    </w:rPr>
                    <w:t>NH</w:t>
                  </w:r>
                  <w:r>
                    <w:rPr>
                      <w:color w:val="auto"/>
                      <w:kern w:val="0"/>
                      <w:szCs w:val="21"/>
                      <w:highlight w:val="none"/>
                      <w:vertAlign w:val="subscript"/>
                      <w:lang w:bidi="ar"/>
                    </w:rPr>
                    <w:t>3</w:t>
                  </w:r>
                  <w:r>
                    <w:rPr>
                      <w:color w:val="auto"/>
                      <w:kern w:val="0"/>
                      <w:szCs w:val="21"/>
                      <w:highlight w:val="none"/>
                      <w:lang w:bidi="ar"/>
                    </w:rPr>
                    <w:t>-N</w:t>
                  </w:r>
                </w:p>
              </w:tc>
              <w:tc>
                <w:tcPr>
                  <w:tcW w:w="1084" w:type="dxa"/>
                  <w:tcBorders>
                    <w:tl2br w:val="nil"/>
                    <w:tr2bl w:val="nil"/>
                  </w:tcBorders>
                  <w:vAlign w:val="center"/>
                </w:tcPr>
                <w:p w14:paraId="403D085B">
                  <w:pPr>
                    <w:widowControl/>
                    <w:jc w:val="center"/>
                    <w:textAlignment w:val="center"/>
                    <w:rPr>
                      <w:color w:val="auto"/>
                      <w:kern w:val="0"/>
                      <w:szCs w:val="21"/>
                      <w:highlight w:val="none"/>
                      <w:lang w:bidi="ar"/>
                    </w:rPr>
                  </w:pPr>
                  <w:r>
                    <w:rPr>
                      <w:rFonts w:hint="eastAsia"/>
                      <w:color w:val="auto"/>
                      <w:kern w:val="0"/>
                      <w:szCs w:val="21"/>
                      <w:highlight w:val="none"/>
                      <w:lang w:bidi="ar"/>
                    </w:rPr>
                    <w:t>30</w:t>
                  </w:r>
                </w:p>
              </w:tc>
              <w:tc>
                <w:tcPr>
                  <w:tcW w:w="1045" w:type="dxa"/>
                  <w:tcBorders>
                    <w:tl2br w:val="nil"/>
                    <w:tr2bl w:val="nil"/>
                  </w:tcBorders>
                  <w:vAlign w:val="center"/>
                </w:tcPr>
                <w:p w14:paraId="007674DD">
                  <w:pPr>
                    <w:widowControl/>
                    <w:jc w:val="center"/>
                    <w:textAlignment w:val="center"/>
                    <w:rPr>
                      <w:color w:val="auto"/>
                      <w:kern w:val="0"/>
                      <w:szCs w:val="21"/>
                      <w:highlight w:val="none"/>
                      <w:lang w:bidi="ar"/>
                    </w:rPr>
                  </w:pPr>
                  <w:r>
                    <w:rPr>
                      <w:rFonts w:hint="eastAsia"/>
                      <w:color w:val="auto"/>
                      <w:kern w:val="0"/>
                      <w:szCs w:val="21"/>
                      <w:highlight w:val="none"/>
                      <w:lang w:bidi="ar"/>
                    </w:rPr>
                    <w:t>0.12</w:t>
                  </w:r>
                </w:p>
              </w:tc>
              <w:tc>
                <w:tcPr>
                  <w:tcW w:w="945" w:type="dxa"/>
                  <w:vMerge w:val="continue"/>
                  <w:tcBorders>
                    <w:tl2br w:val="nil"/>
                    <w:tr2bl w:val="nil"/>
                  </w:tcBorders>
                  <w:vAlign w:val="center"/>
                </w:tcPr>
                <w:p w14:paraId="5B6DE1AE">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2177AE2D">
                  <w:pPr>
                    <w:widowControl/>
                    <w:jc w:val="center"/>
                    <w:textAlignment w:val="center"/>
                    <w:rPr>
                      <w:color w:val="auto"/>
                      <w:kern w:val="0"/>
                      <w:szCs w:val="21"/>
                      <w:highlight w:val="none"/>
                      <w:lang w:bidi="ar"/>
                    </w:rPr>
                  </w:pPr>
                </w:p>
              </w:tc>
              <w:tc>
                <w:tcPr>
                  <w:tcW w:w="1084" w:type="dxa"/>
                  <w:tcBorders>
                    <w:tl2br w:val="nil"/>
                    <w:tr2bl w:val="nil"/>
                  </w:tcBorders>
                  <w:vAlign w:val="center"/>
                </w:tcPr>
                <w:p w14:paraId="0761AAC0">
                  <w:pPr>
                    <w:widowControl/>
                    <w:jc w:val="center"/>
                    <w:textAlignment w:val="center"/>
                    <w:rPr>
                      <w:color w:val="auto"/>
                      <w:kern w:val="0"/>
                      <w:szCs w:val="21"/>
                      <w:highlight w:val="none"/>
                      <w:lang w:bidi="ar"/>
                    </w:rPr>
                  </w:pPr>
                  <w:r>
                    <w:rPr>
                      <w:rFonts w:hint="eastAsia"/>
                      <w:color w:val="auto"/>
                      <w:kern w:val="0"/>
                      <w:szCs w:val="21"/>
                      <w:highlight w:val="none"/>
                      <w:lang w:bidi="ar"/>
                    </w:rPr>
                    <w:t>12</w:t>
                  </w:r>
                </w:p>
              </w:tc>
              <w:tc>
                <w:tcPr>
                  <w:tcW w:w="976" w:type="dxa"/>
                  <w:tcBorders>
                    <w:tl2br w:val="nil"/>
                    <w:tr2bl w:val="nil"/>
                  </w:tcBorders>
                  <w:vAlign w:val="center"/>
                </w:tcPr>
                <w:p w14:paraId="48E03648">
                  <w:pPr>
                    <w:widowControl/>
                    <w:jc w:val="center"/>
                    <w:textAlignment w:val="center"/>
                    <w:rPr>
                      <w:color w:val="auto"/>
                      <w:kern w:val="0"/>
                      <w:szCs w:val="21"/>
                      <w:highlight w:val="none"/>
                      <w:lang w:bidi="ar"/>
                    </w:rPr>
                  </w:pPr>
                  <w:r>
                    <w:rPr>
                      <w:rFonts w:hint="eastAsia"/>
                      <w:color w:val="auto"/>
                      <w:kern w:val="0"/>
                      <w:szCs w:val="21"/>
                      <w:highlight w:val="none"/>
                      <w:lang w:bidi="ar"/>
                    </w:rPr>
                    <w:t>0.0108</w:t>
                  </w:r>
                </w:p>
              </w:tc>
            </w:tr>
            <w:tr w14:paraId="17E8F3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7DBB92A0">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1FF5065A">
                  <w:pPr>
                    <w:widowControl/>
                    <w:jc w:val="center"/>
                    <w:textAlignment w:val="center"/>
                    <w:rPr>
                      <w:color w:val="auto"/>
                      <w:kern w:val="0"/>
                      <w:szCs w:val="21"/>
                      <w:highlight w:val="none"/>
                      <w:lang w:bidi="ar"/>
                    </w:rPr>
                  </w:pPr>
                </w:p>
              </w:tc>
              <w:tc>
                <w:tcPr>
                  <w:tcW w:w="806" w:type="dxa"/>
                  <w:tcBorders>
                    <w:tl2br w:val="nil"/>
                    <w:tr2bl w:val="nil"/>
                  </w:tcBorders>
                  <w:vAlign w:val="center"/>
                </w:tcPr>
                <w:p w14:paraId="160178D9">
                  <w:pPr>
                    <w:widowControl/>
                    <w:jc w:val="center"/>
                    <w:textAlignment w:val="center"/>
                    <w:rPr>
                      <w:color w:val="auto"/>
                      <w:kern w:val="0"/>
                      <w:szCs w:val="21"/>
                      <w:highlight w:val="none"/>
                      <w:lang w:bidi="ar"/>
                    </w:rPr>
                  </w:pPr>
                  <w:r>
                    <w:rPr>
                      <w:color w:val="auto"/>
                      <w:kern w:val="0"/>
                      <w:szCs w:val="21"/>
                      <w:highlight w:val="none"/>
                      <w:lang w:bidi="ar"/>
                    </w:rPr>
                    <w:t>SS</w:t>
                  </w:r>
                </w:p>
              </w:tc>
              <w:tc>
                <w:tcPr>
                  <w:tcW w:w="1084" w:type="dxa"/>
                  <w:tcBorders>
                    <w:tl2br w:val="nil"/>
                    <w:tr2bl w:val="nil"/>
                  </w:tcBorders>
                  <w:vAlign w:val="center"/>
                </w:tcPr>
                <w:p w14:paraId="5185E19E">
                  <w:pPr>
                    <w:widowControl/>
                    <w:jc w:val="center"/>
                    <w:textAlignment w:val="center"/>
                    <w:rPr>
                      <w:color w:val="auto"/>
                      <w:kern w:val="0"/>
                      <w:szCs w:val="21"/>
                      <w:highlight w:val="none"/>
                      <w:lang w:bidi="ar"/>
                    </w:rPr>
                  </w:pPr>
                  <w:r>
                    <w:rPr>
                      <w:rFonts w:hint="eastAsia"/>
                      <w:color w:val="auto"/>
                      <w:kern w:val="0"/>
                      <w:szCs w:val="21"/>
                      <w:highlight w:val="none"/>
                      <w:lang w:bidi="ar"/>
                    </w:rPr>
                    <w:t>80</w:t>
                  </w:r>
                </w:p>
              </w:tc>
              <w:tc>
                <w:tcPr>
                  <w:tcW w:w="1045" w:type="dxa"/>
                  <w:tcBorders>
                    <w:tl2br w:val="nil"/>
                    <w:tr2bl w:val="nil"/>
                  </w:tcBorders>
                  <w:vAlign w:val="center"/>
                </w:tcPr>
                <w:p w14:paraId="182D3A80">
                  <w:pPr>
                    <w:widowControl/>
                    <w:jc w:val="center"/>
                    <w:textAlignment w:val="center"/>
                    <w:rPr>
                      <w:color w:val="auto"/>
                      <w:kern w:val="0"/>
                      <w:szCs w:val="21"/>
                      <w:highlight w:val="none"/>
                      <w:lang w:bidi="ar"/>
                    </w:rPr>
                  </w:pPr>
                  <w:r>
                    <w:rPr>
                      <w:rFonts w:hint="eastAsia"/>
                      <w:color w:val="auto"/>
                      <w:kern w:val="0"/>
                      <w:szCs w:val="21"/>
                      <w:highlight w:val="none"/>
                      <w:lang w:bidi="ar"/>
                    </w:rPr>
                    <w:t>0.32</w:t>
                  </w:r>
                </w:p>
              </w:tc>
              <w:tc>
                <w:tcPr>
                  <w:tcW w:w="945" w:type="dxa"/>
                  <w:vMerge w:val="continue"/>
                  <w:tcBorders>
                    <w:tl2br w:val="nil"/>
                    <w:tr2bl w:val="nil"/>
                  </w:tcBorders>
                  <w:vAlign w:val="center"/>
                </w:tcPr>
                <w:p w14:paraId="1A29FAA6">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578163FB">
                  <w:pPr>
                    <w:widowControl/>
                    <w:jc w:val="center"/>
                    <w:textAlignment w:val="center"/>
                    <w:rPr>
                      <w:color w:val="auto"/>
                      <w:kern w:val="0"/>
                      <w:szCs w:val="21"/>
                      <w:highlight w:val="none"/>
                      <w:lang w:bidi="ar"/>
                    </w:rPr>
                  </w:pPr>
                </w:p>
              </w:tc>
              <w:tc>
                <w:tcPr>
                  <w:tcW w:w="1084" w:type="dxa"/>
                  <w:tcBorders>
                    <w:tl2br w:val="nil"/>
                    <w:tr2bl w:val="nil"/>
                  </w:tcBorders>
                  <w:vAlign w:val="center"/>
                </w:tcPr>
                <w:p w14:paraId="19E57E6F">
                  <w:pPr>
                    <w:widowControl/>
                    <w:jc w:val="center"/>
                    <w:textAlignment w:val="center"/>
                    <w:rPr>
                      <w:color w:val="auto"/>
                      <w:kern w:val="0"/>
                      <w:szCs w:val="21"/>
                      <w:highlight w:val="none"/>
                      <w:lang w:bidi="ar"/>
                    </w:rPr>
                  </w:pPr>
                  <w:r>
                    <w:rPr>
                      <w:rFonts w:hint="eastAsia"/>
                      <w:color w:val="auto"/>
                      <w:kern w:val="0"/>
                      <w:szCs w:val="21"/>
                      <w:highlight w:val="none"/>
                      <w:lang w:bidi="ar"/>
                    </w:rPr>
                    <w:t>8</w:t>
                  </w:r>
                </w:p>
              </w:tc>
              <w:tc>
                <w:tcPr>
                  <w:tcW w:w="976" w:type="dxa"/>
                  <w:tcBorders>
                    <w:tl2br w:val="nil"/>
                    <w:tr2bl w:val="nil"/>
                  </w:tcBorders>
                  <w:vAlign w:val="center"/>
                </w:tcPr>
                <w:p w14:paraId="14303188">
                  <w:pPr>
                    <w:widowControl/>
                    <w:jc w:val="center"/>
                    <w:textAlignment w:val="center"/>
                    <w:rPr>
                      <w:color w:val="auto"/>
                      <w:kern w:val="0"/>
                      <w:szCs w:val="21"/>
                      <w:highlight w:val="none"/>
                      <w:lang w:bidi="ar"/>
                    </w:rPr>
                  </w:pPr>
                  <w:r>
                    <w:rPr>
                      <w:rFonts w:hint="eastAsia"/>
                      <w:color w:val="auto"/>
                      <w:kern w:val="0"/>
                      <w:szCs w:val="21"/>
                      <w:highlight w:val="none"/>
                      <w:lang w:bidi="ar"/>
                    </w:rPr>
                    <w:t>0.0648</w:t>
                  </w:r>
                </w:p>
              </w:tc>
            </w:tr>
            <w:tr w14:paraId="36E37D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5ED7AE1F">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133FC969">
                  <w:pPr>
                    <w:widowControl/>
                    <w:jc w:val="center"/>
                    <w:textAlignment w:val="center"/>
                    <w:rPr>
                      <w:color w:val="auto"/>
                      <w:kern w:val="0"/>
                      <w:szCs w:val="21"/>
                      <w:highlight w:val="none"/>
                      <w:lang w:bidi="ar"/>
                    </w:rPr>
                  </w:pPr>
                </w:p>
              </w:tc>
              <w:tc>
                <w:tcPr>
                  <w:tcW w:w="806" w:type="dxa"/>
                  <w:tcBorders>
                    <w:tl2br w:val="nil"/>
                    <w:tr2bl w:val="nil"/>
                  </w:tcBorders>
                  <w:vAlign w:val="center"/>
                </w:tcPr>
                <w:p w14:paraId="111E7513">
                  <w:pPr>
                    <w:widowControl/>
                    <w:jc w:val="center"/>
                    <w:textAlignment w:val="center"/>
                    <w:rPr>
                      <w:color w:val="auto"/>
                      <w:kern w:val="0"/>
                      <w:szCs w:val="21"/>
                      <w:highlight w:val="none"/>
                      <w:lang w:bidi="ar"/>
                    </w:rPr>
                  </w:pPr>
                  <w:r>
                    <w:rPr>
                      <w:rFonts w:hint="eastAsia"/>
                      <w:color w:val="auto"/>
                      <w:kern w:val="0"/>
                      <w:szCs w:val="21"/>
                      <w:highlight w:val="none"/>
                      <w:lang w:bidi="ar"/>
                    </w:rPr>
                    <w:t>粪大肠菌群（个/L）</w:t>
                  </w:r>
                </w:p>
              </w:tc>
              <w:tc>
                <w:tcPr>
                  <w:tcW w:w="1084" w:type="dxa"/>
                  <w:tcBorders>
                    <w:tl2br w:val="nil"/>
                    <w:tr2bl w:val="nil"/>
                  </w:tcBorders>
                  <w:vAlign w:val="center"/>
                </w:tcPr>
                <w:p w14:paraId="587E08A8">
                  <w:pPr>
                    <w:widowControl/>
                    <w:jc w:val="center"/>
                    <w:textAlignment w:val="center"/>
                    <w:rPr>
                      <w:color w:val="auto"/>
                      <w:kern w:val="0"/>
                      <w:szCs w:val="21"/>
                      <w:highlight w:val="none"/>
                      <w:lang w:bidi="ar"/>
                    </w:rPr>
                  </w:pPr>
                  <w:r>
                    <w:rPr>
                      <w:rFonts w:hint="eastAsia"/>
                      <w:color w:val="auto"/>
                      <w:kern w:val="0"/>
                      <w:szCs w:val="21"/>
                      <w:highlight w:val="none"/>
                      <w:lang w:bidi="ar"/>
                    </w:rPr>
                    <w:t>1.6</w:t>
                  </w:r>
                  <w:r>
                    <w:rPr>
                      <w:color w:val="auto"/>
                      <w:kern w:val="0"/>
                      <w:szCs w:val="21"/>
                      <w:highlight w:val="none"/>
                      <w:lang w:bidi="ar"/>
                    </w:rPr>
                    <w:t>×</w:t>
                  </w:r>
                  <w:r>
                    <w:rPr>
                      <w:rFonts w:hint="eastAsia"/>
                      <w:color w:val="auto"/>
                      <w:kern w:val="0"/>
                      <w:szCs w:val="21"/>
                      <w:highlight w:val="none"/>
                      <w:lang w:bidi="ar"/>
                    </w:rPr>
                    <w:t>10</w:t>
                  </w:r>
                  <w:r>
                    <w:rPr>
                      <w:rFonts w:hint="eastAsia"/>
                      <w:color w:val="auto"/>
                      <w:kern w:val="0"/>
                      <w:szCs w:val="21"/>
                      <w:highlight w:val="none"/>
                      <w:vertAlign w:val="superscript"/>
                      <w:lang w:bidi="ar"/>
                    </w:rPr>
                    <w:t>6</w:t>
                  </w:r>
                </w:p>
              </w:tc>
              <w:tc>
                <w:tcPr>
                  <w:tcW w:w="1045" w:type="dxa"/>
                  <w:tcBorders>
                    <w:tl2br w:val="nil"/>
                    <w:tr2bl w:val="nil"/>
                  </w:tcBorders>
                  <w:vAlign w:val="center"/>
                </w:tcPr>
                <w:p w14:paraId="761EFC0E">
                  <w:pPr>
                    <w:widowControl/>
                    <w:jc w:val="center"/>
                    <w:textAlignment w:val="center"/>
                    <w:rPr>
                      <w:color w:val="auto"/>
                      <w:kern w:val="0"/>
                      <w:szCs w:val="21"/>
                      <w:highlight w:val="none"/>
                      <w:lang w:bidi="ar"/>
                    </w:rPr>
                  </w:pPr>
                  <w:r>
                    <w:rPr>
                      <w:rFonts w:hint="eastAsia"/>
                      <w:color w:val="auto"/>
                      <w:kern w:val="0"/>
                      <w:szCs w:val="21"/>
                      <w:highlight w:val="none"/>
                      <w:lang w:bidi="ar"/>
                    </w:rPr>
                    <w:t>6.36</w:t>
                  </w:r>
                  <w:r>
                    <w:rPr>
                      <w:color w:val="auto"/>
                      <w:kern w:val="0"/>
                      <w:szCs w:val="21"/>
                      <w:highlight w:val="none"/>
                      <w:lang w:bidi="ar"/>
                    </w:rPr>
                    <w:t>×</w:t>
                  </w:r>
                  <w:r>
                    <w:rPr>
                      <w:rFonts w:hint="eastAsia"/>
                      <w:color w:val="auto"/>
                      <w:kern w:val="0"/>
                      <w:szCs w:val="21"/>
                      <w:highlight w:val="none"/>
                      <w:lang w:bidi="ar"/>
                    </w:rPr>
                    <w:t>10</w:t>
                  </w:r>
                  <w:r>
                    <w:rPr>
                      <w:rFonts w:hint="eastAsia"/>
                      <w:color w:val="auto"/>
                      <w:kern w:val="0"/>
                      <w:szCs w:val="21"/>
                      <w:highlight w:val="none"/>
                      <w:vertAlign w:val="superscript"/>
                      <w:lang w:bidi="ar"/>
                    </w:rPr>
                    <w:t>12</w:t>
                  </w:r>
                </w:p>
              </w:tc>
              <w:tc>
                <w:tcPr>
                  <w:tcW w:w="945" w:type="dxa"/>
                  <w:vMerge w:val="continue"/>
                  <w:tcBorders>
                    <w:tl2br w:val="nil"/>
                    <w:tr2bl w:val="nil"/>
                  </w:tcBorders>
                  <w:vAlign w:val="center"/>
                </w:tcPr>
                <w:p w14:paraId="1DB89BED">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4E4289DF">
                  <w:pPr>
                    <w:widowControl/>
                    <w:jc w:val="center"/>
                    <w:textAlignment w:val="center"/>
                    <w:rPr>
                      <w:color w:val="auto"/>
                      <w:kern w:val="0"/>
                      <w:szCs w:val="21"/>
                      <w:highlight w:val="none"/>
                      <w:lang w:bidi="ar"/>
                    </w:rPr>
                  </w:pPr>
                </w:p>
              </w:tc>
              <w:tc>
                <w:tcPr>
                  <w:tcW w:w="1084" w:type="dxa"/>
                  <w:tcBorders>
                    <w:tl2br w:val="nil"/>
                    <w:tr2bl w:val="nil"/>
                  </w:tcBorders>
                  <w:vAlign w:val="center"/>
                </w:tcPr>
                <w:p w14:paraId="69B00162">
                  <w:pPr>
                    <w:widowControl/>
                    <w:jc w:val="center"/>
                    <w:textAlignment w:val="center"/>
                    <w:rPr>
                      <w:color w:val="auto"/>
                      <w:kern w:val="0"/>
                      <w:szCs w:val="21"/>
                      <w:highlight w:val="none"/>
                      <w:lang w:bidi="ar"/>
                    </w:rPr>
                  </w:pPr>
                  <w:r>
                    <w:rPr>
                      <w:rFonts w:hint="eastAsia"/>
                      <w:color w:val="auto"/>
                      <w:kern w:val="0"/>
                      <w:szCs w:val="21"/>
                      <w:highlight w:val="none"/>
                      <w:lang w:bidi="ar"/>
                    </w:rPr>
                    <w:t>1.6</w:t>
                  </w:r>
                  <w:r>
                    <w:rPr>
                      <w:color w:val="auto"/>
                      <w:kern w:val="0"/>
                      <w:szCs w:val="21"/>
                      <w:highlight w:val="none"/>
                      <w:lang w:bidi="ar"/>
                    </w:rPr>
                    <w:t>×</w:t>
                  </w:r>
                  <w:r>
                    <w:rPr>
                      <w:rFonts w:hint="eastAsia"/>
                      <w:color w:val="auto"/>
                      <w:kern w:val="0"/>
                      <w:szCs w:val="21"/>
                      <w:highlight w:val="none"/>
                      <w:lang w:bidi="ar"/>
                    </w:rPr>
                    <w:t>10</w:t>
                  </w:r>
                  <w:r>
                    <w:rPr>
                      <w:rFonts w:hint="eastAsia"/>
                      <w:color w:val="auto"/>
                      <w:kern w:val="0"/>
                      <w:szCs w:val="21"/>
                      <w:highlight w:val="none"/>
                      <w:vertAlign w:val="superscript"/>
                      <w:lang w:bidi="ar"/>
                    </w:rPr>
                    <w:t>3</w:t>
                  </w:r>
                </w:p>
              </w:tc>
              <w:tc>
                <w:tcPr>
                  <w:tcW w:w="976" w:type="dxa"/>
                  <w:tcBorders>
                    <w:tl2br w:val="nil"/>
                    <w:tr2bl w:val="nil"/>
                  </w:tcBorders>
                  <w:vAlign w:val="center"/>
                </w:tcPr>
                <w:p w14:paraId="2031F07C">
                  <w:pPr>
                    <w:widowControl/>
                    <w:jc w:val="center"/>
                    <w:textAlignment w:val="center"/>
                    <w:rPr>
                      <w:color w:val="auto"/>
                      <w:kern w:val="0"/>
                      <w:szCs w:val="21"/>
                      <w:highlight w:val="none"/>
                      <w:lang w:bidi="ar"/>
                    </w:rPr>
                  </w:pPr>
                  <w:r>
                    <w:rPr>
                      <w:rFonts w:hint="eastAsia"/>
                      <w:color w:val="auto"/>
                      <w:kern w:val="0"/>
                      <w:szCs w:val="21"/>
                      <w:highlight w:val="none"/>
                      <w:lang w:bidi="ar"/>
                    </w:rPr>
                    <w:t>6.36</w:t>
                  </w:r>
                  <w:r>
                    <w:rPr>
                      <w:color w:val="auto"/>
                      <w:kern w:val="0"/>
                      <w:szCs w:val="21"/>
                      <w:highlight w:val="none"/>
                      <w:lang w:bidi="ar"/>
                    </w:rPr>
                    <w:t>×</w:t>
                  </w:r>
                  <w:r>
                    <w:rPr>
                      <w:rFonts w:hint="eastAsia"/>
                      <w:color w:val="auto"/>
                      <w:kern w:val="0"/>
                      <w:szCs w:val="21"/>
                      <w:highlight w:val="none"/>
                      <w:lang w:bidi="ar"/>
                    </w:rPr>
                    <w:t>10</w:t>
                  </w:r>
                  <w:r>
                    <w:rPr>
                      <w:rFonts w:hint="eastAsia"/>
                      <w:color w:val="auto"/>
                      <w:kern w:val="0"/>
                      <w:szCs w:val="21"/>
                      <w:highlight w:val="none"/>
                      <w:vertAlign w:val="superscript"/>
                      <w:lang w:bidi="ar"/>
                    </w:rPr>
                    <w:t>9</w:t>
                  </w:r>
                  <w:r>
                    <w:rPr>
                      <w:rFonts w:hint="eastAsia"/>
                      <w:color w:val="auto"/>
                      <w:kern w:val="0"/>
                      <w:szCs w:val="21"/>
                      <w:highlight w:val="none"/>
                      <w:lang w:bidi="ar"/>
                    </w:rPr>
                    <w:t>个</w:t>
                  </w:r>
                  <w:r>
                    <w:rPr>
                      <w:color w:val="auto"/>
                      <w:kern w:val="0"/>
                      <w:szCs w:val="21"/>
                      <w:highlight w:val="none"/>
                      <w:lang w:bidi="ar"/>
                    </w:rPr>
                    <w:t>/a</w:t>
                  </w:r>
                </w:p>
              </w:tc>
            </w:tr>
            <w:tr w14:paraId="0736EF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restart"/>
                  <w:tcBorders>
                    <w:tl2br w:val="nil"/>
                    <w:tr2bl w:val="nil"/>
                  </w:tcBorders>
                  <w:vAlign w:val="center"/>
                </w:tcPr>
                <w:p w14:paraId="504E55F2">
                  <w:pPr>
                    <w:widowControl/>
                    <w:jc w:val="center"/>
                    <w:textAlignment w:val="center"/>
                    <w:rPr>
                      <w:color w:val="auto"/>
                      <w:kern w:val="0"/>
                      <w:szCs w:val="21"/>
                      <w:highlight w:val="none"/>
                      <w:lang w:bidi="ar"/>
                    </w:rPr>
                  </w:pPr>
                  <w:r>
                    <w:rPr>
                      <w:rFonts w:hint="eastAsia"/>
                      <w:color w:val="auto"/>
                      <w:kern w:val="0"/>
                      <w:szCs w:val="21"/>
                      <w:highlight w:val="none"/>
                      <w:lang w:bidi="ar"/>
                    </w:rPr>
                    <w:t>地面清洗废水</w:t>
                  </w:r>
                </w:p>
              </w:tc>
              <w:tc>
                <w:tcPr>
                  <w:tcW w:w="689" w:type="dxa"/>
                  <w:vMerge w:val="restart"/>
                  <w:tcBorders>
                    <w:tl2br w:val="nil"/>
                    <w:tr2bl w:val="nil"/>
                  </w:tcBorders>
                  <w:vAlign w:val="center"/>
                </w:tcPr>
                <w:p w14:paraId="6843FEFA">
                  <w:pPr>
                    <w:widowControl/>
                    <w:jc w:val="center"/>
                    <w:textAlignment w:val="center"/>
                    <w:rPr>
                      <w:color w:val="auto"/>
                      <w:kern w:val="0"/>
                      <w:szCs w:val="21"/>
                      <w:highlight w:val="none"/>
                      <w:lang w:bidi="ar"/>
                    </w:rPr>
                  </w:pPr>
                  <w:r>
                    <w:rPr>
                      <w:rFonts w:hint="eastAsia"/>
                      <w:color w:val="auto"/>
                      <w:kern w:val="0"/>
                      <w:szCs w:val="21"/>
                      <w:highlight w:val="none"/>
                      <w:lang w:bidi="ar"/>
                    </w:rPr>
                    <w:t>1395.76</w:t>
                  </w:r>
                </w:p>
              </w:tc>
              <w:tc>
                <w:tcPr>
                  <w:tcW w:w="806" w:type="dxa"/>
                  <w:tcBorders>
                    <w:tl2br w:val="nil"/>
                    <w:tr2bl w:val="nil"/>
                  </w:tcBorders>
                  <w:shd w:val="clear" w:color="auto" w:fill="auto"/>
                  <w:vAlign w:val="center"/>
                </w:tcPr>
                <w:p w14:paraId="1399A366">
                  <w:pPr>
                    <w:widowControl/>
                    <w:jc w:val="center"/>
                    <w:textAlignment w:val="center"/>
                    <w:rPr>
                      <w:color w:val="auto"/>
                      <w:kern w:val="0"/>
                      <w:szCs w:val="21"/>
                      <w:highlight w:val="none"/>
                      <w:lang w:bidi="ar"/>
                    </w:rPr>
                  </w:pPr>
                  <w:r>
                    <w:rPr>
                      <w:color w:val="auto"/>
                      <w:kern w:val="0"/>
                      <w:szCs w:val="21"/>
                      <w:highlight w:val="none"/>
                      <w:lang w:bidi="ar"/>
                    </w:rPr>
                    <w:t>COD</w:t>
                  </w:r>
                </w:p>
              </w:tc>
              <w:tc>
                <w:tcPr>
                  <w:tcW w:w="1084" w:type="dxa"/>
                  <w:tcBorders>
                    <w:tl2br w:val="nil"/>
                    <w:tr2bl w:val="nil"/>
                  </w:tcBorders>
                  <w:vAlign w:val="center"/>
                </w:tcPr>
                <w:p w14:paraId="081E4D16">
                  <w:pPr>
                    <w:widowControl/>
                    <w:jc w:val="center"/>
                    <w:textAlignment w:val="center"/>
                    <w:rPr>
                      <w:color w:val="auto"/>
                      <w:kern w:val="0"/>
                      <w:szCs w:val="21"/>
                      <w:highlight w:val="none"/>
                      <w:lang w:bidi="ar"/>
                    </w:rPr>
                  </w:pPr>
                  <w:r>
                    <w:rPr>
                      <w:rFonts w:hint="eastAsia"/>
                      <w:color w:val="auto"/>
                      <w:kern w:val="0"/>
                      <w:szCs w:val="21"/>
                      <w:highlight w:val="none"/>
                      <w:lang w:bidi="ar"/>
                    </w:rPr>
                    <w:t>200</w:t>
                  </w:r>
                </w:p>
              </w:tc>
              <w:tc>
                <w:tcPr>
                  <w:tcW w:w="1045" w:type="dxa"/>
                  <w:tcBorders>
                    <w:tl2br w:val="nil"/>
                    <w:tr2bl w:val="nil"/>
                  </w:tcBorders>
                  <w:vAlign w:val="center"/>
                </w:tcPr>
                <w:p w14:paraId="0D7FEDFB">
                  <w:pPr>
                    <w:widowControl/>
                    <w:jc w:val="center"/>
                    <w:textAlignment w:val="center"/>
                    <w:rPr>
                      <w:color w:val="auto"/>
                      <w:kern w:val="0"/>
                      <w:szCs w:val="21"/>
                      <w:highlight w:val="none"/>
                      <w:lang w:bidi="ar"/>
                    </w:rPr>
                  </w:pPr>
                  <w:r>
                    <w:rPr>
                      <w:rFonts w:hint="eastAsia"/>
                      <w:color w:val="auto"/>
                      <w:kern w:val="0"/>
                      <w:szCs w:val="21"/>
                      <w:highlight w:val="none"/>
                      <w:lang w:bidi="ar"/>
                    </w:rPr>
                    <w:t>0.28</w:t>
                  </w:r>
                </w:p>
              </w:tc>
              <w:tc>
                <w:tcPr>
                  <w:tcW w:w="945" w:type="dxa"/>
                  <w:vMerge w:val="continue"/>
                  <w:tcBorders>
                    <w:tl2br w:val="nil"/>
                    <w:tr2bl w:val="nil"/>
                  </w:tcBorders>
                  <w:vAlign w:val="center"/>
                </w:tcPr>
                <w:p w14:paraId="7FD9775E">
                  <w:pPr>
                    <w:widowControl/>
                    <w:jc w:val="center"/>
                    <w:textAlignment w:val="center"/>
                    <w:rPr>
                      <w:color w:val="auto"/>
                      <w:kern w:val="0"/>
                      <w:szCs w:val="21"/>
                      <w:highlight w:val="none"/>
                      <w:lang w:bidi="ar"/>
                    </w:rPr>
                  </w:pPr>
                </w:p>
              </w:tc>
              <w:tc>
                <w:tcPr>
                  <w:tcW w:w="849" w:type="dxa"/>
                  <w:vMerge w:val="restart"/>
                  <w:tcBorders>
                    <w:tl2br w:val="nil"/>
                    <w:tr2bl w:val="nil"/>
                  </w:tcBorders>
                  <w:vAlign w:val="center"/>
                </w:tcPr>
                <w:p w14:paraId="54C55266">
                  <w:pPr>
                    <w:widowControl/>
                    <w:jc w:val="center"/>
                    <w:textAlignment w:val="center"/>
                    <w:rPr>
                      <w:color w:val="auto"/>
                      <w:kern w:val="0"/>
                      <w:szCs w:val="21"/>
                      <w:highlight w:val="none"/>
                      <w:lang w:bidi="ar"/>
                    </w:rPr>
                  </w:pPr>
                  <w:r>
                    <w:rPr>
                      <w:rFonts w:hint="eastAsia"/>
                      <w:color w:val="auto"/>
                      <w:kern w:val="0"/>
                      <w:szCs w:val="21"/>
                      <w:highlight w:val="none"/>
                      <w:lang w:bidi="ar"/>
                    </w:rPr>
                    <w:t>1395.76</w:t>
                  </w:r>
                </w:p>
              </w:tc>
              <w:tc>
                <w:tcPr>
                  <w:tcW w:w="1084" w:type="dxa"/>
                  <w:tcBorders>
                    <w:tl2br w:val="nil"/>
                    <w:tr2bl w:val="nil"/>
                  </w:tcBorders>
                  <w:vAlign w:val="center"/>
                </w:tcPr>
                <w:p w14:paraId="30F6F9A2">
                  <w:pPr>
                    <w:widowControl/>
                    <w:jc w:val="center"/>
                    <w:textAlignment w:val="center"/>
                    <w:rPr>
                      <w:color w:val="auto"/>
                      <w:kern w:val="0"/>
                      <w:szCs w:val="21"/>
                      <w:highlight w:val="none"/>
                      <w:lang w:bidi="ar"/>
                    </w:rPr>
                  </w:pPr>
                  <w:r>
                    <w:rPr>
                      <w:rFonts w:hint="eastAsia"/>
                      <w:color w:val="auto"/>
                      <w:kern w:val="0"/>
                      <w:szCs w:val="21"/>
                      <w:highlight w:val="none"/>
                      <w:lang w:bidi="ar"/>
                    </w:rPr>
                    <w:t>40</w:t>
                  </w:r>
                </w:p>
              </w:tc>
              <w:tc>
                <w:tcPr>
                  <w:tcW w:w="976" w:type="dxa"/>
                  <w:tcBorders>
                    <w:tl2br w:val="nil"/>
                    <w:tr2bl w:val="nil"/>
                  </w:tcBorders>
                  <w:shd w:val="clear" w:color="auto" w:fill="auto"/>
                  <w:vAlign w:val="center"/>
                </w:tcPr>
                <w:p w14:paraId="0DD388E2">
                  <w:pPr>
                    <w:widowControl/>
                    <w:jc w:val="center"/>
                    <w:textAlignment w:val="center"/>
                    <w:rPr>
                      <w:color w:val="auto"/>
                      <w:kern w:val="0"/>
                      <w:szCs w:val="21"/>
                      <w:highlight w:val="none"/>
                      <w:lang w:bidi="ar"/>
                    </w:rPr>
                  </w:pPr>
                  <w:r>
                    <w:rPr>
                      <w:rFonts w:hint="eastAsia"/>
                      <w:color w:val="auto"/>
                      <w:kern w:val="0"/>
                      <w:szCs w:val="21"/>
                      <w:highlight w:val="none"/>
                      <w:lang w:bidi="ar"/>
                    </w:rPr>
                    <w:t>0.056</w:t>
                  </w:r>
                </w:p>
              </w:tc>
            </w:tr>
            <w:tr w14:paraId="0CE277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617F068B">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612ADD62">
                  <w:pPr>
                    <w:widowControl/>
                    <w:jc w:val="center"/>
                    <w:textAlignment w:val="center"/>
                    <w:rPr>
                      <w:color w:val="auto"/>
                      <w:kern w:val="0"/>
                      <w:szCs w:val="21"/>
                      <w:highlight w:val="none"/>
                      <w:lang w:bidi="ar"/>
                    </w:rPr>
                  </w:pPr>
                </w:p>
              </w:tc>
              <w:tc>
                <w:tcPr>
                  <w:tcW w:w="806" w:type="dxa"/>
                  <w:tcBorders>
                    <w:tl2br w:val="nil"/>
                    <w:tr2bl w:val="nil"/>
                  </w:tcBorders>
                  <w:shd w:val="clear" w:color="auto" w:fill="auto"/>
                  <w:vAlign w:val="center"/>
                </w:tcPr>
                <w:p w14:paraId="447BDF1B">
                  <w:pPr>
                    <w:widowControl/>
                    <w:jc w:val="center"/>
                    <w:textAlignment w:val="center"/>
                    <w:rPr>
                      <w:color w:val="auto"/>
                      <w:kern w:val="0"/>
                      <w:szCs w:val="21"/>
                      <w:highlight w:val="none"/>
                      <w:lang w:bidi="ar"/>
                    </w:rPr>
                  </w:pPr>
                  <w:r>
                    <w:rPr>
                      <w:color w:val="auto"/>
                      <w:kern w:val="0"/>
                      <w:szCs w:val="21"/>
                      <w:highlight w:val="none"/>
                      <w:lang w:bidi="ar"/>
                    </w:rPr>
                    <w:t>BOD</w:t>
                  </w:r>
                  <w:r>
                    <w:rPr>
                      <w:color w:val="auto"/>
                      <w:kern w:val="0"/>
                      <w:szCs w:val="21"/>
                      <w:highlight w:val="none"/>
                      <w:vertAlign w:val="subscript"/>
                      <w:lang w:bidi="ar"/>
                    </w:rPr>
                    <w:t>5</w:t>
                  </w:r>
                </w:p>
              </w:tc>
              <w:tc>
                <w:tcPr>
                  <w:tcW w:w="1084" w:type="dxa"/>
                  <w:tcBorders>
                    <w:tl2br w:val="nil"/>
                    <w:tr2bl w:val="nil"/>
                  </w:tcBorders>
                  <w:vAlign w:val="center"/>
                </w:tcPr>
                <w:p w14:paraId="5F2AD4DD">
                  <w:pPr>
                    <w:widowControl/>
                    <w:jc w:val="center"/>
                    <w:textAlignment w:val="center"/>
                    <w:rPr>
                      <w:color w:val="auto"/>
                      <w:kern w:val="0"/>
                      <w:szCs w:val="21"/>
                      <w:highlight w:val="none"/>
                      <w:lang w:bidi="ar"/>
                    </w:rPr>
                  </w:pPr>
                  <w:r>
                    <w:rPr>
                      <w:rFonts w:hint="eastAsia"/>
                      <w:color w:val="auto"/>
                      <w:kern w:val="0"/>
                      <w:szCs w:val="21"/>
                      <w:highlight w:val="none"/>
                      <w:lang w:bidi="ar"/>
                    </w:rPr>
                    <w:t>100</w:t>
                  </w:r>
                </w:p>
              </w:tc>
              <w:tc>
                <w:tcPr>
                  <w:tcW w:w="1045" w:type="dxa"/>
                  <w:tcBorders>
                    <w:tl2br w:val="nil"/>
                    <w:tr2bl w:val="nil"/>
                  </w:tcBorders>
                  <w:vAlign w:val="center"/>
                </w:tcPr>
                <w:p w14:paraId="09351C1F">
                  <w:pPr>
                    <w:widowControl/>
                    <w:jc w:val="center"/>
                    <w:textAlignment w:val="center"/>
                    <w:rPr>
                      <w:color w:val="auto"/>
                      <w:kern w:val="0"/>
                      <w:szCs w:val="21"/>
                      <w:highlight w:val="none"/>
                      <w:lang w:bidi="ar"/>
                    </w:rPr>
                  </w:pPr>
                  <w:r>
                    <w:rPr>
                      <w:rFonts w:hint="eastAsia"/>
                      <w:color w:val="auto"/>
                      <w:kern w:val="0"/>
                      <w:szCs w:val="21"/>
                      <w:highlight w:val="none"/>
                      <w:lang w:bidi="ar"/>
                    </w:rPr>
                    <w:t>0.14</w:t>
                  </w:r>
                </w:p>
              </w:tc>
              <w:tc>
                <w:tcPr>
                  <w:tcW w:w="945" w:type="dxa"/>
                  <w:vMerge w:val="continue"/>
                  <w:tcBorders>
                    <w:tl2br w:val="nil"/>
                    <w:tr2bl w:val="nil"/>
                  </w:tcBorders>
                  <w:vAlign w:val="center"/>
                </w:tcPr>
                <w:p w14:paraId="55849213">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59E4C150">
                  <w:pPr>
                    <w:widowControl/>
                    <w:jc w:val="center"/>
                    <w:textAlignment w:val="center"/>
                    <w:rPr>
                      <w:color w:val="auto"/>
                      <w:kern w:val="0"/>
                      <w:szCs w:val="21"/>
                      <w:highlight w:val="none"/>
                      <w:lang w:bidi="ar"/>
                    </w:rPr>
                  </w:pPr>
                </w:p>
              </w:tc>
              <w:tc>
                <w:tcPr>
                  <w:tcW w:w="1084" w:type="dxa"/>
                  <w:tcBorders>
                    <w:tl2br w:val="nil"/>
                    <w:tr2bl w:val="nil"/>
                  </w:tcBorders>
                  <w:vAlign w:val="center"/>
                </w:tcPr>
                <w:p w14:paraId="37D8EECF">
                  <w:pPr>
                    <w:widowControl/>
                    <w:jc w:val="center"/>
                    <w:textAlignment w:val="center"/>
                    <w:rPr>
                      <w:color w:val="auto"/>
                      <w:kern w:val="0"/>
                      <w:szCs w:val="21"/>
                      <w:highlight w:val="none"/>
                      <w:lang w:bidi="ar"/>
                    </w:rPr>
                  </w:pPr>
                  <w:r>
                    <w:rPr>
                      <w:rFonts w:hint="eastAsia"/>
                      <w:color w:val="auto"/>
                      <w:kern w:val="0"/>
                      <w:szCs w:val="21"/>
                      <w:highlight w:val="none"/>
                      <w:lang w:bidi="ar"/>
                    </w:rPr>
                    <w:t>10</w:t>
                  </w:r>
                </w:p>
              </w:tc>
              <w:tc>
                <w:tcPr>
                  <w:tcW w:w="976" w:type="dxa"/>
                  <w:tcBorders>
                    <w:tl2br w:val="nil"/>
                    <w:tr2bl w:val="nil"/>
                  </w:tcBorders>
                  <w:shd w:val="clear" w:color="auto" w:fill="auto"/>
                  <w:vAlign w:val="center"/>
                </w:tcPr>
                <w:p w14:paraId="184E3F63">
                  <w:pPr>
                    <w:widowControl/>
                    <w:jc w:val="center"/>
                    <w:textAlignment w:val="center"/>
                    <w:rPr>
                      <w:color w:val="auto"/>
                      <w:kern w:val="0"/>
                      <w:szCs w:val="21"/>
                      <w:highlight w:val="none"/>
                      <w:lang w:bidi="ar"/>
                    </w:rPr>
                  </w:pPr>
                  <w:r>
                    <w:rPr>
                      <w:rFonts w:hint="eastAsia"/>
                      <w:color w:val="auto"/>
                      <w:kern w:val="0"/>
                      <w:szCs w:val="21"/>
                      <w:highlight w:val="none"/>
                      <w:lang w:bidi="ar"/>
                    </w:rPr>
                    <w:t>0.014</w:t>
                  </w:r>
                </w:p>
              </w:tc>
            </w:tr>
            <w:tr w14:paraId="349F2F1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67162952">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583C2A32">
                  <w:pPr>
                    <w:widowControl/>
                    <w:jc w:val="center"/>
                    <w:textAlignment w:val="center"/>
                    <w:rPr>
                      <w:color w:val="auto"/>
                      <w:kern w:val="0"/>
                      <w:szCs w:val="21"/>
                      <w:highlight w:val="none"/>
                      <w:lang w:bidi="ar"/>
                    </w:rPr>
                  </w:pPr>
                </w:p>
              </w:tc>
              <w:tc>
                <w:tcPr>
                  <w:tcW w:w="806" w:type="dxa"/>
                  <w:tcBorders>
                    <w:tl2br w:val="nil"/>
                    <w:tr2bl w:val="nil"/>
                  </w:tcBorders>
                  <w:shd w:val="clear" w:color="auto" w:fill="auto"/>
                  <w:vAlign w:val="center"/>
                </w:tcPr>
                <w:p w14:paraId="172BA03A">
                  <w:pPr>
                    <w:widowControl/>
                    <w:jc w:val="center"/>
                    <w:textAlignment w:val="center"/>
                    <w:rPr>
                      <w:color w:val="auto"/>
                      <w:kern w:val="0"/>
                      <w:szCs w:val="21"/>
                      <w:highlight w:val="none"/>
                      <w:lang w:bidi="ar"/>
                    </w:rPr>
                  </w:pPr>
                  <w:r>
                    <w:rPr>
                      <w:color w:val="auto"/>
                      <w:kern w:val="0"/>
                      <w:szCs w:val="21"/>
                      <w:highlight w:val="none"/>
                      <w:lang w:bidi="ar"/>
                    </w:rPr>
                    <w:t>NH</w:t>
                  </w:r>
                  <w:r>
                    <w:rPr>
                      <w:color w:val="auto"/>
                      <w:kern w:val="0"/>
                      <w:szCs w:val="21"/>
                      <w:highlight w:val="none"/>
                      <w:vertAlign w:val="subscript"/>
                      <w:lang w:bidi="ar"/>
                    </w:rPr>
                    <w:t>3</w:t>
                  </w:r>
                  <w:r>
                    <w:rPr>
                      <w:color w:val="auto"/>
                      <w:kern w:val="0"/>
                      <w:szCs w:val="21"/>
                      <w:highlight w:val="none"/>
                      <w:lang w:bidi="ar"/>
                    </w:rPr>
                    <w:t>-N</w:t>
                  </w:r>
                </w:p>
              </w:tc>
              <w:tc>
                <w:tcPr>
                  <w:tcW w:w="1084" w:type="dxa"/>
                  <w:tcBorders>
                    <w:tl2br w:val="nil"/>
                    <w:tr2bl w:val="nil"/>
                  </w:tcBorders>
                  <w:vAlign w:val="center"/>
                </w:tcPr>
                <w:p w14:paraId="7FAE7F4C">
                  <w:pPr>
                    <w:widowControl/>
                    <w:jc w:val="center"/>
                    <w:textAlignment w:val="center"/>
                    <w:rPr>
                      <w:color w:val="auto"/>
                      <w:kern w:val="0"/>
                      <w:szCs w:val="21"/>
                      <w:highlight w:val="none"/>
                      <w:lang w:bidi="ar"/>
                    </w:rPr>
                  </w:pPr>
                  <w:r>
                    <w:rPr>
                      <w:rFonts w:hint="eastAsia"/>
                      <w:color w:val="auto"/>
                      <w:kern w:val="0"/>
                      <w:szCs w:val="21"/>
                      <w:highlight w:val="none"/>
                      <w:lang w:bidi="ar"/>
                    </w:rPr>
                    <w:t>20</w:t>
                  </w:r>
                </w:p>
              </w:tc>
              <w:tc>
                <w:tcPr>
                  <w:tcW w:w="1045" w:type="dxa"/>
                  <w:tcBorders>
                    <w:tl2br w:val="nil"/>
                    <w:tr2bl w:val="nil"/>
                  </w:tcBorders>
                  <w:vAlign w:val="center"/>
                </w:tcPr>
                <w:p w14:paraId="64568995">
                  <w:pPr>
                    <w:widowControl/>
                    <w:jc w:val="center"/>
                    <w:textAlignment w:val="center"/>
                    <w:rPr>
                      <w:color w:val="auto"/>
                      <w:kern w:val="0"/>
                      <w:szCs w:val="21"/>
                      <w:highlight w:val="none"/>
                      <w:lang w:bidi="ar"/>
                    </w:rPr>
                  </w:pPr>
                  <w:r>
                    <w:rPr>
                      <w:rFonts w:hint="eastAsia"/>
                      <w:color w:val="auto"/>
                      <w:kern w:val="0"/>
                      <w:szCs w:val="21"/>
                      <w:highlight w:val="none"/>
                      <w:lang w:bidi="ar"/>
                    </w:rPr>
                    <w:t>0.028</w:t>
                  </w:r>
                </w:p>
              </w:tc>
              <w:tc>
                <w:tcPr>
                  <w:tcW w:w="945" w:type="dxa"/>
                  <w:vMerge w:val="continue"/>
                  <w:tcBorders>
                    <w:tl2br w:val="nil"/>
                    <w:tr2bl w:val="nil"/>
                  </w:tcBorders>
                  <w:vAlign w:val="center"/>
                </w:tcPr>
                <w:p w14:paraId="66E90672">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14A94425">
                  <w:pPr>
                    <w:widowControl/>
                    <w:jc w:val="center"/>
                    <w:textAlignment w:val="center"/>
                    <w:rPr>
                      <w:color w:val="auto"/>
                      <w:kern w:val="0"/>
                      <w:szCs w:val="21"/>
                      <w:highlight w:val="none"/>
                      <w:lang w:bidi="ar"/>
                    </w:rPr>
                  </w:pPr>
                </w:p>
              </w:tc>
              <w:tc>
                <w:tcPr>
                  <w:tcW w:w="1084" w:type="dxa"/>
                  <w:tcBorders>
                    <w:tl2br w:val="nil"/>
                    <w:tr2bl w:val="nil"/>
                  </w:tcBorders>
                  <w:vAlign w:val="center"/>
                </w:tcPr>
                <w:p w14:paraId="3CA7F52A">
                  <w:pPr>
                    <w:widowControl/>
                    <w:jc w:val="center"/>
                    <w:textAlignment w:val="center"/>
                    <w:rPr>
                      <w:color w:val="auto"/>
                      <w:kern w:val="0"/>
                      <w:szCs w:val="21"/>
                      <w:highlight w:val="none"/>
                      <w:lang w:bidi="ar"/>
                    </w:rPr>
                  </w:pPr>
                  <w:r>
                    <w:rPr>
                      <w:rFonts w:hint="eastAsia"/>
                      <w:color w:val="auto"/>
                      <w:kern w:val="0"/>
                      <w:szCs w:val="21"/>
                      <w:highlight w:val="none"/>
                      <w:lang w:bidi="ar"/>
                    </w:rPr>
                    <w:t>8</w:t>
                  </w:r>
                </w:p>
              </w:tc>
              <w:tc>
                <w:tcPr>
                  <w:tcW w:w="976" w:type="dxa"/>
                  <w:tcBorders>
                    <w:tl2br w:val="nil"/>
                    <w:tr2bl w:val="nil"/>
                  </w:tcBorders>
                  <w:shd w:val="clear" w:color="auto" w:fill="auto"/>
                  <w:vAlign w:val="center"/>
                </w:tcPr>
                <w:p w14:paraId="12752F2B">
                  <w:pPr>
                    <w:widowControl/>
                    <w:jc w:val="center"/>
                    <w:textAlignment w:val="center"/>
                    <w:rPr>
                      <w:color w:val="auto"/>
                      <w:kern w:val="0"/>
                      <w:szCs w:val="21"/>
                      <w:highlight w:val="none"/>
                      <w:lang w:bidi="ar"/>
                    </w:rPr>
                  </w:pPr>
                  <w:r>
                    <w:rPr>
                      <w:rFonts w:hint="eastAsia"/>
                      <w:color w:val="auto"/>
                      <w:kern w:val="0"/>
                      <w:szCs w:val="21"/>
                      <w:highlight w:val="none"/>
                      <w:lang w:bidi="ar"/>
                    </w:rPr>
                    <w:t>0.011</w:t>
                  </w:r>
                </w:p>
              </w:tc>
            </w:tr>
            <w:tr w14:paraId="6F38FE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59DEF846">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59E76A9F">
                  <w:pPr>
                    <w:widowControl/>
                    <w:jc w:val="center"/>
                    <w:textAlignment w:val="center"/>
                    <w:rPr>
                      <w:color w:val="auto"/>
                      <w:kern w:val="0"/>
                      <w:szCs w:val="21"/>
                      <w:highlight w:val="none"/>
                      <w:lang w:bidi="ar"/>
                    </w:rPr>
                  </w:pPr>
                </w:p>
              </w:tc>
              <w:tc>
                <w:tcPr>
                  <w:tcW w:w="806" w:type="dxa"/>
                  <w:tcBorders>
                    <w:tl2br w:val="nil"/>
                    <w:tr2bl w:val="nil"/>
                  </w:tcBorders>
                  <w:shd w:val="clear" w:color="auto" w:fill="auto"/>
                  <w:vAlign w:val="center"/>
                </w:tcPr>
                <w:p w14:paraId="1DF243C2">
                  <w:pPr>
                    <w:widowControl/>
                    <w:jc w:val="center"/>
                    <w:textAlignment w:val="center"/>
                    <w:rPr>
                      <w:color w:val="auto"/>
                      <w:kern w:val="0"/>
                      <w:szCs w:val="21"/>
                      <w:highlight w:val="none"/>
                      <w:lang w:bidi="ar"/>
                    </w:rPr>
                  </w:pPr>
                  <w:r>
                    <w:rPr>
                      <w:color w:val="auto"/>
                      <w:kern w:val="0"/>
                      <w:szCs w:val="21"/>
                      <w:highlight w:val="none"/>
                      <w:lang w:bidi="ar"/>
                    </w:rPr>
                    <w:t>SS</w:t>
                  </w:r>
                </w:p>
              </w:tc>
              <w:tc>
                <w:tcPr>
                  <w:tcW w:w="1084" w:type="dxa"/>
                  <w:tcBorders>
                    <w:tl2br w:val="nil"/>
                    <w:tr2bl w:val="nil"/>
                  </w:tcBorders>
                  <w:vAlign w:val="center"/>
                </w:tcPr>
                <w:p w14:paraId="721E35D3">
                  <w:pPr>
                    <w:widowControl/>
                    <w:jc w:val="center"/>
                    <w:textAlignment w:val="center"/>
                    <w:rPr>
                      <w:color w:val="auto"/>
                      <w:kern w:val="0"/>
                      <w:szCs w:val="21"/>
                      <w:highlight w:val="none"/>
                      <w:lang w:bidi="ar"/>
                    </w:rPr>
                  </w:pPr>
                  <w:r>
                    <w:rPr>
                      <w:rFonts w:hint="eastAsia"/>
                      <w:color w:val="auto"/>
                      <w:kern w:val="0"/>
                      <w:szCs w:val="21"/>
                      <w:highlight w:val="none"/>
                      <w:lang w:bidi="ar"/>
                    </w:rPr>
                    <w:t>400</w:t>
                  </w:r>
                </w:p>
              </w:tc>
              <w:tc>
                <w:tcPr>
                  <w:tcW w:w="1045" w:type="dxa"/>
                  <w:tcBorders>
                    <w:tl2br w:val="nil"/>
                    <w:tr2bl w:val="nil"/>
                  </w:tcBorders>
                  <w:vAlign w:val="center"/>
                </w:tcPr>
                <w:p w14:paraId="0C03E361">
                  <w:pPr>
                    <w:widowControl/>
                    <w:jc w:val="center"/>
                    <w:textAlignment w:val="center"/>
                    <w:rPr>
                      <w:color w:val="auto"/>
                      <w:kern w:val="0"/>
                      <w:szCs w:val="21"/>
                      <w:highlight w:val="none"/>
                      <w:lang w:bidi="ar"/>
                    </w:rPr>
                  </w:pPr>
                  <w:r>
                    <w:rPr>
                      <w:rFonts w:hint="eastAsia"/>
                      <w:color w:val="auto"/>
                      <w:kern w:val="0"/>
                      <w:szCs w:val="21"/>
                      <w:highlight w:val="none"/>
                      <w:lang w:bidi="ar"/>
                    </w:rPr>
                    <w:t>0.56</w:t>
                  </w:r>
                </w:p>
              </w:tc>
              <w:tc>
                <w:tcPr>
                  <w:tcW w:w="945" w:type="dxa"/>
                  <w:vMerge w:val="continue"/>
                  <w:tcBorders>
                    <w:tl2br w:val="nil"/>
                    <w:tr2bl w:val="nil"/>
                  </w:tcBorders>
                  <w:vAlign w:val="center"/>
                </w:tcPr>
                <w:p w14:paraId="0C36C04E">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2B7C2F6D">
                  <w:pPr>
                    <w:widowControl/>
                    <w:jc w:val="center"/>
                    <w:textAlignment w:val="center"/>
                    <w:rPr>
                      <w:color w:val="auto"/>
                      <w:kern w:val="0"/>
                      <w:szCs w:val="21"/>
                      <w:highlight w:val="none"/>
                      <w:lang w:bidi="ar"/>
                    </w:rPr>
                  </w:pPr>
                </w:p>
              </w:tc>
              <w:tc>
                <w:tcPr>
                  <w:tcW w:w="1084" w:type="dxa"/>
                  <w:tcBorders>
                    <w:tl2br w:val="nil"/>
                    <w:tr2bl w:val="nil"/>
                  </w:tcBorders>
                  <w:vAlign w:val="center"/>
                </w:tcPr>
                <w:p w14:paraId="56344030">
                  <w:pPr>
                    <w:widowControl/>
                    <w:jc w:val="center"/>
                    <w:textAlignment w:val="center"/>
                    <w:rPr>
                      <w:color w:val="auto"/>
                      <w:kern w:val="0"/>
                      <w:szCs w:val="21"/>
                      <w:highlight w:val="none"/>
                      <w:lang w:bidi="ar"/>
                    </w:rPr>
                  </w:pPr>
                  <w:r>
                    <w:rPr>
                      <w:rFonts w:hint="eastAsia"/>
                      <w:color w:val="auto"/>
                      <w:kern w:val="0"/>
                      <w:szCs w:val="21"/>
                      <w:highlight w:val="none"/>
                      <w:lang w:bidi="ar"/>
                    </w:rPr>
                    <w:t>40</w:t>
                  </w:r>
                </w:p>
              </w:tc>
              <w:tc>
                <w:tcPr>
                  <w:tcW w:w="976" w:type="dxa"/>
                  <w:tcBorders>
                    <w:tl2br w:val="nil"/>
                    <w:tr2bl w:val="nil"/>
                  </w:tcBorders>
                  <w:shd w:val="clear" w:color="auto" w:fill="auto"/>
                  <w:vAlign w:val="center"/>
                </w:tcPr>
                <w:p w14:paraId="2D8F583E">
                  <w:pPr>
                    <w:widowControl/>
                    <w:jc w:val="center"/>
                    <w:textAlignment w:val="center"/>
                    <w:rPr>
                      <w:color w:val="auto"/>
                      <w:kern w:val="0"/>
                      <w:szCs w:val="21"/>
                      <w:highlight w:val="none"/>
                      <w:lang w:bidi="ar"/>
                    </w:rPr>
                  </w:pPr>
                  <w:r>
                    <w:rPr>
                      <w:rFonts w:hint="eastAsia"/>
                      <w:color w:val="auto"/>
                      <w:kern w:val="0"/>
                      <w:szCs w:val="21"/>
                      <w:highlight w:val="none"/>
                      <w:lang w:bidi="ar"/>
                    </w:rPr>
                    <w:t>0.056</w:t>
                  </w:r>
                </w:p>
              </w:tc>
            </w:tr>
            <w:tr w14:paraId="21F5361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restart"/>
                  <w:tcBorders>
                    <w:tl2br w:val="nil"/>
                    <w:tr2bl w:val="nil"/>
                  </w:tcBorders>
                  <w:vAlign w:val="center"/>
                </w:tcPr>
                <w:p w14:paraId="7878A1B4">
                  <w:pPr>
                    <w:widowControl/>
                    <w:jc w:val="center"/>
                    <w:textAlignment w:val="center"/>
                    <w:rPr>
                      <w:color w:val="auto"/>
                      <w:kern w:val="0"/>
                      <w:szCs w:val="21"/>
                      <w:highlight w:val="none"/>
                      <w:lang w:bidi="ar"/>
                    </w:rPr>
                  </w:pPr>
                  <w:r>
                    <w:rPr>
                      <w:rFonts w:hint="eastAsia"/>
                      <w:color w:val="auto"/>
                      <w:kern w:val="0"/>
                      <w:szCs w:val="21"/>
                      <w:highlight w:val="none"/>
                      <w:lang w:bidi="ar"/>
                    </w:rPr>
                    <w:t>食堂废水</w:t>
                  </w:r>
                </w:p>
              </w:tc>
              <w:tc>
                <w:tcPr>
                  <w:tcW w:w="689" w:type="dxa"/>
                  <w:vMerge w:val="restart"/>
                  <w:tcBorders>
                    <w:tl2br w:val="nil"/>
                    <w:tr2bl w:val="nil"/>
                  </w:tcBorders>
                  <w:vAlign w:val="center"/>
                </w:tcPr>
                <w:p w14:paraId="46E05F37">
                  <w:pPr>
                    <w:widowControl/>
                    <w:jc w:val="center"/>
                    <w:textAlignment w:val="center"/>
                    <w:rPr>
                      <w:color w:val="auto"/>
                      <w:kern w:val="0"/>
                      <w:szCs w:val="21"/>
                      <w:highlight w:val="none"/>
                      <w:lang w:bidi="ar"/>
                    </w:rPr>
                  </w:pPr>
                  <w:r>
                    <w:rPr>
                      <w:rFonts w:hint="eastAsia"/>
                      <w:color w:val="auto"/>
                      <w:kern w:val="0"/>
                      <w:szCs w:val="21"/>
                      <w:highlight w:val="none"/>
                      <w:lang w:bidi="ar"/>
                    </w:rPr>
                    <w:t>204.4</w:t>
                  </w:r>
                </w:p>
              </w:tc>
              <w:tc>
                <w:tcPr>
                  <w:tcW w:w="806" w:type="dxa"/>
                  <w:tcBorders>
                    <w:tl2br w:val="nil"/>
                    <w:tr2bl w:val="nil"/>
                  </w:tcBorders>
                  <w:shd w:val="clear" w:color="auto" w:fill="auto"/>
                  <w:vAlign w:val="center"/>
                </w:tcPr>
                <w:p w14:paraId="28B19F51">
                  <w:pPr>
                    <w:widowControl/>
                    <w:jc w:val="center"/>
                    <w:textAlignment w:val="center"/>
                    <w:rPr>
                      <w:color w:val="auto"/>
                      <w:kern w:val="0"/>
                      <w:szCs w:val="21"/>
                      <w:highlight w:val="none"/>
                      <w:lang w:bidi="ar"/>
                    </w:rPr>
                  </w:pPr>
                  <w:r>
                    <w:rPr>
                      <w:color w:val="auto"/>
                      <w:kern w:val="0"/>
                      <w:szCs w:val="21"/>
                      <w:highlight w:val="none"/>
                      <w:lang w:bidi="ar"/>
                    </w:rPr>
                    <w:t>COD</w:t>
                  </w:r>
                </w:p>
              </w:tc>
              <w:tc>
                <w:tcPr>
                  <w:tcW w:w="1084" w:type="dxa"/>
                  <w:tcBorders>
                    <w:tl2br w:val="nil"/>
                    <w:tr2bl w:val="nil"/>
                  </w:tcBorders>
                  <w:vAlign w:val="center"/>
                </w:tcPr>
                <w:p w14:paraId="4139B434">
                  <w:pPr>
                    <w:widowControl/>
                    <w:jc w:val="center"/>
                    <w:textAlignment w:val="center"/>
                    <w:rPr>
                      <w:color w:val="auto"/>
                      <w:kern w:val="0"/>
                      <w:szCs w:val="21"/>
                      <w:highlight w:val="none"/>
                      <w:lang w:bidi="ar"/>
                    </w:rPr>
                  </w:pPr>
                  <w:r>
                    <w:rPr>
                      <w:rFonts w:hint="eastAsia"/>
                      <w:color w:val="auto"/>
                      <w:kern w:val="0"/>
                      <w:szCs w:val="21"/>
                      <w:highlight w:val="none"/>
                      <w:lang w:bidi="ar"/>
                    </w:rPr>
                    <w:t>250</w:t>
                  </w:r>
                </w:p>
              </w:tc>
              <w:tc>
                <w:tcPr>
                  <w:tcW w:w="1045" w:type="dxa"/>
                  <w:tcBorders>
                    <w:tl2br w:val="nil"/>
                    <w:tr2bl w:val="nil"/>
                  </w:tcBorders>
                  <w:vAlign w:val="center"/>
                </w:tcPr>
                <w:p w14:paraId="5DC2F732">
                  <w:pPr>
                    <w:widowControl/>
                    <w:jc w:val="center"/>
                    <w:textAlignment w:val="center"/>
                    <w:rPr>
                      <w:color w:val="auto"/>
                      <w:kern w:val="0"/>
                      <w:szCs w:val="21"/>
                      <w:highlight w:val="none"/>
                      <w:lang w:bidi="ar"/>
                    </w:rPr>
                  </w:pPr>
                  <w:r>
                    <w:rPr>
                      <w:rFonts w:hint="eastAsia"/>
                      <w:color w:val="auto"/>
                      <w:kern w:val="0"/>
                      <w:szCs w:val="21"/>
                      <w:highlight w:val="none"/>
                      <w:lang w:bidi="ar"/>
                    </w:rPr>
                    <w:t>0.051</w:t>
                  </w:r>
                </w:p>
              </w:tc>
              <w:tc>
                <w:tcPr>
                  <w:tcW w:w="945" w:type="dxa"/>
                  <w:vMerge w:val="restart"/>
                  <w:tcBorders>
                    <w:tl2br w:val="nil"/>
                    <w:tr2bl w:val="nil"/>
                  </w:tcBorders>
                  <w:vAlign w:val="center"/>
                </w:tcPr>
                <w:p w14:paraId="1B921DDF">
                  <w:pPr>
                    <w:widowControl/>
                    <w:jc w:val="center"/>
                    <w:textAlignment w:val="center"/>
                    <w:rPr>
                      <w:color w:val="auto"/>
                      <w:kern w:val="0"/>
                      <w:szCs w:val="21"/>
                      <w:highlight w:val="none"/>
                      <w:lang w:bidi="ar"/>
                    </w:rPr>
                  </w:pPr>
                  <w:r>
                    <w:rPr>
                      <w:rFonts w:hint="eastAsia"/>
                      <w:color w:val="auto"/>
                      <w:kern w:val="0"/>
                      <w:szCs w:val="21"/>
                      <w:highlight w:val="none"/>
                      <w:lang w:bidi="ar"/>
                    </w:rPr>
                    <w:t>隔油池＋化粪池+MBR一体化处理设施+消毒</w:t>
                  </w:r>
                </w:p>
              </w:tc>
              <w:tc>
                <w:tcPr>
                  <w:tcW w:w="849" w:type="dxa"/>
                  <w:vMerge w:val="restart"/>
                  <w:tcBorders>
                    <w:tl2br w:val="nil"/>
                    <w:tr2bl w:val="nil"/>
                  </w:tcBorders>
                  <w:vAlign w:val="center"/>
                </w:tcPr>
                <w:p w14:paraId="4F90AC48">
                  <w:pPr>
                    <w:widowControl/>
                    <w:jc w:val="center"/>
                    <w:textAlignment w:val="center"/>
                    <w:rPr>
                      <w:color w:val="auto"/>
                      <w:kern w:val="0"/>
                      <w:szCs w:val="21"/>
                      <w:highlight w:val="none"/>
                      <w:lang w:bidi="ar"/>
                    </w:rPr>
                  </w:pPr>
                  <w:r>
                    <w:rPr>
                      <w:rFonts w:hint="eastAsia"/>
                      <w:color w:val="auto"/>
                      <w:kern w:val="0"/>
                      <w:szCs w:val="21"/>
                      <w:highlight w:val="none"/>
                      <w:lang w:bidi="ar"/>
                    </w:rPr>
                    <w:t>204.4</w:t>
                  </w:r>
                </w:p>
              </w:tc>
              <w:tc>
                <w:tcPr>
                  <w:tcW w:w="1084" w:type="dxa"/>
                  <w:tcBorders>
                    <w:tl2br w:val="nil"/>
                    <w:tr2bl w:val="nil"/>
                  </w:tcBorders>
                  <w:vAlign w:val="center"/>
                </w:tcPr>
                <w:p w14:paraId="7C2E2FCD">
                  <w:pPr>
                    <w:widowControl/>
                    <w:jc w:val="center"/>
                    <w:textAlignment w:val="center"/>
                    <w:rPr>
                      <w:color w:val="auto"/>
                      <w:kern w:val="0"/>
                      <w:szCs w:val="21"/>
                      <w:highlight w:val="none"/>
                      <w:lang w:bidi="ar"/>
                    </w:rPr>
                  </w:pPr>
                  <w:r>
                    <w:rPr>
                      <w:rFonts w:hint="eastAsia"/>
                      <w:color w:val="auto"/>
                      <w:kern w:val="0"/>
                      <w:szCs w:val="21"/>
                      <w:highlight w:val="none"/>
                      <w:lang w:bidi="ar"/>
                    </w:rPr>
                    <w:t>50</w:t>
                  </w:r>
                </w:p>
              </w:tc>
              <w:tc>
                <w:tcPr>
                  <w:tcW w:w="976" w:type="dxa"/>
                  <w:tcBorders>
                    <w:tl2br w:val="nil"/>
                    <w:tr2bl w:val="nil"/>
                  </w:tcBorders>
                  <w:vAlign w:val="center"/>
                </w:tcPr>
                <w:p w14:paraId="12ECD006">
                  <w:pPr>
                    <w:widowControl/>
                    <w:jc w:val="center"/>
                    <w:textAlignment w:val="center"/>
                    <w:rPr>
                      <w:color w:val="auto"/>
                      <w:kern w:val="0"/>
                      <w:szCs w:val="21"/>
                      <w:highlight w:val="none"/>
                      <w:lang w:bidi="ar"/>
                    </w:rPr>
                  </w:pPr>
                  <w:r>
                    <w:rPr>
                      <w:rFonts w:hint="eastAsia"/>
                      <w:color w:val="auto"/>
                      <w:kern w:val="0"/>
                      <w:szCs w:val="21"/>
                      <w:highlight w:val="none"/>
                      <w:lang w:bidi="ar"/>
                    </w:rPr>
                    <w:t>0.01</w:t>
                  </w:r>
                </w:p>
              </w:tc>
            </w:tr>
            <w:tr w14:paraId="433A080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57290E3C">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5D13F3A1">
                  <w:pPr>
                    <w:widowControl/>
                    <w:jc w:val="center"/>
                    <w:textAlignment w:val="center"/>
                    <w:rPr>
                      <w:color w:val="auto"/>
                      <w:kern w:val="0"/>
                      <w:szCs w:val="21"/>
                      <w:highlight w:val="none"/>
                      <w:lang w:bidi="ar"/>
                    </w:rPr>
                  </w:pPr>
                </w:p>
              </w:tc>
              <w:tc>
                <w:tcPr>
                  <w:tcW w:w="806" w:type="dxa"/>
                  <w:tcBorders>
                    <w:tl2br w:val="nil"/>
                    <w:tr2bl w:val="nil"/>
                  </w:tcBorders>
                  <w:shd w:val="clear" w:color="auto" w:fill="auto"/>
                  <w:vAlign w:val="center"/>
                </w:tcPr>
                <w:p w14:paraId="61764D8A">
                  <w:pPr>
                    <w:widowControl/>
                    <w:jc w:val="center"/>
                    <w:textAlignment w:val="center"/>
                    <w:rPr>
                      <w:color w:val="auto"/>
                      <w:kern w:val="0"/>
                      <w:szCs w:val="21"/>
                      <w:highlight w:val="none"/>
                      <w:lang w:bidi="ar"/>
                    </w:rPr>
                  </w:pPr>
                  <w:r>
                    <w:rPr>
                      <w:color w:val="auto"/>
                      <w:kern w:val="0"/>
                      <w:szCs w:val="21"/>
                      <w:highlight w:val="none"/>
                      <w:lang w:bidi="ar"/>
                    </w:rPr>
                    <w:t>BOD</w:t>
                  </w:r>
                  <w:r>
                    <w:rPr>
                      <w:color w:val="auto"/>
                      <w:kern w:val="0"/>
                      <w:szCs w:val="21"/>
                      <w:highlight w:val="none"/>
                      <w:vertAlign w:val="subscript"/>
                      <w:lang w:bidi="ar"/>
                    </w:rPr>
                    <w:t>5</w:t>
                  </w:r>
                </w:p>
              </w:tc>
              <w:tc>
                <w:tcPr>
                  <w:tcW w:w="1084" w:type="dxa"/>
                  <w:tcBorders>
                    <w:tl2br w:val="nil"/>
                    <w:tr2bl w:val="nil"/>
                  </w:tcBorders>
                  <w:vAlign w:val="center"/>
                </w:tcPr>
                <w:p w14:paraId="1289901C">
                  <w:pPr>
                    <w:widowControl/>
                    <w:jc w:val="center"/>
                    <w:textAlignment w:val="center"/>
                    <w:rPr>
                      <w:color w:val="auto"/>
                      <w:kern w:val="0"/>
                      <w:szCs w:val="21"/>
                      <w:highlight w:val="none"/>
                      <w:lang w:bidi="ar"/>
                    </w:rPr>
                  </w:pPr>
                  <w:r>
                    <w:rPr>
                      <w:rFonts w:hint="eastAsia"/>
                      <w:color w:val="auto"/>
                      <w:kern w:val="0"/>
                      <w:szCs w:val="21"/>
                      <w:highlight w:val="none"/>
                      <w:lang w:bidi="ar"/>
                    </w:rPr>
                    <w:t>100</w:t>
                  </w:r>
                </w:p>
              </w:tc>
              <w:tc>
                <w:tcPr>
                  <w:tcW w:w="1045" w:type="dxa"/>
                  <w:tcBorders>
                    <w:tl2br w:val="nil"/>
                    <w:tr2bl w:val="nil"/>
                  </w:tcBorders>
                  <w:vAlign w:val="center"/>
                </w:tcPr>
                <w:p w14:paraId="426A4801">
                  <w:pPr>
                    <w:widowControl/>
                    <w:jc w:val="center"/>
                    <w:textAlignment w:val="center"/>
                    <w:rPr>
                      <w:color w:val="auto"/>
                      <w:kern w:val="0"/>
                      <w:szCs w:val="21"/>
                      <w:highlight w:val="none"/>
                      <w:lang w:bidi="ar"/>
                    </w:rPr>
                  </w:pPr>
                  <w:r>
                    <w:rPr>
                      <w:rFonts w:hint="eastAsia"/>
                      <w:color w:val="auto"/>
                      <w:kern w:val="0"/>
                      <w:szCs w:val="21"/>
                      <w:highlight w:val="none"/>
                      <w:lang w:bidi="ar"/>
                    </w:rPr>
                    <w:t>0.02</w:t>
                  </w:r>
                </w:p>
              </w:tc>
              <w:tc>
                <w:tcPr>
                  <w:tcW w:w="945" w:type="dxa"/>
                  <w:vMerge w:val="continue"/>
                  <w:tcBorders>
                    <w:tl2br w:val="nil"/>
                    <w:tr2bl w:val="nil"/>
                  </w:tcBorders>
                  <w:vAlign w:val="center"/>
                </w:tcPr>
                <w:p w14:paraId="0259334C">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3311916C">
                  <w:pPr>
                    <w:widowControl/>
                    <w:jc w:val="center"/>
                    <w:textAlignment w:val="center"/>
                    <w:rPr>
                      <w:color w:val="auto"/>
                      <w:kern w:val="0"/>
                      <w:szCs w:val="21"/>
                      <w:highlight w:val="none"/>
                      <w:lang w:bidi="ar"/>
                    </w:rPr>
                  </w:pPr>
                </w:p>
              </w:tc>
              <w:tc>
                <w:tcPr>
                  <w:tcW w:w="1084" w:type="dxa"/>
                  <w:tcBorders>
                    <w:tl2br w:val="nil"/>
                    <w:tr2bl w:val="nil"/>
                  </w:tcBorders>
                  <w:vAlign w:val="center"/>
                </w:tcPr>
                <w:p w14:paraId="4404B986">
                  <w:pPr>
                    <w:widowControl/>
                    <w:jc w:val="center"/>
                    <w:textAlignment w:val="center"/>
                    <w:rPr>
                      <w:color w:val="auto"/>
                      <w:kern w:val="0"/>
                      <w:szCs w:val="21"/>
                      <w:highlight w:val="none"/>
                      <w:lang w:bidi="ar"/>
                    </w:rPr>
                  </w:pPr>
                  <w:r>
                    <w:rPr>
                      <w:rFonts w:hint="eastAsia"/>
                      <w:color w:val="auto"/>
                      <w:kern w:val="0"/>
                      <w:szCs w:val="21"/>
                      <w:highlight w:val="none"/>
                      <w:lang w:bidi="ar"/>
                    </w:rPr>
                    <w:t>10</w:t>
                  </w:r>
                </w:p>
              </w:tc>
              <w:tc>
                <w:tcPr>
                  <w:tcW w:w="976" w:type="dxa"/>
                  <w:tcBorders>
                    <w:tl2br w:val="nil"/>
                    <w:tr2bl w:val="nil"/>
                  </w:tcBorders>
                  <w:vAlign w:val="center"/>
                </w:tcPr>
                <w:p w14:paraId="044E19A2">
                  <w:pPr>
                    <w:widowControl/>
                    <w:jc w:val="center"/>
                    <w:textAlignment w:val="center"/>
                    <w:rPr>
                      <w:color w:val="auto"/>
                      <w:kern w:val="0"/>
                      <w:szCs w:val="21"/>
                      <w:highlight w:val="none"/>
                      <w:lang w:bidi="ar"/>
                    </w:rPr>
                  </w:pPr>
                  <w:r>
                    <w:rPr>
                      <w:rFonts w:hint="eastAsia"/>
                      <w:color w:val="auto"/>
                      <w:kern w:val="0"/>
                      <w:szCs w:val="21"/>
                      <w:highlight w:val="none"/>
                      <w:lang w:bidi="ar"/>
                    </w:rPr>
                    <w:t>0.002</w:t>
                  </w:r>
                </w:p>
              </w:tc>
            </w:tr>
            <w:tr w14:paraId="577156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245407BC">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46B97A6F">
                  <w:pPr>
                    <w:widowControl/>
                    <w:jc w:val="center"/>
                    <w:textAlignment w:val="center"/>
                    <w:rPr>
                      <w:color w:val="auto"/>
                      <w:kern w:val="0"/>
                      <w:szCs w:val="21"/>
                      <w:highlight w:val="none"/>
                      <w:lang w:bidi="ar"/>
                    </w:rPr>
                  </w:pPr>
                </w:p>
              </w:tc>
              <w:tc>
                <w:tcPr>
                  <w:tcW w:w="806" w:type="dxa"/>
                  <w:tcBorders>
                    <w:tl2br w:val="nil"/>
                    <w:tr2bl w:val="nil"/>
                  </w:tcBorders>
                  <w:shd w:val="clear" w:color="auto" w:fill="auto"/>
                  <w:vAlign w:val="center"/>
                </w:tcPr>
                <w:p w14:paraId="549AC492">
                  <w:pPr>
                    <w:widowControl/>
                    <w:jc w:val="center"/>
                    <w:textAlignment w:val="center"/>
                    <w:rPr>
                      <w:color w:val="auto"/>
                      <w:kern w:val="0"/>
                      <w:szCs w:val="21"/>
                      <w:highlight w:val="none"/>
                      <w:lang w:bidi="ar"/>
                    </w:rPr>
                  </w:pPr>
                  <w:r>
                    <w:rPr>
                      <w:color w:val="auto"/>
                      <w:kern w:val="0"/>
                      <w:szCs w:val="21"/>
                      <w:highlight w:val="none"/>
                      <w:lang w:bidi="ar"/>
                    </w:rPr>
                    <w:t>NH</w:t>
                  </w:r>
                  <w:r>
                    <w:rPr>
                      <w:color w:val="auto"/>
                      <w:kern w:val="0"/>
                      <w:szCs w:val="21"/>
                      <w:highlight w:val="none"/>
                      <w:vertAlign w:val="subscript"/>
                      <w:lang w:bidi="ar"/>
                    </w:rPr>
                    <w:t>3</w:t>
                  </w:r>
                  <w:r>
                    <w:rPr>
                      <w:color w:val="auto"/>
                      <w:kern w:val="0"/>
                      <w:szCs w:val="21"/>
                      <w:highlight w:val="none"/>
                      <w:lang w:bidi="ar"/>
                    </w:rPr>
                    <w:t>-N</w:t>
                  </w:r>
                </w:p>
              </w:tc>
              <w:tc>
                <w:tcPr>
                  <w:tcW w:w="1084" w:type="dxa"/>
                  <w:tcBorders>
                    <w:tl2br w:val="nil"/>
                    <w:tr2bl w:val="nil"/>
                  </w:tcBorders>
                  <w:vAlign w:val="center"/>
                </w:tcPr>
                <w:p w14:paraId="5074037C">
                  <w:pPr>
                    <w:widowControl/>
                    <w:jc w:val="center"/>
                    <w:textAlignment w:val="center"/>
                    <w:rPr>
                      <w:color w:val="auto"/>
                      <w:kern w:val="0"/>
                      <w:szCs w:val="21"/>
                      <w:highlight w:val="none"/>
                      <w:lang w:bidi="ar"/>
                    </w:rPr>
                  </w:pPr>
                  <w:r>
                    <w:rPr>
                      <w:rFonts w:hint="eastAsia"/>
                      <w:color w:val="auto"/>
                      <w:kern w:val="0"/>
                      <w:szCs w:val="21"/>
                      <w:highlight w:val="none"/>
                      <w:lang w:bidi="ar"/>
                    </w:rPr>
                    <w:t>30</w:t>
                  </w:r>
                </w:p>
              </w:tc>
              <w:tc>
                <w:tcPr>
                  <w:tcW w:w="1045" w:type="dxa"/>
                  <w:tcBorders>
                    <w:tl2br w:val="nil"/>
                    <w:tr2bl w:val="nil"/>
                  </w:tcBorders>
                  <w:vAlign w:val="center"/>
                </w:tcPr>
                <w:p w14:paraId="0DB67BD9">
                  <w:pPr>
                    <w:widowControl/>
                    <w:jc w:val="center"/>
                    <w:textAlignment w:val="center"/>
                    <w:rPr>
                      <w:color w:val="auto"/>
                      <w:kern w:val="0"/>
                      <w:szCs w:val="21"/>
                      <w:highlight w:val="none"/>
                      <w:lang w:bidi="ar"/>
                    </w:rPr>
                  </w:pPr>
                  <w:r>
                    <w:rPr>
                      <w:rFonts w:hint="eastAsia"/>
                      <w:color w:val="auto"/>
                      <w:kern w:val="0"/>
                      <w:szCs w:val="21"/>
                      <w:highlight w:val="none"/>
                      <w:lang w:bidi="ar"/>
                    </w:rPr>
                    <w:t>0.006</w:t>
                  </w:r>
                </w:p>
              </w:tc>
              <w:tc>
                <w:tcPr>
                  <w:tcW w:w="945" w:type="dxa"/>
                  <w:vMerge w:val="continue"/>
                  <w:tcBorders>
                    <w:tl2br w:val="nil"/>
                    <w:tr2bl w:val="nil"/>
                  </w:tcBorders>
                  <w:vAlign w:val="center"/>
                </w:tcPr>
                <w:p w14:paraId="2CB9F878">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757DD5C1">
                  <w:pPr>
                    <w:widowControl/>
                    <w:jc w:val="center"/>
                    <w:textAlignment w:val="center"/>
                    <w:rPr>
                      <w:color w:val="auto"/>
                      <w:kern w:val="0"/>
                      <w:szCs w:val="21"/>
                      <w:highlight w:val="none"/>
                      <w:lang w:bidi="ar"/>
                    </w:rPr>
                  </w:pPr>
                </w:p>
              </w:tc>
              <w:tc>
                <w:tcPr>
                  <w:tcW w:w="1084" w:type="dxa"/>
                  <w:tcBorders>
                    <w:tl2br w:val="nil"/>
                    <w:tr2bl w:val="nil"/>
                  </w:tcBorders>
                  <w:vAlign w:val="center"/>
                </w:tcPr>
                <w:p w14:paraId="777E35DC">
                  <w:pPr>
                    <w:widowControl/>
                    <w:jc w:val="center"/>
                    <w:textAlignment w:val="center"/>
                    <w:rPr>
                      <w:color w:val="auto"/>
                      <w:kern w:val="0"/>
                      <w:szCs w:val="21"/>
                      <w:highlight w:val="none"/>
                      <w:lang w:bidi="ar"/>
                    </w:rPr>
                  </w:pPr>
                  <w:r>
                    <w:rPr>
                      <w:rFonts w:hint="eastAsia"/>
                      <w:color w:val="auto"/>
                      <w:kern w:val="0"/>
                      <w:szCs w:val="21"/>
                      <w:highlight w:val="none"/>
                      <w:lang w:bidi="ar"/>
                    </w:rPr>
                    <w:t>12</w:t>
                  </w:r>
                </w:p>
              </w:tc>
              <w:tc>
                <w:tcPr>
                  <w:tcW w:w="976" w:type="dxa"/>
                  <w:tcBorders>
                    <w:tl2br w:val="nil"/>
                    <w:tr2bl w:val="nil"/>
                  </w:tcBorders>
                  <w:vAlign w:val="center"/>
                </w:tcPr>
                <w:p w14:paraId="3FE536BA">
                  <w:pPr>
                    <w:widowControl/>
                    <w:jc w:val="center"/>
                    <w:textAlignment w:val="center"/>
                    <w:rPr>
                      <w:color w:val="auto"/>
                      <w:kern w:val="0"/>
                      <w:szCs w:val="21"/>
                      <w:highlight w:val="none"/>
                      <w:lang w:bidi="ar"/>
                    </w:rPr>
                  </w:pPr>
                  <w:r>
                    <w:rPr>
                      <w:rFonts w:hint="eastAsia"/>
                      <w:color w:val="auto"/>
                      <w:kern w:val="0"/>
                      <w:szCs w:val="21"/>
                      <w:highlight w:val="none"/>
                      <w:lang w:bidi="ar"/>
                    </w:rPr>
                    <w:t>0.002</w:t>
                  </w:r>
                </w:p>
              </w:tc>
            </w:tr>
            <w:tr w14:paraId="6F08AF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3210AA5F">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4464BCA1">
                  <w:pPr>
                    <w:widowControl/>
                    <w:jc w:val="center"/>
                    <w:textAlignment w:val="center"/>
                    <w:rPr>
                      <w:color w:val="auto"/>
                      <w:kern w:val="0"/>
                      <w:szCs w:val="21"/>
                      <w:highlight w:val="none"/>
                      <w:lang w:bidi="ar"/>
                    </w:rPr>
                  </w:pPr>
                </w:p>
              </w:tc>
              <w:tc>
                <w:tcPr>
                  <w:tcW w:w="806" w:type="dxa"/>
                  <w:tcBorders>
                    <w:tl2br w:val="nil"/>
                    <w:tr2bl w:val="nil"/>
                  </w:tcBorders>
                  <w:shd w:val="clear" w:color="auto" w:fill="auto"/>
                  <w:vAlign w:val="center"/>
                </w:tcPr>
                <w:p w14:paraId="67A53637">
                  <w:pPr>
                    <w:widowControl/>
                    <w:jc w:val="center"/>
                    <w:textAlignment w:val="center"/>
                    <w:rPr>
                      <w:color w:val="auto"/>
                      <w:kern w:val="0"/>
                      <w:szCs w:val="21"/>
                      <w:highlight w:val="none"/>
                      <w:lang w:bidi="ar"/>
                    </w:rPr>
                  </w:pPr>
                  <w:r>
                    <w:rPr>
                      <w:color w:val="auto"/>
                      <w:kern w:val="0"/>
                      <w:szCs w:val="21"/>
                      <w:highlight w:val="none"/>
                      <w:lang w:bidi="ar"/>
                    </w:rPr>
                    <w:t>SS</w:t>
                  </w:r>
                </w:p>
              </w:tc>
              <w:tc>
                <w:tcPr>
                  <w:tcW w:w="1084" w:type="dxa"/>
                  <w:tcBorders>
                    <w:tl2br w:val="nil"/>
                    <w:tr2bl w:val="nil"/>
                  </w:tcBorders>
                  <w:vAlign w:val="center"/>
                </w:tcPr>
                <w:p w14:paraId="481DD1FE">
                  <w:pPr>
                    <w:widowControl/>
                    <w:jc w:val="center"/>
                    <w:textAlignment w:val="center"/>
                    <w:rPr>
                      <w:color w:val="auto"/>
                      <w:kern w:val="0"/>
                      <w:szCs w:val="21"/>
                      <w:highlight w:val="none"/>
                      <w:lang w:bidi="ar"/>
                    </w:rPr>
                  </w:pPr>
                  <w:r>
                    <w:rPr>
                      <w:rFonts w:hint="eastAsia"/>
                      <w:color w:val="auto"/>
                      <w:kern w:val="0"/>
                      <w:szCs w:val="21"/>
                      <w:highlight w:val="none"/>
                      <w:lang w:bidi="ar"/>
                    </w:rPr>
                    <w:t>80</w:t>
                  </w:r>
                </w:p>
              </w:tc>
              <w:tc>
                <w:tcPr>
                  <w:tcW w:w="1045" w:type="dxa"/>
                  <w:tcBorders>
                    <w:tl2br w:val="nil"/>
                    <w:tr2bl w:val="nil"/>
                  </w:tcBorders>
                  <w:vAlign w:val="center"/>
                </w:tcPr>
                <w:p w14:paraId="3B0DDA56">
                  <w:pPr>
                    <w:widowControl/>
                    <w:jc w:val="center"/>
                    <w:textAlignment w:val="center"/>
                    <w:rPr>
                      <w:color w:val="auto"/>
                      <w:kern w:val="0"/>
                      <w:szCs w:val="21"/>
                      <w:highlight w:val="none"/>
                      <w:lang w:bidi="ar"/>
                    </w:rPr>
                  </w:pPr>
                  <w:r>
                    <w:rPr>
                      <w:rFonts w:hint="eastAsia"/>
                      <w:color w:val="auto"/>
                      <w:kern w:val="0"/>
                      <w:szCs w:val="21"/>
                      <w:highlight w:val="none"/>
                      <w:lang w:bidi="ar"/>
                    </w:rPr>
                    <w:t>0.016</w:t>
                  </w:r>
                </w:p>
              </w:tc>
              <w:tc>
                <w:tcPr>
                  <w:tcW w:w="945" w:type="dxa"/>
                  <w:vMerge w:val="continue"/>
                  <w:tcBorders>
                    <w:tl2br w:val="nil"/>
                    <w:tr2bl w:val="nil"/>
                  </w:tcBorders>
                  <w:vAlign w:val="center"/>
                </w:tcPr>
                <w:p w14:paraId="1D7DDFA6">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00F9A4F2">
                  <w:pPr>
                    <w:widowControl/>
                    <w:jc w:val="center"/>
                    <w:textAlignment w:val="center"/>
                    <w:rPr>
                      <w:color w:val="auto"/>
                      <w:kern w:val="0"/>
                      <w:szCs w:val="21"/>
                      <w:highlight w:val="none"/>
                      <w:lang w:bidi="ar"/>
                    </w:rPr>
                  </w:pPr>
                </w:p>
              </w:tc>
              <w:tc>
                <w:tcPr>
                  <w:tcW w:w="1084" w:type="dxa"/>
                  <w:tcBorders>
                    <w:tl2br w:val="nil"/>
                    <w:tr2bl w:val="nil"/>
                  </w:tcBorders>
                  <w:vAlign w:val="center"/>
                </w:tcPr>
                <w:p w14:paraId="04398FE4">
                  <w:pPr>
                    <w:widowControl/>
                    <w:jc w:val="center"/>
                    <w:textAlignment w:val="center"/>
                    <w:rPr>
                      <w:color w:val="auto"/>
                      <w:kern w:val="0"/>
                      <w:szCs w:val="21"/>
                      <w:highlight w:val="none"/>
                      <w:lang w:bidi="ar"/>
                    </w:rPr>
                  </w:pPr>
                  <w:r>
                    <w:rPr>
                      <w:rFonts w:hint="eastAsia"/>
                      <w:color w:val="auto"/>
                      <w:kern w:val="0"/>
                      <w:szCs w:val="21"/>
                      <w:highlight w:val="none"/>
                      <w:lang w:bidi="ar"/>
                    </w:rPr>
                    <w:t>8</w:t>
                  </w:r>
                </w:p>
              </w:tc>
              <w:tc>
                <w:tcPr>
                  <w:tcW w:w="976" w:type="dxa"/>
                  <w:tcBorders>
                    <w:tl2br w:val="nil"/>
                    <w:tr2bl w:val="nil"/>
                  </w:tcBorders>
                  <w:vAlign w:val="center"/>
                </w:tcPr>
                <w:p w14:paraId="2F51C53E">
                  <w:pPr>
                    <w:widowControl/>
                    <w:jc w:val="center"/>
                    <w:textAlignment w:val="center"/>
                    <w:rPr>
                      <w:color w:val="auto"/>
                      <w:kern w:val="0"/>
                      <w:szCs w:val="21"/>
                      <w:highlight w:val="none"/>
                      <w:lang w:bidi="ar"/>
                    </w:rPr>
                  </w:pPr>
                  <w:r>
                    <w:rPr>
                      <w:rFonts w:hint="eastAsia"/>
                      <w:color w:val="auto"/>
                      <w:kern w:val="0"/>
                      <w:szCs w:val="21"/>
                      <w:highlight w:val="none"/>
                      <w:lang w:bidi="ar"/>
                    </w:rPr>
                    <w:t>0.002</w:t>
                  </w:r>
                </w:p>
              </w:tc>
            </w:tr>
            <w:tr w14:paraId="27A15B3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0" w:type="dxa"/>
                  <w:vMerge w:val="continue"/>
                  <w:tcBorders>
                    <w:tl2br w:val="nil"/>
                    <w:tr2bl w:val="nil"/>
                  </w:tcBorders>
                  <w:vAlign w:val="center"/>
                </w:tcPr>
                <w:p w14:paraId="3B3AEEDD">
                  <w:pPr>
                    <w:widowControl/>
                    <w:jc w:val="center"/>
                    <w:textAlignment w:val="center"/>
                    <w:rPr>
                      <w:color w:val="auto"/>
                      <w:kern w:val="0"/>
                      <w:szCs w:val="21"/>
                      <w:highlight w:val="none"/>
                      <w:lang w:bidi="ar"/>
                    </w:rPr>
                  </w:pPr>
                </w:p>
              </w:tc>
              <w:tc>
                <w:tcPr>
                  <w:tcW w:w="689" w:type="dxa"/>
                  <w:vMerge w:val="continue"/>
                  <w:tcBorders>
                    <w:tl2br w:val="nil"/>
                    <w:tr2bl w:val="nil"/>
                  </w:tcBorders>
                  <w:vAlign w:val="center"/>
                </w:tcPr>
                <w:p w14:paraId="5EEA5F23">
                  <w:pPr>
                    <w:widowControl/>
                    <w:jc w:val="center"/>
                    <w:textAlignment w:val="center"/>
                    <w:rPr>
                      <w:color w:val="auto"/>
                      <w:kern w:val="0"/>
                      <w:szCs w:val="21"/>
                      <w:highlight w:val="none"/>
                      <w:lang w:bidi="ar"/>
                    </w:rPr>
                  </w:pPr>
                </w:p>
              </w:tc>
              <w:tc>
                <w:tcPr>
                  <w:tcW w:w="806" w:type="dxa"/>
                  <w:tcBorders>
                    <w:tl2br w:val="nil"/>
                    <w:tr2bl w:val="nil"/>
                  </w:tcBorders>
                  <w:vAlign w:val="center"/>
                </w:tcPr>
                <w:p w14:paraId="6050AD29">
                  <w:pPr>
                    <w:widowControl/>
                    <w:jc w:val="center"/>
                    <w:textAlignment w:val="center"/>
                    <w:rPr>
                      <w:color w:val="auto"/>
                      <w:kern w:val="0"/>
                      <w:szCs w:val="21"/>
                      <w:highlight w:val="none"/>
                      <w:lang w:bidi="ar"/>
                    </w:rPr>
                  </w:pPr>
                  <w:r>
                    <w:rPr>
                      <w:rFonts w:hint="eastAsia"/>
                      <w:color w:val="auto"/>
                      <w:kern w:val="0"/>
                      <w:szCs w:val="21"/>
                      <w:highlight w:val="none"/>
                      <w:lang w:bidi="ar"/>
                    </w:rPr>
                    <w:t>动植</w:t>
                  </w:r>
                </w:p>
                <w:p w14:paraId="120FE9DF">
                  <w:pPr>
                    <w:widowControl/>
                    <w:jc w:val="center"/>
                    <w:textAlignment w:val="center"/>
                    <w:rPr>
                      <w:color w:val="auto"/>
                      <w:kern w:val="0"/>
                      <w:szCs w:val="21"/>
                      <w:highlight w:val="none"/>
                      <w:lang w:bidi="ar"/>
                    </w:rPr>
                  </w:pPr>
                  <w:r>
                    <w:rPr>
                      <w:rFonts w:hint="eastAsia"/>
                      <w:color w:val="auto"/>
                      <w:kern w:val="0"/>
                      <w:szCs w:val="21"/>
                      <w:highlight w:val="none"/>
                      <w:lang w:bidi="ar"/>
                    </w:rPr>
                    <w:t>物油</w:t>
                  </w:r>
                </w:p>
              </w:tc>
              <w:tc>
                <w:tcPr>
                  <w:tcW w:w="1084" w:type="dxa"/>
                  <w:tcBorders>
                    <w:tl2br w:val="nil"/>
                    <w:tr2bl w:val="nil"/>
                  </w:tcBorders>
                  <w:vAlign w:val="center"/>
                </w:tcPr>
                <w:p w14:paraId="078BB9AD">
                  <w:pPr>
                    <w:widowControl/>
                    <w:jc w:val="center"/>
                    <w:textAlignment w:val="center"/>
                    <w:rPr>
                      <w:color w:val="auto"/>
                      <w:kern w:val="0"/>
                      <w:szCs w:val="21"/>
                      <w:highlight w:val="none"/>
                      <w:lang w:bidi="ar"/>
                    </w:rPr>
                  </w:pPr>
                  <w:r>
                    <w:rPr>
                      <w:rFonts w:hint="eastAsia"/>
                      <w:color w:val="auto"/>
                      <w:kern w:val="0"/>
                      <w:szCs w:val="21"/>
                      <w:highlight w:val="none"/>
                      <w:lang w:bidi="ar"/>
                    </w:rPr>
                    <w:t>200</w:t>
                  </w:r>
                </w:p>
              </w:tc>
              <w:tc>
                <w:tcPr>
                  <w:tcW w:w="1045" w:type="dxa"/>
                  <w:tcBorders>
                    <w:tl2br w:val="nil"/>
                    <w:tr2bl w:val="nil"/>
                  </w:tcBorders>
                  <w:vAlign w:val="center"/>
                </w:tcPr>
                <w:p w14:paraId="165ED507">
                  <w:pPr>
                    <w:widowControl/>
                    <w:jc w:val="center"/>
                    <w:textAlignment w:val="center"/>
                    <w:rPr>
                      <w:color w:val="auto"/>
                      <w:kern w:val="0"/>
                      <w:szCs w:val="21"/>
                      <w:highlight w:val="none"/>
                      <w:lang w:bidi="ar"/>
                    </w:rPr>
                  </w:pPr>
                  <w:r>
                    <w:rPr>
                      <w:rFonts w:hint="eastAsia"/>
                      <w:color w:val="auto"/>
                      <w:kern w:val="0"/>
                      <w:szCs w:val="21"/>
                      <w:highlight w:val="none"/>
                      <w:lang w:bidi="ar"/>
                    </w:rPr>
                    <w:t>0.04</w:t>
                  </w:r>
                </w:p>
              </w:tc>
              <w:tc>
                <w:tcPr>
                  <w:tcW w:w="945" w:type="dxa"/>
                  <w:vMerge w:val="continue"/>
                  <w:tcBorders>
                    <w:tl2br w:val="nil"/>
                    <w:tr2bl w:val="nil"/>
                  </w:tcBorders>
                  <w:vAlign w:val="center"/>
                </w:tcPr>
                <w:p w14:paraId="4F1F2357">
                  <w:pPr>
                    <w:widowControl/>
                    <w:jc w:val="center"/>
                    <w:textAlignment w:val="center"/>
                    <w:rPr>
                      <w:color w:val="auto"/>
                      <w:kern w:val="0"/>
                      <w:szCs w:val="21"/>
                      <w:highlight w:val="none"/>
                      <w:lang w:bidi="ar"/>
                    </w:rPr>
                  </w:pPr>
                </w:p>
              </w:tc>
              <w:tc>
                <w:tcPr>
                  <w:tcW w:w="849" w:type="dxa"/>
                  <w:vMerge w:val="continue"/>
                  <w:tcBorders>
                    <w:tl2br w:val="nil"/>
                    <w:tr2bl w:val="nil"/>
                  </w:tcBorders>
                  <w:vAlign w:val="center"/>
                </w:tcPr>
                <w:p w14:paraId="789BAA7A">
                  <w:pPr>
                    <w:widowControl/>
                    <w:jc w:val="center"/>
                    <w:textAlignment w:val="center"/>
                    <w:rPr>
                      <w:color w:val="auto"/>
                      <w:kern w:val="0"/>
                      <w:szCs w:val="21"/>
                      <w:highlight w:val="none"/>
                      <w:lang w:bidi="ar"/>
                    </w:rPr>
                  </w:pPr>
                </w:p>
              </w:tc>
              <w:tc>
                <w:tcPr>
                  <w:tcW w:w="1084" w:type="dxa"/>
                  <w:tcBorders>
                    <w:tl2br w:val="nil"/>
                    <w:tr2bl w:val="nil"/>
                  </w:tcBorders>
                  <w:vAlign w:val="center"/>
                </w:tcPr>
                <w:p w14:paraId="06E7FD6A">
                  <w:pPr>
                    <w:widowControl/>
                    <w:jc w:val="center"/>
                    <w:textAlignment w:val="center"/>
                    <w:rPr>
                      <w:color w:val="auto"/>
                      <w:kern w:val="0"/>
                      <w:szCs w:val="21"/>
                      <w:highlight w:val="none"/>
                      <w:lang w:bidi="ar"/>
                    </w:rPr>
                  </w:pPr>
                  <w:r>
                    <w:rPr>
                      <w:rFonts w:hint="eastAsia"/>
                      <w:color w:val="auto"/>
                      <w:kern w:val="0"/>
                      <w:szCs w:val="21"/>
                      <w:highlight w:val="none"/>
                      <w:lang w:bidi="ar"/>
                    </w:rPr>
                    <w:t>20</w:t>
                  </w:r>
                </w:p>
              </w:tc>
              <w:tc>
                <w:tcPr>
                  <w:tcW w:w="976" w:type="dxa"/>
                  <w:tcBorders>
                    <w:tl2br w:val="nil"/>
                    <w:tr2bl w:val="nil"/>
                  </w:tcBorders>
                  <w:vAlign w:val="center"/>
                </w:tcPr>
                <w:p w14:paraId="0CF17EFD">
                  <w:pPr>
                    <w:widowControl/>
                    <w:jc w:val="center"/>
                    <w:textAlignment w:val="center"/>
                    <w:rPr>
                      <w:color w:val="auto"/>
                      <w:kern w:val="0"/>
                      <w:szCs w:val="21"/>
                      <w:highlight w:val="none"/>
                      <w:lang w:bidi="ar"/>
                    </w:rPr>
                  </w:pPr>
                  <w:r>
                    <w:rPr>
                      <w:rFonts w:hint="eastAsia"/>
                      <w:color w:val="auto"/>
                      <w:kern w:val="0"/>
                      <w:szCs w:val="21"/>
                      <w:highlight w:val="none"/>
                      <w:lang w:bidi="ar"/>
                    </w:rPr>
                    <w:t>0.004</w:t>
                  </w:r>
                </w:p>
              </w:tc>
            </w:tr>
          </w:tbl>
          <w:p w14:paraId="74354CBB">
            <w:pPr>
              <w:pStyle w:val="79"/>
              <w:ind w:firstLine="482" w:firstLineChars="200"/>
              <w:jc w:val="center"/>
              <w:rPr>
                <w:b/>
                <w:color w:val="auto"/>
                <w:sz w:val="24"/>
                <w:szCs w:val="24"/>
                <w:highlight w:val="none"/>
              </w:rPr>
            </w:pPr>
          </w:p>
          <w:p w14:paraId="3BCD9686">
            <w:pPr>
              <w:pStyle w:val="79"/>
              <w:ind w:firstLine="482" w:firstLineChars="200"/>
              <w:jc w:val="center"/>
              <w:rPr>
                <w:color w:val="auto"/>
                <w:kern w:val="2"/>
                <w:sz w:val="24"/>
                <w:szCs w:val="24"/>
                <w:highlight w:val="none"/>
              </w:rPr>
            </w:pPr>
            <w:r>
              <w:rPr>
                <w:rFonts w:hint="eastAsia"/>
                <w:b/>
                <w:color w:val="auto"/>
                <w:sz w:val="24"/>
                <w:szCs w:val="24"/>
                <w:highlight w:val="none"/>
              </w:rPr>
              <w:t>（续）</w:t>
            </w:r>
            <w:r>
              <w:rPr>
                <w:b/>
                <w:color w:val="auto"/>
                <w:sz w:val="24"/>
                <w:szCs w:val="24"/>
                <w:highlight w:val="none"/>
              </w:rPr>
              <w:t>表</w:t>
            </w:r>
            <w:r>
              <w:rPr>
                <w:rFonts w:hint="eastAsia"/>
                <w:b/>
                <w:color w:val="auto"/>
                <w:sz w:val="24"/>
                <w:szCs w:val="24"/>
                <w:highlight w:val="none"/>
              </w:rPr>
              <w:t xml:space="preserve">4-6 </w:t>
            </w:r>
            <w:r>
              <w:rPr>
                <w:b/>
                <w:color w:val="auto"/>
                <w:sz w:val="24"/>
                <w:szCs w:val="24"/>
                <w:highlight w:val="none"/>
              </w:rPr>
              <w:t xml:space="preserve">  项目废水污染物产生情况</w:t>
            </w:r>
          </w:p>
          <w:tbl>
            <w:tblPr>
              <w:tblStyle w:val="28"/>
              <w:tblW w:w="846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19"/>
              <w:gridCol w:w="1006"/>
              <w:gridCol w:w="811"/>
              <w:gridCol w:w="1091"/>
              <w:gridCol w:w="1052"/>
              <w:gridCol w:w="863"/>
              <w:gridCol w:w="1004"/>
              <w:gridCol w:w="1091"/>
              <w:gridCol w:w="1032"/>
            </w:tblGrid>
            <w:tr w14:paraId="700449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86" w:type="dxa"/>
                  <w:vMerge w:val="restart"/>
                  <w:tcBorders>
                    <w:tl2br w:val="nil"/>
                    <w:tr2bl w:val="nil"/>
                  </w:tcBorders>
                  <w:vAlign w:val="center"/>
                </w:tcPr>
                <w:p w14:paraId="59145E6E">
                  <w:pPr>
                    <w:widowControl/>
                    <w:jc w:val="center"/>
                    <w:textAlignment w:val="center"/>
                    <w:rPr>
                      <w:color w:val="auto"/>
                      <w:kern w:val="0"/>
                      <w:szCs w:val="21"/>
                      <w:highlight w:val="none"/>
                      <w:lang w:bidi="ar"/>
                    </w:rPr>
                  </w:pPr>
                  <w:r>
                    <w:rPr>
                      <w:color w:val="auto"/>
                      <w:kern w:val="0"/>
                      <w:szCs w:val="21"/>
                      <w:highlight w:val="none"/>
                      <w:lang w:bidi="ar"/>
                    </w:rPr>
                    <w:t>污染源</w:t>
                  </w:r>
                </w:p>
              </w:tc>
              <w:tc>
                <w:tcPr>
                  <w:tcW w:w="1012" w:type="dxa"/>
                  <w:vMerge w:val="restart"/>
                  <w:tcBorders>
                    <w:tl2br w:val="nil"/>
                    <w:tr2bl w:val="nil"/>
                  </w:tcBorders>
                  <w:vAlign w:val="center"/>
                </w:tcPr>
                <w:p w14:paraId="7D77944C">
                  <w:pPr>
                    <w:widowControl/>
                    <w:jc w:val="center"/>
                    <w:textAlignment w:val="center"/>
                    <w:rPr>
                      <w:color w:val="auto"/>
                      <w:kern w:val="0"/>
                      <w:szCs w:val="21"/>
                      <w:highlight w:val="none"/>
                      <w:lang w:bidi="ar"/>
                    </w:rPr>
                  </w:pPr>
                  <w:r>
                    <w:rPr>
                      <w:color w:val="auto"/>
                      <w:kern w:val="0"/>
                      <w:szCs w:val="21"/>
                      <w:highlight w:val="none"/>
                      <w:lang w:bidi="ar"/>
                    </w:rPr>
                    <w:t>水量</w:t>
                  </w:r>
                </w:p>
                <w:p w14:paraId="6F812EDA">
                  <w:pPr>
                    <w:widowControl/>
                    <w:jc w:val="center"/>
                    <w:textAlignment w:val="center"/>
                    <w:rPr>
                      <w:color w:val="auto"/>
                      <w:kern w:val="0"/>
                      <w:szCs w:val="21"/>
                      <w:highlight w:val="none"/>
                      <w:lang w:bidi="ar"/>
                    </w:rPr>
                  </w:pPr>
                  <w:r>
                    <w:rPr>
                      <w:color w:val="auto"/>
                      <w:kern w:val="0"/>
                      <w:szCs w:val="21"/>
                      <w:highlight w:val="none"/>
                      <w:lang w:bidi="ar"/>
                    </w:rPr>
                    <w:t>(t/a)</w:t>
                  </w:r>
                </w:p>
              </w:tc>
              <w:tc>
                <w:tcPr>
                  <w:tcW w:w="750" w:type="dxa"/>
                  <w:vMerge w:val="restart"/>
                  <w:tcBorders>
                    <w:tl2br w:val="nil"/>
                    <w:tr2bl w:val="nil"/>
                  </w:tcBorders>
                  <w:vAlign w:val="center"/>
                </w:tcPr>
                <w:p w14:paraId="49EF5C27">
                  <w:pPr>
                    <w:widowControl/>
                    <w:jc w:val="center"/>
                    <w:textAlignment w:val="center"/>
                    <w:rPr>
                      <w:color w:val="auto"/>
                      <w:kern w:val="0"/>
                      <w:szCs w:val="21"/>
                      <w:highlight w:val="none"/>
                      <w:lang w:bidi="ar"/>
                    </w:rPr>
                  </w:pPr>
                  <w:r>
                    <w:rPr>
                      <w:color w:val="auto"/>
                      <w:kern w:val="0"/>
                      <w:szCs w:val="21"/>
                      <w:highlight w:val="none"/>
                      <w:lang w:bidi="ar"/>
                    </w:rPr>
                    <w:t>污染物</w:t>
                  </w:r>
                </w:p>
              </w:tc>
              <w:tc>
                <w:tcPr>
                  <w:tcW w:w="1936" w:type="dxa"/>
                  <w:gridSpan w:val="2"/>
                  <w:tcBorders>
                    <w:tl2br w:val="nil"/>
                    <w:tr2bl w:val="nil"/>
                  </w:tcBorders>
                  <w:vAlign w:val="center"/>
                </w:tcPr>
                <w:p w14:paraId="7EAF20DA">
                  <w:pPr>
                    <w:widowControl/>
                    <w:jc w:val="center"/>
                    <w:textAlignment w:val="center"/>
                    <w:rPr>
                      <w:color w:val="auto"/>
                      <w:kern w:val="0"/>
                      <w:szCs w:val="21"/>
                      <w:highlight w:val="none"/>
                      <w:lang w:bidi="ar"/>
                    </w:rPr>
                  </w:pPr>
                  <w:r>
                    <w:rPr>
                      <w:color w:val="auto"/>
                      <w:kern w:val="0"/>
                      <w:szCs w:val="21"/>
                      <w:highlight w:val="none"/>
                      <w:lang w:bidi="ar"/>
                    </w:rPr>
                    <w:t>产生</w:t>
                  </w:r>
                </w:p>
              </w:tc>
              <w:tc>
                <w:tcPr>
                  <w:tcW w:w="1037" w:type="dxa"/>
                  <w:vMerge w:val="restart"/>
                  <w:tcBorders>
                    <w:tl2br w:val="nil"/>
                    <w:tr2bl w:val="nil"/>
                  </w:tcBorders>
                  <w:vAlign w:val="center"/>
                </w:tcPr>
                <w:p w14:paraId="1F8C3F7C">
                  <w:pPr>
                    <w:widowControl/>
                    <w:jc w:val="center"/>
                    <w:textAlignment w:val="center"/>
                    <w:rPr>
                      <w:color w:val="auto"/>
                      <w:kern w:val="0"/>
                      <w:szCs w:val="21"/>
                      <w:highlight w:val="none"/>
                      <w:lang w:bidi="ar"/>
                    </w:rPr>
                  </w:pPr>
                  <w:r>
                    <w:rPr>
                      <w:color w:val="auto"/>
                      <w:kern w:val="0"/>
                      <w:szCs w:val="21"/>
                      <w:highlight w:val="none"/>
                      <w:lang w:bidi="ar"/>
                    </w:rPr>
                    <w:t>治理设施</w:t>
                  </w:r>
                </w:p>
              </w:tc>
              <w:tc>
                <w:tcPr>
                  <w:tcW w:w="2948" w:type="dxa"/>
                  <w:gridSpan w:val="3"/>
                  <w:tcBorders>
                    <w:tl2br w:val="nil"/>
                    <w:tr2bl w:val="nil"/>
                  </w:tcBorders>
                  <w:vAlign w:val="center"/>
                </w:tcPr>
                <w:p w14:paraId="626C4E4A">
                  <w:pPr>
                    <w:widowControl/>
                    <w:jc w:val="center"/>
                    <w:textAlignment w:val="center"/>
                    <w:rPr>
                      <w:color w:val="auto"/>
                      <w:kern w:val="0"/>
                      <w:szCs w:val="21"/>
                      <w:highlight w:val="none"/>
                      <w:lang w:bidi="ar"/>
                    </w:rPr>
                  </w:pPr>
                  <w:r>
                    <w:rPr>
                      <w:color w:val="auto"/>
                      <w:kern w:val="0"/>
                      <w:szCs w:val="21"/>
                      <w:highlight w:val="none"/>
                      <w:lang w:bidi="ar"/>
                    </w:rPr>
                    <w:t>排放</w:t>
                  </w:r>
                </w:p>
              </w:tc>
            </w:tr>
            <w:tr w14:paraId="5C6CE7F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86" w:type="dxa"/>
                  <w:vMerge w:val="continue"/>
                  <w:tcBorders>
                    <w:tl2br w:val="nil"/>
                    <w:tr2bl w:val="nil"/>
                  </w:tcBorders>
                  <w:vAlign w:val="center"/>
                </w:tcPr>
                <w:p w14:paraId="6F7E945A">
                  <w:pPr>
                    <w:widowControl/>
                    <w:jc w:val="center"/>
                    <w:textAlignment w:val="center"/>
                    <w:rPr>
                      <w:color w:val="auto"/>
                      <w:kern w:val="0"/>
                      <w:szCs w:val="21"/>
                      <w:highlight w:val="none"/>
                      <w:lang w:bidi="ar"/>
                    </w:rPr>
                  </w:pPr>
                </w:p>
              </w:tc>
              <w:tc>
                <w:tcPr>
                  <w:tcW w:w="1012" w:type="dxa"/>
                  <w:vMerge w:val="continue"/>
                  <w:tcBorders>
                    <w:tl2br w:val="nil"/>
                    <w:tr2bl w:val="nil"/>
                  </w:tcBorders>
                  <w:vAlign w:val="center"/>
                </w:tcPr>
                <w:p w14:paraId="660E2360">
                  <w:pPr>
                    <w:widowControl/>
                    <w:jc w:val="center"/>
                    <w:textAlignment w:val="center"/>
                    <w:rPr>
                      <w:color w:val="auto"/>
                      <w:kern w:val="0"/>
                      <w:szCs w:val="21"/>
                      <w:highlight w:val="none"/>
                      <w:lang w:bidi="ar"/>
                    </w:rPr>
                  </w:pPr>
                </w:p>
              </w:tc>
              <w:tc>
                <w:tcPr>
                  <w:tcW w:w="750" w:type="dxa"/>
                  <w:vMerge w:val="continue"/>
                  <w:tcBorders>
                    <w:tl2br w:val="nil"/>
                    <w:tr2bl w:val="nil"/>
                  </w:tcBorders>
                  <w:vAlign w:val="center"/>
                </w:tcPr>
                <w:p w14:paraId="476FFC41">
                  <w:pPr>
                    <w:widowControl/>
                    <w:jc w:val="center"/>
                    <w:textAlignment w:val="center"/>
                    <w:rPr>
                      <w:color w:val="auto"/>
                      <w:kern w:val="0"/>
                      <w:szCs w:val="21"/>
                      <w:highlight w:val="none"/>
                      <w:lang w:bidi="ar"/>
                    </w:rPr>
                  </w:pPr>
                </w:p>
              </w:tc>
              <w:tc>
                <w:tcPr>
                  <w:tcW w:w="1050" w:type="dxa"/>
                  <w:tcBorders>
                    <w:tl2br w:val="nil"/>
                    <w:tr2bl w:val="nil"/>
                  </w:tcBorders>
                  <w:vAlign w:val="center"/>
                </w:tcPr>
                <w:p w14:paraId="2E2D3669">
                  <w:pPr>
                    <w:widowControl/>
                    <w:jc w:val="center"/>
                    <w:textAlignment w:val="center"/>
                    <w:rPr>
                      <w:color w:val="auto"/>
                      <w:kern w:val="0"/>
                      <w:szCs w:val="21"/>
                      <w:highlight w:val="none"/>
                      <w:lang w:bidi="ar"/>
                    </w:rPr>
                  </w:pPr>
                  <w:r>
                    <w:rPr>
                      <w:color w:val="auto"/>
                      <w:kern w:val="0"/>
                      <w:szCs w:val="21"/>
                      <w:highlight w:val="none"/>
                      <w:lang w:bidi="ar"/>
                    </w:rPr>
                    <w:t>浓度</w:t>
                  </w:r>
                </w:p>
                <w:p w14:paraId="178D2A19">
                  <w:pPr>
                    <w:widowControl/>
                    <w:jc w:val="center"/>
                    <w:textAlignment w:val="center"/>
                    <w:rPr>
                      <w:color w:val="auto"/>
                      <w:kern w:val="0"/>
                      <w:szCs w:val="21"/>
                      <w:highlight w:val="none"/>
                      <w:lang w:bidi="ar"/>
                    </w:rPr>
                  </w:pPr>
                  <w:r>
                    <w:rPr>
                      <w:color w:val="auto"/>
                      <w:kern w:val="0"/>
                      <w:szCs w:val="21"/>
                      <w:highlight w:val="none"/>
                      <w:lang w:bidi="ar"/>
                    </w:rPr>
                    <w:t>（mg/L）</w:t>
                  </w:r>
                </w:p>
              </w:tc>
              <w:tc>
                <w:tcPr>
                  <w:tcW w:w="886" w:type="dxa"/>
                  <w:tcBorders>
                    <w:tl2br w:val="nil"/>
                    <w:tr2bl w:val="nil"/>
                  </w:tcBorders>
                  <w:vAlign w:val="center"/>
                </w:tcPr>
                <w:p w14:paraId="1D94AD4B">
                  <w:pPr>
                    <w:widowControl/>
                    <w:jc w:val="center"/>
                    <w:textAlignment w:val="center"/>
                    <w:rPr>
                      <w:color w:val="auto"/>
                      <w:kern w:val="0"/>
                      <w:szCs w:val="21"/>
                      <w:highlight w:val="none"/>
                      <w:lang w:bidi="ar"/>
                    </w:rPr>
                  </w:pPr>
                  <w:r>
                    <w:rPr>
                      <w:color w:val="auto"/>
                      <w:kern w:val="0"/>
                      <w:szCs w:val="21"/>
                      <w:highlight w:val="none"/>
                      <w:lang w:bidi="ar"/>
                    </w:rPr>
                    <w:t>产生量</w:t>
                  </w:r>
                </w:p>
                <w:p w14:paraId="6BC8D02A">
                  <w:pPr>
                    <w:widowControl/>
                    <w:jc w:val="center"/>
                    <w:textAlignment w:val="center"/>
                    <w:rPr>
                      <w:color w:val="auto"/>
                      <w:kern w:val="0"/>
                      <w:szCs w:val="21"/>
                      <w:highlight w:val="none"/>
                      <w:lang w:bidi="ar"/>
                    </w:rPr>
                  </w:pPr>
                  <w:r>
                    <w:rPr>
                      <w:color w:val="auto"/>
                      <w:kern w:val="0"/>
                      <w:szCs w:val="21"/>
                      <w:highlight w:val="none"/>
                      <w:lang w:bidi="ar"/>
                    </w:rPr>
                    <w:t>（t/a）</w:t>
                  </w:r>
                </w:p>
              </w:tc>
              <w:tc>
                <w:tcPr>
                  <w:tcW w:w="1037" w:type="dxa"/>
                  <w:vMerge w:val="continue"/>
                  <w:tcBorders>
                    <w:tl2br w:val="nil"/>
                    <w:tr2bl w:val="nil"/>
                  </w:tcBorders>
                  <w:vAlign w:val="center"/>
                </w:tcPr>
                <w:p w14:paraId="11E6C4C3">
                  <w:pPr>
                    <w:widowControl/>
                    <w:jc w:val="center"/>
                    <w:textAlignment w:val="center"/>
                    <w:rPr>
                      <w:color w:val="auto"/>
                      <w:kern w:val="0"/>
                      <w:szCs w:val="21"/>
                      <w:highlight w:val="none"/>
                      <w:lang w:bidi="ar"/>
                    </w:rPr>
                  </w:pPr>
                </w:p>
              </w:tc>
              <w:tc>
                <w:tcPr>
                  <w:tcW w:w="777" w:type="dxa"/>
                  <w:tcBorders>
                    <w:right w:val="single" w:color="auto" w:sz="4" w:space="0"/>
                    <w:tl2br w:val="nil"/>
                    <w:tr2bl w:val="nil"/>
                  </w:tcBorders>
                  <w:vAlign w:val="center"/>
                </w:tcPr>
                <w:p w14:paraId="5D1716B9">
                  <w:pPr>
                    <w:widowControl/>
                    <w:jc w:val="center"/>
                    <w:textAlignment w:val="center"/>
                    <w:rPr>
                      <w:color w:val="auto"/>
                      <w:kern w:val="0"/>
                      <w:szCs w:val="21"/>
                      <w:highlight w:val="none"/>
                      <w:lang w:bidi="ar"/>
                    </w:rPr>
                  </w:pPr>
                  <w:r>
                    <w:rPr>
                      <w:rFonts w:hint="eastAsia"/>
                      <w:color w:val="auto"/>
                      <w:kern w:val="0"/>
                      <w:szCs w:val="21"/>
                      <w:highlight w:val="none"/>
                      <w:lang w:bidi="ar"/>
                    </w:rPr>
                    <w:t>水量</w:t>
                  </w:r>
                  <w:r>
                    <w:rPr>
                      <w:color w:val="auto"/>
                      <w:kern w:val="0"/>
                      <w:szCs w:val="21"/>
                      <w:highlight w:val="none"/>
                      <w:lang w:bidi="ar"/>
                    </w:rPr>
                    <w:t>(t/a)</w:t>
                  </w:r>
                </w:p>
              </w:tc>
              <w:tc>
                <w:tcPr>
                  <w:tcW w:w="996" w:type="dxa"/>
                  <w:tcBorders>
                    <w:right w:val="single" w:color="auto" w:sz="4" w:space="0"/>
                    <w:tl2br w:val="nil"/>
                    <w:tr2bl w:val="nil"/>
                  </w:tcBorders>
                  <w:vAlign w:val="center"/>
                </w:tcPr>
                <w:p w14:paraId="59CFA5A6">
                  <w:pPr>
                    <w:widowControl/>
                    <w:jc w:val="center"/>
                    <w:textAlignment w:val="center"/>
                    <w:rPr>
                      <w:color w:val="auto"/>
                      <w:kern w:val="0"/>
                      <w:szCs w:val="21"/>
                      <w:highlight w:val="none"/>
                      <w:lang w:bidi="ar"/>
                    </w:rPr>
                  </w:pPr>
                  <w:r>
                    <w:rPr>
                      <w:color w:val="auto"/>
                      <w:kern w:val="0"/>
                      <w:szCs w:val="21"/>
                      <w:highlight w:val="none"/>
                      <w:lang w:bidi="ar"/>
                    </w:rPr>
                    <w:t>浓度</w:t>
                  </w:r>
                </w:p>
                <w:p w14:paraId="0E12C778">
                  <w:pPr>
                    <w:widowControl/>
                    <w:jc w:val="center"/>
                    <w:textAlignment w:val="center"/>
                    <w:rPr>
                      <w:color w:val="auto"/>
                      <w:kern w:val="0"/>
                      <w:szCs w:val="21"/>
                      <w:highlight w:val="none"/>
                      <w:lang w:bidi="ar"/>
                    </w:rPr>
                  </w:pPr>
                  <w:r>
                    <w:rPr>
                      <w:color w:val="auto"/>
                      <w:kern w:val="0"/>
                      <w:szCs w:val="21"/>
                      <w:highlight w:val="none"/>
                      <w:lang w:bidi="ar"/>
                    </w:rPr>
                    <w:t>（mg/L）</w:t>
                  </w:r>
                </w:p>
              </w:tc>
              <w:tc>
                <w:tcPr>
                  <w:tcW w:w="1175" w:type="dxa"/>
                  <w:tcBorders>
                    <w:left w:val="single" w:color="auto" w:sz="4" w:space="0"/>
                    <w:tl2br w:val="nil"/>
                    <w:tr2bl w:val="nil"/>
                  </w:tcBorders>
                  <w:vAlign w:val="center"/>
                </w:tcPr>
                <w:p w14:paraId="017B0B3B">
                  <w:pPr>
                    <w:widowControl/>
                    <w:jc w:val="center"/>
                    <w:textAlignment w:val="center"/>
                    <w:rPr>
                      <w:color w:val="auto"/>
                      <w:kern w:val="0"/>
                      <w:szCs w:val="21"/>
                      <w:highlight w:val="none"/>
                      <w:lang w:bidi="ar"/>
                    </w:rPr>
                  </w:pPr>
                  <w:r>
                    <w:rPr>
                      <w:color w:val="auto"/>
                      <w:kern w:val="0"/>
                      <w:szCs w:val="21"/>
                      <w:highlight w:val="none"/>
                      <w:lang w:bidi="ar"/>
                    </w:rPr>
                    <w:t>排放量</w:t>
                  </w:r>
                </w:p>
                <w:p w14:paraId="686A9898">
                  <w:pPr>
                    <w:widowControl/>
                    <w:jc w:val="center"/>
                    <w:textAlignment w:val="center"/>
                    <w:rPr>
                      <w:color w:val="auto"/>
                      <w:kern w:val="0"/>
                      <w:szCs w:val="21"/>
                      <w:highlight w:val="none"/>
                      <w:lang w:bidi="ar"/>
                    </w:rPr>
                  </w:pPr>
                  <w:r>
                    <w:rPr>
                      <w:color w:val="auto"/>
                      <w:kern w:val="0"/>
                      <w:szCs w:val="21"/>
                      <w:highlight w:val="none"/>
                      <w:lang w:bidi="ar"/>
                    </w:rPr>
                    <w:t>（t/a）</w:t>
                  </w:r>
                </w:p>
              </w:tc>
            </w:tr>
            <w:tr w14:paraId="2CBF3E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86" w:type="dxa"/>
                  <w:vMerge w:val="restart"/>
                  <w:tcBorders>
                    <w:tl2br w:val="nil"/>
                    <w:tr2bl w:val="nil"/>
                  </w:tcBorders>
                  <w:vAlign w:val="center"/>
                </w:tcPr>
                <w:p w14:paraId="590BF7D9">
                  <w:pPr>
                    <w:widowControl/>
                    <w:jc w:val="center"/>
                    <w:textAlignment w:val="center"/>
                    <w:rPr>
                      <w:color w:val="auto"/>
                      <w:kern w:val="0"/>
                      <w:szCs w:val="21"/>
                      <w:highlight w:val="none"/>
                      <w:lang w:bidi="ar"/>
                    </w:rPr>
                  </w:pPr>
                  <w:r>
                    <w:rPr>
                      <w:rFonts w:hint="eastAsia"/>
                      <w:color w:val="auto"/>
                      <w:kern w:val="0"/>
                      <w:szCs w:val="21"/>
                      <w:highlight w:val="none"/>
                      <w:lang w:bidi="ar"/>
                    </w:rPr>
                    <w:t>混合</w:t>
                  </w:r>
                </w:p>
                <w:p w14:paraId="3B30291B">
                  <w:pPr>
                    <w:widowControl/>
                    <w:jc w:val="center"/>
                    <w:textAlignment w:val="center"/>
                    <w:rPr>
                      <w:color w:val="auto"/>
                      <w:kern w:val="0"/>
                      <w:szCs w:val="21"/>
                      <w:highlight w:val="none"/>
                      <w:lang w:bidi="ar"/>
                    </w:rPr>
                  </w:pPr>
                  <w:r>
                    <w:rPr>
                      <w:rFonts w:hint="eastAsia"/>
                      <w:color w:val="auto"/>
                      <w:kern w:val="0"/>
                      <w:szCs w:val="21"/>
                      <w:highlight w:val="none"/>
                      <w:lang w:bidi="ar"/>
                    </w:rPr>
                    <w:t>废水</w:t>
                  </w:r>
                </w:p>
              </w:tc>
              <w:tc>
                <w:tcPr>
                  <w:tcW w:w="1012" w:type="dxa"/>
                  <w:vMerge w:val="restart"/>
                  <w:tcBorders>
                    <w:tl2br w:val="nil"/>
                    <w:tr2bl w:val="nil"/>
                  </w:tcBorders>
                  <w:vAlign w:val="center"/>
                </w:tcPr>
                <w:p w14:paraId="41A5D284">
                  <w:pPr>
                    <w:widowControl/>
                    <w:jc w:val="center"/>
                    <w:textAlignment w:val="center"/>
                    <w:rPr>
                      <w:color w:val="auto"/>
                      <w:kern w:val="0"/>
                      <w:szCs w:val="21"/>
                      <w:highlight w:val="none"/>
                      <w:lang w:bidi="ar"/>
                    </w:rPr>
                  </w:pPr>
                  <w:r>
                    <w:rPr>
                      <w:rFonts w:hint="eastAsia"/>
                      <w:color w:val="auto"/>
                      <w:kern w:val="0"/>
                      <w:szCs w:val="21"/>
                      <w:highlight w:val="none"/>
                      <w:lang w:bidi="ar"/>
                    </w:rPr>
                    <w:t>5574.645</w:t>
                  </w:r>
                </w:p>
              </w:tc>
              <w:tc>
                <w:tcPr>
                  <w:tcW w:w="750" w:type="dxa"/>
                  <w:tcBorders>
                    <w:tl2br w:val="nil"/>
                    <w:tr2bl w:val="nil"/>
                  </w:tcBorders>
                  <w:vAlign w:val="center"/>
                </w:tcPr>
                <w:p w14:paraId="1189E667">
                  <w:pPr>
                    <w:widowControl/>
                    <w:jc w:val="center"/>
                    <w:textAlignment w:val="center"/>
                    <w:rPr>
                      <w:color w:val="auto"/>
                      <w:kern w:val="0"/>
                      <w:szCs w:val="21"/>
                      <w:highlight w:val="none"/>
                      <w:lang w:bidi="ar"/>
                    </w:rPr>
                  </w:pPr>
                  <w:r>
                    <w:rPr>
                      <w:color w:val="auto"/>
                      <w:kern w:val="0"/>
                      <w:szCs w:val="21"/>
                      <w:highlight w:val="none"/>
                      <w:lang w:bidi="ar"/>
                    </w:rPr>
                    <w:t>COD</w:t>
                  </w:r>
                </w:p>
              </w:tc>
              <w:tc>
                <w:tcPr>
                  <w:tcW w:w="1050" w:type="dxa"/>
                  <w:tcBorders>
                    <w:tl2br w:val="nil"/>
                    <w:tr2bl w:val="nil"/>
                  </w:tcBorders>
                  <w:vAlign w:val="center"/>
                </w:tcPr>
                <w:p w14:paraId="7258A5BA">
                  <w:pPr>
                    <w:widowControl/>
                    <w:jc w:val="center"/>
                    <w:textAlignment w:val="center"/>
                    <w:rPr>
                      <w:color w:val="auto"/>
                      <w:kern w:val="0"/>
                      <w:szCs w:val="21"/>
                      <w:highlight w:val="none"/>
                      <w:lang w:bidi="ar"/>
                    </w:rPr>
                  </w:pPr>
                  <w:r>
                    <w:rPr>
                      <w:rFonts w:hint="eastAsia"/>
                      <w:color w:val="auto"/>
                      <w:kern w:val="0"/>
                      <w:szCs w:val="21"/>
                      <w:highlight w:val="none"/>
                      <w:lang w:bidi="ar"/>
                    </w:rPr>
                    <w:t>237.48</w:t>
                  </w:r>
                </w:p>
              </w:tc>
              <w:tc>
                <w:tcPr>
                  <w:tcW w:w="886" w:type="dxa"/>
                  <w:tcBorders>
                    <w:tl2br w:val="nil"/>
                    <w:tr2bl w:val="nil"/>
                  </w:tcBorders>
                  <w:vAlign w:val="center"/>
                </w:tcPr>
                <w:p w14:paraId="4DDAC622">
                  <w:pPr>
                    <w:widowControl/>
                    <w:jc w:val="center"/>
                    <w:textAlignment w:val="center"/>
                    <w:rPr>
                      <w:color w:val="auto"/>
                      <w:kern w:val="0"/>
                      <w:szCs w:val="21"/>
                      <w:highlight w:val="none"/>
                      <w:lang w:bidi="ar"/>
                    </w:rPr>
                  </w:pPr>
                  <w:r>
                    <w:rPr>
                      <w:rFonts w:hint="eastAsia"/>
                      <w:color w:val="auto"/>
                      <w:kern w:val="0"/>
                      <w:szCs w:val="21"/>
                      <w:highlight w:val="none"/>
                      <w:lang w:bidi="ar"/>
                    </w:rPr>
                    <w:t>1.32</w:t>
                  </w:r>
                </w:p>
              </w:tc>
              <w:tc>
                <w:tcPr>
                  <w:tcW w:w="1037" w:type="dxa"/>
                  <w:vMerge w:val="restart"/>
                  <w:tcBorders>
                    <w:tl2br w:val="nil"/>
                    <w:tr2bl w:val="nil"/>
                  </w:tcBorders>
                  <w:vAlign w:val="center"/>
                </w:tcPr>
                <w:p w14:paraId="5CEFE00A">
                  <w:pPr>
                    <w:widowControl/>
                    <w:jc w:val="center"/>
                    <w:textAlignment w:val="center"/>
                    <w:rPr>
                      <w:color w:val="auto"/>
                      <w:kern w:val="0"/>
                      <w:szCs w:val="21"/>
                      <w:highlight w:val="none"/>
                      <w:lang w:bidi="ar"/>
                    </w:rPr>
                  </w:pPr>
                  <w:r>
                    <w:rPr>
                      <w:rFonts w:hint="eastAsia"/>
                      <w:color w:val="auto"/>
                      <w:kern w:val="0"/>
                      <w:szCs w:val="21"/>
                      <w:highlight w:val="none"/>
                      <w:lang w:bidi="ar"/>
                    </w:rPr>
                    <w:t>化粪池+MBR一体化处理设施+消毒</w:t>
                  </w:r>
                </w:p>
              </w:tc>
              <w:tc>
                <w:tcPr>
                  <w:tcW w:w="777" w:type="dxa"/>
                  <w:vMerge w:val="restart"/>
                  <w:tcBorders>
                    <w:tl2br w:val="nil"/>
                    <w:tr2bl w:val="nil"/>
                  </w:tcBorders>
                  <w:vAlign w:val="center"/>
                </w:tcPr>
                <w:p w14:paraId="7972C9BA">
                  <w:pPr>
                    <w:widowControl/>
                    <w:jc w:val="center"/>
                    <w:textAlignment w:val="center"/>
                    <w:rPr>
                      <w:color w:val="auto"/>
                      <w:kern w:val="0"/>
                      <w:szCs w:val="21"/>
                      <w:highlight w:val="none"/>
                      <w:lang w:bidi="ar"/>
                    </w:rPr>
                  </w:pPr>
                  <w:r>
                    <w:rPr>
                      <w:rFonts w:hint="eastAsia"/>
                      <w:color w:val="auto"/>
                      <w:kern w:val="0"/>
                      <w:szCs w:val="21"/>
                      <w:highlight w:val="none"/>
                      <w:lang w:bidi="ar"/>
                    </w:rPr>
                    <w:t>5574.645</w:t>
                  </w:r>
                </w:p>
              </w:tc>
              <w:tc>
                <w:tcPr>
                  <w:tcW w:w="996" w:type="dxa"/>
                  <w:tcBorders>
                    <w:tl2br w:val="nil"/>
                    <w:tr2bl w:val="nil"/>
                  </w:tcBorders>
                  <w:vAlign w:val="center"/>
                </w:tcPr>
                <w:p w14:paraId="43B1EC91">
                  <w:pPr>
                    <w:widowControl/>
                    <w:jc w:val="center"/>
                    <w:textAlignment w:val="center"/>
                    <w:rPr>
                      <w:color w:val="auto"/>
                      <w:kern w:val="0"/>
                      <w:szCs w:val="21"/>
                      <w:highlight w:val="none"/>
                      <w:lang w:bidi="ar"/>
                    </w:rPr>
                  </w:pPr>
                  <w:r>
                    <w:rPr>
                      <w:rFonts w:hint="eastAsia"/>
                      <w:color w:val="auto"/>
                      <w:kern w:val="0"/>
                      <w:szCs w:val="21"/>
                      <w:highlight w:val="none"/>
                      <w:lang w:bidi="ar"/>
                    </w:rPr>
                    <w:t>47.5</w:t>
                  </w:r>
                </w:p>
              </w:tc>
              <w:tc>
                <w:tcPr>
                  <w:tcW w:w="1175" w:type="dxa"/>
                  <w:tcBorders>
                    <w:tl2br w:val="nil"/>
                    <w:tr2bl w:val="nil"/>
                  </w:tcBorders>
                  <w:vAlign w:val="center"/>
                </w:tcPr>
                <w:p w14:paraId="1BCD443B">
                  <w:pPr>
                    <w:widowControl/>
                    <w:jc w:val="center"/>
                    <w:textAlignment w:val="center"/>
                    <w:rPr>
                      <w:color w:val="auto"/>
                      <w:kern w:val="0"/>
                      <w:szCs w:val="21"/>
                      <w:highlight w:val="none"/>
                      <w:lang w:bidi="ar"/>
                    </w:rPr>
                  </w:pPr>
                  <w:r>
                    <w:rPr>
                      <w:rFonts w:hint="eastAsia"/>
                      <w:color w:val="auto"/>
                      <w:kern w:val="0"/>
                      <w:szCs w:val="21"/>
                      <w:highlight w:val="none"/>
                      <w:lang w:bidi="ar"/>
                    </w:rPr>
                    <w:t>0.26</w:t>
                  </w:r>
                </w:p>
              </w:tc>
            </w:tr>
            <w:tr w14:paraId="01EFEA7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86" w:type="dxa"/>
                  <w:vMerge w:val="continue"/>
                  <w:tcBorders>
                    <w:tl2br w:val="nil"/>
                    <w:tr2bl w:val="nil"/>
                  </w:tcBorders>
                  <w:vAlign w:val="center"/>
                </w:tcPr>
                <w:p w14:paraId="3FDA6272">
                  <w:pPr>
                    <w:widowControl/>
                    <w:jc w:val="center"/>
                    <w:textAlignment w:val="center"/>
                    <w:rPr>
                      <w:color w:val="auto"/>
                      <w:kern w:val="0"/>
                      <w:szCs w:val="21"/>
                      <w:highlight w:val="none"/>
                      <w:lang w:bidi="ar"/>
                    </w:rPr>
                  </w:pPr>
                </w:p>
              </w:tc>
              <w:tc>
                <w:tcPr>
                  <w:tcW w:w="1012" w:type="dxa"/>
                  <w:vMerge w:val="continue"/>
                  <w:tcBorders>
                    <w:tl2br w:val="nil"/>
                    <w:tr2bl w:val="nil"/>
                  </w:tcBorders>
                  <w:vAlign w:val="center"/>
                </w:tcPr>
                <w:p w14:paraId="37FF8CED">
                  <w:pPr>
                    <w:widowControl/>
                    <w:jc w:val="center"/>
                    <w:textAlignment w:val="center"/>
                    <w:rPr>
                      <w:color w:val="auto"/>
                      <w:kern w:val="0"/>
                      <w:szCs w:val="21"/>
                      <w:highlight w:val="none"/>
                      <w:lang w:bidi="ar"/>
                    </w:rPr>
                  </w:pPr>
                </w:p>
              </w:tc>
              <w:tc>
                <w:tcPr>
                  <w:tcW w:w="750" w:type="dxa"/>
                  <w:tcBorders>
                    <w:tl2br w:val="nil"/>
                    <w:tr2bl w:val="nil"/>
                  </w:tcBorders>
                  <w:vAlign w:val="center"/>
                </w:tcPr>
                <w:p w14:paraId="61CE2DF2">
                  <w:pPr>
                    <w:widowControl/>
                    <w:jc w:val="center"/>
                    <w:textAlignment w:val="center"/>
                    <w:rPr>
                      <w:color w:val="auto"/>
                      <w:kern w:val="0"/>
                      <w:szCs w:val="21"/>
                      <w:highlight w:val="none"/>
                      <w:lang w:bidi="ar"/>
                    </w:rPr>
                  </w:pPr>
                  <w:r>
                    <w:rPr>
                      <w:color w:val="auto"/>
                      <w:kern w:val="0"/>
                      <w:szCs w:val="21"/>
                      <w:highlight w:val="none"/>
                      <w:lang w:bidi="ar"/>
                    </w:rPr>
                    <w:t>BOD</w:t>
                  </w:r>
                  <w:r>
                    <w:rPr>
                      <w:color w:val="auto"/>
                      <w:kern w:val="0"/>
                      <w:szCs w:val="21"/>
                      <w:highlight w:val="none"/>
                      <w:vertAlign w:val="subscript"/>
                      <w:lang w:bidi="ar"/>
                    </w:rPr>
                    <w:t>5</w:t>
                  </w:r>
                </w:p>
              </w:tc>
              <w:tc>
                <w:tcPr>
                  <w:tcW w:w="1050" w:type="dxa"/>
                  <w:tcBorders>
                    <w:tl2br w:val="nil"/>
                    <w:tr2bl w:val="nil"/>
                  </w:tcBorders>
                  <w:vAlign w:val="center"/>
                </w:tcPr>
                <w:p w14:paraId="3DC5928D">
                  <w:pPr>
                    <w:widowControl/>
                    <w:jc w:val="center"/>
                    <w:textAlignment w:val="center"/>
                    <w:rPr>
                      <w:color w:val="auto"/>
                      <w:kern w:val="0"/>
                      <w:szCs w:val="21"/>
                      <w:highlight w:val="none"/>
                      <w:lang w:bidi="ar"/>
                    </w:rPr>
                  </w:pPr>
                  <w:r>
                    <w:rPr>
                      <w:rFonts w:hint="eastAsia"/>
                      <w:color w:val="auto"/>
                      <w:kern w:val="0"/>
                      <w:szCs w:val="21"/>
                      <w:highlight w:val="none"/>
                      <w:lang w:bidi="ar"/>
                    </w:rPr>
                    <w:t>100</w:t>
                  </w:r>
                </w:p>
              </w:tc>
              <w:tc>
                <w:tcPr>
                  <w:tcW w:w="886" w:type="dxa"/>
                  <w:tcBorders>
                    <w:tl2br w:val="nil"/>
                    <w:tr2bl w:val="nil"/>
                  </w:tcBorders>
                  <w:vAlign w:val="center"/>
                </w:tcPr>
                <w:p w14:paraId="5F940BCE">
                  <w:pPr>
                    <w:widowControl/>
                    <w:jc w:val="center"/>
                    <w:textAlignment w:val="center"/>
                    <w:rPr>
                      <w:color w:val="auto"/>
                      <w:kern w:val="0"/>
                      <w:szCs w:val="21"/>
                      <w:highlight w:val="none"/>
                      <w:lang w:bidi="ar"/>
                    </w:rPr>
                  </w:pPr>
                  <w:r>
                    <w:rPr>
                      <w:rFonts w:hint="eastAsia"/>
                      <w:color w:val="auto"/>
                      <w:kern w:val="0"/>
                      <w:szCs w:val="21"/>
                      <w:highlight w:val="none"/>
                      <w:lang w:bidi="ar"/>
                    </w:rPr>
                    <w:t>0.56</w:t>
                  </w:r>
                </w:p>
              </w:tc>
              <w:tc>
                <w:tcPr>
                  <w:tcW w:w="1037" w:type="dxa"/>
                  <w:vMerge w:val="continue"/>
                  <w:tcBorders>
                    <w:tl2br w:val="nil"/>
                    <w:tr2bl w:val="nil"/>
                  </w:tcBorders>
                  <w:vAlign w:val="center"/>
                </w:tcPr>
                <w:p w14:paraId="4D95BCD8">
                  <w:pPr>
                    <w:widowControl/>
                    <w:jc w:val="center"/>
                    <w:textAlignment w:val="center"/>
                    <w:rPr>
                      <w:color w:val="auto"/>
                      <w:kern w:val="0"/>
                      <w:szCs w:val="21"/>
                      <w:highlight w:val="none"/>
                      <w:lang w:bidi="ar"/>
                    </w:rPr>
                  </w:pPr>
                </w:p>
              </w:tc>
              <w:tc>
                <w:tcPr>
                  <w:tcW w:w="777" w:type="dxa"/>
                  <w:vMerge w:val="continue"/>
                  <w:tcBorders>
                    <w:tl2br w:val="nil"/>
                    <w:tr2bl w:val="nil"/>
                  </w:tcBorders>
                  <w:vAlign w:val="center"/>
                </w:tcPr>
                <w:p w14:paraId="047A909A">
                  <w:pPr>
                    <w:widowControl/>
                    <w:jc w:val="center"/>
                    <w:textAlignment w:val="center"/>
                    <w:rPr>
                      <w:color w:val="auto"/>
                      <w:kern w:val="0"/>
                      <w:szCs w:val="21"/>
                      <w:highlight w:val="none"/>
                      <w:lang w:bidi="ar"/>
                    </w:rPr>
                  </w:pPr>
                </w:p>
              </w:tc>
              <w:tc>
                <w:tcPr>
                  <w:tcW w:w="996" w:type="dxa"/>
                  <w:tcBorders>
                    <w:tl2br w:val="nil"/>
                    <w:tr2bl w:val="nil"/>
                  </w:tcBorders>
                  <w:vAlign w:val="center"/>
                </w:tcPr>
                <w:p w14:paraId="6D0A0729">
                  <w:pPr>
                    <w:widowControl/>
                    <w:jc w:val="center"/>
                    <w:textAlignment w:val="center"/>
                    <w:rPr>
                      <w:color w:val="auto"/>
                      <w:kern w:val="0"/>
                      <w:szCs w:val="21"/>
                      <w:highlight w:val="none"/>
                      <w:lang w:bidi="ar"/>
                    </w:rPr>
                  </w:pPr>
                  <w:r>
                    <w:rPr>
                      <w:rFonts w:hint="eastAsia"/>
                      <w:color w:val="auto"/>
                      <w:kern w:val="0"/>
                      <w:szCs w:val="21"/>
                      <w:highlight w:val="none"/>
                      <w:lang w:bidi="ar"/>
                    </w:rPr>
                    <w:t>10</w:t>
                  </w:r>
                </w:p>
              </w:tc>
              <w:tc>
                <w:tcPr>
                  <w:tcW w:w="1175" w:type="dxa"/>
                  <w:tcBorders>
                    <w:tl2br w:val="nil"/>
                    <w:tr2bl w:val="nil"/>
                  </w:tcBorders>
                  <w:vAlign w:val="center"/>
                </w:tcPr>
                <w:p w14:paraId="34C197F9">
                  <w:pPr>
                    <w:widowControl/>
                    <w:jc w:val="center"/>
                    <w:textAlignment w:val="center"/>
                    <w:rPr>
                      <w:color w:val="auto"/>
                      <w:kern w:val="0"/>
                      <w:szCs w:val="21"/>
                      <w:highlight w:val="none"/>
                      <w:lang w:bidi="ar"/>
                    </w:rPr>
                  </w:pPr>
                  <w:r>
                    <w:rPr>
                      <w:rFonts w:hint="eastAsia"/>
                      <w:color w:val="auto"/>
                      <w:kern w:val="0"/>
                      <w:szCs w:val="21"/>
                      <w:highlight w:val="none"/>
                      <w:lang w:bidi="ar"/>
                    </w:rPr>
                    <w:t>0.056</w:t>
                  </w:r>
                </w:p>
              </w:tc>
            </w:tr>
            <w:tr w14:paraId="2EDB59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86" w:type="dxa"/>
                  <w:vMerge w:val="continue"/>
                  <w:tcBorders>
                    <w:tl2br w:val="nil"/>
                    <w:tr2bl w:val="nil"/>
                  </w:tcBorders>
                  <w:vAlign w:val="center"/>
                </w:tcPr>
                <w:p w14:paraId="6C02F494">
                  <w:pPr>
                    <w:widowControl/>
                    <w:jc w:val="center"/>
                    <w:textAlignment w:val="center"/>
                    <w:rPr>
                      <w:color w:val="auto"/>
                      <w:kern w:val="0"/>
                      <w:szCs w:val="21"/>
                      <w:highlight w:val="none"/>
                      <w:lang w:bidi="ar"/>
                    </w:rPr>
                  </w:pPr>
                </w:p>
              </w:tc>
              <w:tc>
                <w:tcPr>
                  <w:tcW w:w="1012" w:type="dxa"/>
                  <w:vMerge w:val="continue"/>
                  <w:tcBorders>
                    <w:tl2br w:val="nil"/>
                    <w:tr2bl w:val="nil"/>
                  </w:tcBorders>
                  <w:vAlign w:val="center"/>
                </w:tcPr>
                <w:p w14:paraId="486DBCB1">
                  <w:pPr>
                    <w:widowControl/>
                    <w:jc w:val="center"/>
                    <w:textAlignment w:val="center"/>
                    <w:rPr>
                      <w:color w:val="auto"/>
                      <w:kern w:val="0"/>
                      <w:szCs w:val="21"/>
                      <w:highlight w:val="none"/>
                      <w:lang w:bidi="ar"/>
                    </w:rPr>
                  </w:pPr>
                </w:p>
              </w:tc>
              <w:tc>
                <w:tcPr>
                  <w:tcW w:w="750" w:type="dxa"/>
                  <w:tcBorders>
                    <w:tl2br w:val="nil"/>
                    <w:tr2bl w:val="nil"/>
                  </w:tcBorders>
                  <w:vAlign w:val="center"/>
                </w:tcPr>
                <w:p w14:paraId="34ECA480">
                  <w:pPr>
                    <w:widowControl/>
                    <w:jc w:val="center"/>
                    <w:textAlignment w:val="center"/>
                    <w:rPr>
                      <w:color w:val="auto"/>
                      <w:kern w:val="0"/>
                      <w:szCs w:val="21"/>
                      <w:highlight w:val="none"/>
                      <w:lang w:bidi="ar"/>
                    </w:rPr>
                  </w:pPr>
                  <w:r>
                    <w:rPr>
                      <w:color w:val="auto"/>
                      <w:kern w:val="0"/>
                      <w:szCs w:val="21"/>
                      <w:highlight w:val="none"/>
                      <w:lang w:bidi="ar"/>
                    </w:rPr>
                    <w:t>NH</w:t>
                  </w:r>
                  <w:r>
                    <w:rPr>
                      <w:color w:val="auto"/>
                      <w:kern w:val="0"/>
                      <w:szCs w:val="21"/>
                      <w:highlight w:val="none"/>
                      <w:vertAlign w:val="subscript"/>
                      <w:lang w:bidi="ar"/>
                    </w:rPr>
                    <w:t>3</w:t>
                  </w:r>
                  <w:r>
                    <w:rPr>
                      <w:color w:val="auto"/>
                      <w:kern w:val="0"/>
                      <w:szCs w:val="21"/>
                      <w:highlight w:val="none"/>
                      <w:lang w:bidi="ar"/>
                    </w:rPr>
                    <w:t>-N</w:t>
                  </w:r>
                </w:p>
              </w:tc>
              <w:tc>
                <w:tcPr>
                  <w:tcW w:w="1050" w:type="dxa"/>
                  <w:tcBorders>
                    <w:tl2br w:val="nil"/>
                    <w:tr2bl w:val="nil"/>
                  </w:tcBorders>
                  <w:vAlign w:val="center"/>
                </w:tcPr>
                <w:p w14:paraId="756F7FF0">
                  <w:pPr>
                    <w:widowControl/>
                    <w:jc w:val="center"/>
                    <w:textAlignment w:val="center"/>
                    <w:rPr>
                      <w:color w:val="auto"/>
                      <w:kern w:val="0"/>
                      <w:szCs w:val="21"/>
                      <w:highlight w:val="none"/>
                      <w:lang w:bidi="ar"/>
                    </w:rPr>
                  </w:pPr>
                  <w:r>
                    <w:rPr>
                      <w:rFonts w:hint="eastAsia"/>
                      <w:color w:val="auto"/>
                      <w:kern w:val="0"/>
                      <w:szCs w:val="21"/>
                      <w:highlight w:val="none"/>
                      <w:lang w:bidi="ar"/>
                    </w:rPr>
                    <w:t>27.49</w:t>
                  </w:r>
                </w:p>
              </w:tc>
              <w:tc>
                <w:tcPr>
                  <w:tcW w:w="886" w:type="dxa"/>
                  <w:tcBorders>
                    <w:tl2br w:val="nil"/>
                    <w:tr2bl w:val="nil"/>
                  </w:tcBorders>
                  <w:vAlign w:val="center"/>
                </w:tcPr>
                <w:p w14:paraId="518C184B">
                  <w:pPr>
                    <w:widowControl/>
                    <w:jc w:val="center"/>
                    <w:textAlignment w:val="center"/>
                    <w:rPr>
                      <w:color w:val="auto"/>
                      <w:kern w:val="0"/>
                      <w:szCs w:val="21"/>
                      <w:highlight w:val="none"/>
                      <w:lang w:bidi="ar"/>
                    </w:rPr>
                  </w:pPr>
                  <w:r>
                    <w:rPr>
                      <w:rFonts w:hint="eastAsia"/>
                      <w:color w:val="auto"/>
                      <w:kern w:val="0"/>
                      <w:szCs w:val="21"/>
                      <w:highlight w:val="none"/>
                      <w:lang w:bidi="ar"/>
                    </w:rPr>
                    <w:t>0.15</w:t>
                  </w:r>
                </w:p>
              </w:tc>
              <w:tc>
                <w:tcPr>
                  <w:tcW w:w="1037" w:type="dxa"/>
                  <w:vMerge w:val="continue"/>
                  <w:tcBorders>
                    <w:tl2br w:val="nil"/>
                    <w:tr2bl w:val="nil"/>
                  </w:tcBorders>
                  <w:vAlign w:val="center"/>
                </w:tcPr>
                <w:p w14:paraId="068CC3B3">
                  <w:pPr>
                    <w:widowControl/>
                    <w:jc w:val="center"/>
                    <w:textAlignment w:val="center"/>
                    <w:rPr>
                      <w:color w:val="auto"/>
                      <w:kern w:val="0"/>
                      <w:szCs w:val="21"/>
                      <w:highlight w:val="none"/>
                      <w:lang w:bidi="ar"/>
                    </w:rPr>
                  </w:pPr>
                </w:p>
              </w:tc>
              <w:tc>
                <w:tcPr>
                  <w:tcW w:w="777" w:type="dxa"/>
                  <w:vMerge w:val="continue"/>
                  <w:tcBorders>
                    <w:tl2br w:val="nil"/>
                    <w:tr2bl w:val="nil"/>
                  </w:tcBorders>
                  <w:vAlign w:val="center"/>
                </w:tcPr>
                <w:p w14:paraId="613C6452">
                  <w:pPr>
                    <w:widowControl/>
                    <w:jc w:val="center"/>
                    <w:textAlignment w:val="center"/>
                    <w:rPr>
                      <w:color w:val="auto"/>
                      <w:kern w:val="0"/>
                      <w:szCs w:val="21"/>
                      <w:highlight w:val="none"/>
                      <w:lang w:bidi="ar"/>
                    </w:rPr>
                  </w:pPr>
                </w:p>
              </w:tc>
              <w:tc>
                <w:tcPr>
                  <w:tcW w:w="996" w:type="dxa"/>
                  <w:tcBorders>
                    <w:tl2br w:val="nil"/>
                    <w:tr2bl w:val="nil"/>
                  </w:tcBorders>
                  <w:vAlign w:val="center"/>
                </w:tcPr>
                <w:p w14:paraId="64E183C4">
                  <w:pPr>
                    <w:widowControl/>
                    <w:jc w:val="center"/>
                    <w:textAlignment w:val="center"/>
                    <w:rPr>
                      <w:color w:val="auto"/>
                      <w:kern w:val="0"/>
                      <w:szCs w:val="21"/>
                      <w:highlight w:val="none"/>
                      <w:lang w:bidi="ar"/>
                    </w:rPr>
                  </w:pPr>
                  <w:r>
                    <w:rPr>
                      <w:rFonts w:hint="eastAsia"/>
                      <w:color w:val="auto"/>
                      <w:kern w:val="0"/>
                      <w:szCs w:val="21"/>
                      <w:highlight w:val="none"/>
                      <w:lang w:bidi="ar"/>
                    </w:rPr>
                    <w:t>11</w:t>
                  </w:r>
                </w:p>
              </w:tc>
              <w:tc>
                <w:tcPr>
                  <w:tcW w:w="1175" w:type="dxa"/>
                  <w:tcBorders>
                    <w:tl2br w:val="nil"/>
                    <w:tr2bl w:val="nil"/>
                  </w:tcBorders>
                  <w:vAlign w:val="center"/>
                </w:tcPr>
                <w:p w14:paraId="3A88D836">
                  <w:pPr>
                    <w:widowControl/>
                    <w:jc w:val="center"/>
                    <w:textAlignment w:val="center"/>
                    <w:rPr>
                      <w:color w:val="auto"/>
                      <w:kern w:val="0"/>
                      <w:szCs w:val="21"/>
                      <w:highlight w:val="none"/>
                      <w:lang w:bidi="ar"/>
                    </w:rPr>
                  </w:pPr>
                  <w:r>
                    <w:rPr>
                      <w:rFonts w:hint="eastAsia"/>
                      <w:color w:val="auto"/>
                      <w:kern w:val="0"/>
                      <w:szCs w:val="21"/>
                      <w:highlight w:val="none"/>
                      <w:lang w:bidi="ar"/>
                    </w:rPr>
                    <w:t>0.061</w:t>
                  </w:r>
                </w:p>
              </w:tc>
            </w:tr>
            <w:tr w14:paraId="23ADE5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86" w:type="dxa"/>
                  <w:vMerge w:val="continue"/>
                  <w:tcBorders>
                    <w:tl2br w:val="nil"/>
                    <w:tr2bl w:val="nil"/>
                  </w:tcBorders>
                  <w:vAlign w:val="center"/>
                </w:tcPr>
                <w:p w14:paraId="30081A98">
                  <w:pPr>
                    <w:widowControl/>
                    <w:jc w:val="center"/>
                    <w:textAlignment w:val="center"/>
                    <w:rPr>
                      <w:color w:val="auto"/>
                      <w:kern w:val="0"/>
                      <w:szCs w:val="21"/>
                      <w:highlight w:val="none"/>
                      <w:lang w:bidi="ar"/>
                    </w:rPr>
                  </w:pPr>
                </w:p>
              </w:tc>
              <w:tc>
                <w:tcPr>
                  <w:tcW w:w="1012" w:type="dxa"/>
                  <w:vMerge w:val="continue"/>
                  <w:tcBorders>
                    <w:tl2br w:val="nil"/>
                    <w:tr2bl w:val="nil"/>
                  </w:tcBorders>
                  <w:vAlign w:val="center"/>
                </w:tcPr>
                <w:p w14:paraId="41F109EB">
                  <w:pPr>
                    <w:widowControl/>
                    <w:jc w:val="center"/>
                    <w:textAlignment w:val="center"/>
                    <w:rPr>
                      <w:color w:val="auto"/>
                      <w:kern w:val="0"/>
                      <w:szCs w:val="21"/>
                      <w:highlight w:val="none"/>
                      <w:lang w:bidi="ar"/>
                    </w:rPr>
                  </w:pPr>
                </w:p>
              </w:tc>
              <w:tc>
                <w:tcPr>
                  <w:tcW w:w="750" w:type="dxa"/>
                  <w:tcBorders>
                    <w:tl2br w:val="nil"/>
                    <w:tr2bl w:val="nil"/>
                  </w:tcBorders>
                  <w:vAlign w:val="center"/>
                </w:tcPr>
                <w:p w14:paraId="571647E6">
                  <w:pPr>
                    <w:widowControl/>
                    <w:jc w:val="center"/>
                    <w:textAlignment w:val="center"/>
                    <w:rPr>
                      <w:color w:val="auto"/>
                      <w:kern w:val="0"/>
                      <w:szCs w:val="21"/>
                      <w:highlight w:val="none"/>
                      <w:lang w:bidi="ar"/>
                    </w:rPr>
                  </w:pPr>
                  <w:r>
                    <w:rPr>
                      <w:color w:val="auto"/>
                      <w:kern w:val="0"/>
                      <w:szCs w:val="21"/>
                      <w:highlight w:val="none"/>
                      <w:lang w:bidi="ar"/>
                    </w:rPr>
                    <w:t>SS</w:t>
                  </w:r>
                </w:p>
              </w:tc>
              <w:tc>
                <w:tcPr>
                  <w:tcW w:w="1050" w:type="dxa"/>
                  <w:tcBorders>
                    <w:tl2br w:val="nil"/>
                    <w:tr2bl w:val="nil"/>
                  </w:tcBorders>
                  <w:vAlign w:val="center"/>
                </w:tcPr>
                <w:p w14:paraId="0CD11FFE">
                  <w:pPr>
                    <w:widowControl/>
                    <w:jc w:val="center"/>
                    <w:textAlignment w:val="center"/>
                    <w:rPr>
                      <w:color w:val="auto"/>
                      <w:kern w:val="0"/>
                      <w:szCs w:val="21"/>
                      <w:highlight w:val="none"/>
                      <w:lang w:bidi="ar"/>
                    </w:rPr>
                  </w:pPr>
                  <w:r>
                    <w:rPr>
                      <w:rFonts w:hint="eastAsia"/>
                      <w:color w:val="auto"/>
                      <w:kern w:val="0"/>
                      <w:szCs w:val="21"/>
                      <w:highlight w:val="none"/>
                      <w:lang w:bidi="ar"/>
                    </w:rPr>
                    <w:t>160.12</w:t>
                  </w:r>
                </w:p>
              </w:tc>
              <w:tc>
                <w:tcPr>
                  <w:tcW w:w="886" w:type="dxa"/>
                  <w:tcBorders>
                    <w:tl2br w:val="nil"/>
                    <w:tr2bl w:val="nil"/>
                  </w:tcBorders>
                  <w:vAlign w:val="center"/>
                </w:tcPr>
                <w:p w14:paraId="4DC51A28">
                  <w:pPr>
                    <w:widowControl/>
                    <w:jc w:val="center"/>
                    <w:textAlignment w:val="center"/>
                    <w:rPr>
                      <w:color w:val="auto"/>
                      <w:kern w:val="0"/>
                      <w:szCs w:val="21"/>
                      <w:highlight w:val="none"/>
                      <w:lang w:bidi="ar"/>
                    </w:rPr>
                  </w:pPr>
                  <w:r>
                    <w:rPr>
                      <w:rFonts w:hint="eastAsia"/>
                      <w:color w:val="auto"/>
                      <w:kern w:val="0"/>
                      <w:szCs w:val="21"/>
                      <w:highlight w:val="none"/>
                      <w:lang w:bidi="ar"/>
                    </w:rPr>
                    <w:t>0.89</w:t>
                  </w:r>
                </w:p>
              </w:tc>
              <w:tc>
                <w:tcPr>
                  <w:tcW w:w="1037" w:type="dxa"/>
                  <w:vMerge w:val="continue"/>
                  <w:tcBorders>
                    <w:tl2br w:val="nil"/>
                    <w:tr2bl w:val="nil"/>
                  </w:tcBorders>
                  <w:vAlign w:val="center"/>
                </w:tcPr>
                <w:p w14:paraId="1D8943EE">
                  <w:pPr>
                    <w:widowControl/>
                    <w:jc w:val="center"/>
                    <w:textAlignment w:val="center"/>
                    <w:rPr>
                      <w:color w:val="auto"/>
                      <w:kern w:val="0"/>
                      <w:szCs w:val="21"/>
                      <w:highlight w:val="none"/>
                      <w:lang w:bidi="ar"/>
                    </w:rPr>
                  </w:pPr>
                </w:p>
              </w:tc>
              <w:tc>
                <w:tcPr>
                  <w:tcW w:w="777" w:type="dxa"/>
                  <w:vMerge w:val="continue"/>
                  <w:tcBorders>
                    <w:tl2br w:val="nil"/>
                    <w:tr2bl w:val="nil"/>
                  </w:tcBorders>
                  <w:vAlign w:val="center"/>
                </w:tcPr>
                <w:p w14:paraId="35FFBB4E">
                  <w:pPr>
                    <w:widowControl/>
                    <w:jc w:val="center"/>
                    <w:textAlignment w:val="center"/>
                    <w:rPr>
                      <w:color w:val="auto"/>
                      <w:kern w:val="0"/>
                      <w:szCs w:val="21"/>
                      <w:highlight w:val="none"/>
                      <w:lang w:bidi="ar"/>
                    </w:rPr>
                  </w:pPr>
                </w:p>
              </w:tc>
              <w:tc>
                <w:tcPr>
                  <w:tcW w:w="996" w:type="dxa"/>
                  <w:tcBorders>
                    <w:tl2br w:val="nil"/>
                    <w:tr2bl w:val="nil"/>
                  </w:tcBorders>
                  <w:vAlign w:val="center"/>
                </w:tcPr>
                <w:p w14:paraId="2EC181DE">
                  <w:pPr>
                    <w:widowControl/>
                    <w:jc w:val="center"/>
                    <w:textAlignment w:val="center"/>
                    <w:rPr>
                      <w:color w:val="auto"/>
                      <w:kern w:val="0"/>
                      <w:szCs w:val="21"/>
                      <w:highlight w:val="none"/>
                      <w:lang w:bidi="ar"/>
                    </w:rPr>
                  </w:pPr>
                  <w:r>
                    <w:rPr>
                      <w:rFonts w:hint="eastAsia"/>
                      <w:color w:val="auto"/>
                      <w:kern w:val="0"/>
                      <w:szCs w:val="21"/>
                      <w:highlight w:val="none"/>
                      <w:lang w:bidi="ar"/>
                    </w:rPr>
                    <w:t>26.72</w:t>
                  </w:r>
                </w:p>
              </w:tc>
              <w:tc>
                <w:tcPr>
                  <w:tcW w:w="1175" w:type="dxa"/>
                  <w:tcBorders>
                    <w:tl2br w:val="nil"/>
                    <w:tr2bl w:val="nil"/>
                  </w:tcBorders>
                  <w:vAlign w:val="center"/>
                </w:tcPr>
                <w:p w14:paraId="509FF604">
                  <w:pPr>
                    <w:widowControl/>
                    <w:jc w:val="center"/>
                    <w:textAlignment w:val="center"/>
                    <w:rPr>
                      <w:color w:val="auto"/>
                      <w:kern w:val="0"/>
                      <w:szCs w:val="21"/>
                      <w:highlight w:val="none"/>
                      <w:lang w:bidi="ar"/>
                    </w:rPr>
                  </w:pPr>
                  <w:r>
                    <w:rPr>
                      <w:rFonts w:hint="eastAsia"/>
                      <w:color w:val="auto"/>
                      <w:kern w:val="0"/>
                      <w:szCs w:val="21"/>
                      <w:highlight w:val="none"/>
                      <w:lang w:bidi="ar"/>
                    </w:rPr>
                    <w:t>0.15</w:t>
                  </w:r>
                </w:p>
              </w:tc>
            </w:tr>
            <w:tr w14:paraId="364833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86" w:type="dxa"/>
                  <w:vMerge w:val="continue"/>
                </w:tcPr>
                <w:p w14:paraId="614B1900">
                  <w:pPr>
                    <w:widowControl/>
                    <w:jc w:val="center"/>
                    <w:textAlignment w:val="center"/>
                    <w:rPr>
                      <w:color w:val="auto"/>
                      <w:kern w:val="0"/>
                      <w:szCs w:val="21"/>
                      <w:highlight w:val="none"/>
                      <w:lang w:bidi="ar"/>
                    </w:rPr>
                  </w:pPr>
                </w:p>
              </w:tc>
              <w:tc>
                <w:tcPr>
                  <w:tcW w:w="1012" w:type="dxa"/>
                  <w:vMerge w:val="continue"/>
                </w:tcPr>
                <w:p w14:paraId="190AEE3E">
                  <w:pPr>
                    <w:widowControl/>
                    <w:jc w:val="center"/>
                    <w:textAlignment w:val="center"/>
                    <w:rPr>
                      <w:color w:val="auto"/>
                      <w:kern w:val="0"/>
                      <w:szCs w:val="21"/>
                      <w:highlight w:val="none"/>
                      <w:lang w:bidi="ar"/>
                    </w:rPr>
                  </w:pPr>
                </w:p>
              </w:tc>
              <w:tc>
                <w:tcPr>
                  <w:tcW w:w="750" w:type="dxa"/>
                  <w:vAlign w:val="center"/>
                </w:tcPr>
                <w:p w14:paraId="536280D0">
                  <w:pPr>
                    <w:widowControl/>
                    <w:jc w:val="center"/>
                    <w:textAlignment w:val="center"/>
                    <w:rPr>
                      <w:color w:val="auto"/>
                      <w:kern w:val="0"/>
                      <w:szCs w:val="21"/>
                      <w:highlight w:val="none"/>
                      <w:lang w:bidi="ar"/>
                    </w:rPr>
                  </w:pPr>
                  <w:r>
                    <w:rPr>
                      <w:rFonts w:hint="eastAsia"/>
                      <w:color w:val="auto"/>
                      <w:kern w:val="0"/>
                      <w:szCs w:val="21"/>
                      <w:highlight w:val="none"/>
                      <w:lang w:bidi="ar"/>
                    </w:rPr>
                    <w:t>动植物油</w:t>
                  </w:r>
                </w:p>
              </w:tc>
              <w:tc>
                <w:tcPr>
                  <w:tcW w:w="1050" w:type="dxa"/>
                  <w:vAlign w:val="center"/>
                </w:tcPr>
                <w:p w14:paraId="04F47F90">
                  <w:pPr>
                    <w:widowControl/>
                    <w:jc w:val="center"/>
                    <w:textAlignment w:val="center"/>
                    <w:rPr>
                      <w:color w:val="auto"/>
                      <w:kern w:val="0"/>
                      <w:szCs w:val="21"/>
                      <w:highlight w:val="none"/>
                      <w:lang w:bidi="ar"/>
                    </w:rPr>
                  </w:pPr>
                  <w:r>
                    <w:rPr>
                      <w:rFonts w:hint="eastAsia"/>
                      <w:color w:val="auto"/>
                      <w:kern w:val="0"/>
                      <w:szCs w:val="21"/>
                      <w:highlight w:val="none"/>
                      <w:lang w:bidi="ar"/>
                    </w:rPr>
                    <w:t>7.33</w:t>
                  </w:r>
                </w:p>
              </w:tc>
              <w:tc>
                <w:tcPr>
                  <w:tcW w:w="886" w:type="dxa"/>
                  <w:vAlign w:val="center"/>
                </w:tcPr>
                <w:p w14:paraId="32CE5C2E">
                  <w:pPr>
                    <w:widowControl/>
                    <w:jc w:val="center"/>
                    <w:textAlignment w:val="center"/>
                    <w:rPr>
                      <w:color w:val="auto"/>
                      <w:kern w:val="0"/>
                      <w:szCs w:val="21"/>
                      <w:highlight w:val="none"/>
                      <w:lang w:bidi="ar"/>
                    </w:rPr>
                  </w:pPr>
                  <w:r>
                    <w:rPr>
                      <w:rFonts w:hint="eastAsia"/>
                      <w:color w:val="auto"/>
                      <w:kern w:val="0"/>
                      <w:szCs w:val="21"/>
                      <w:highlight w:val="none"/>
                      <w:lang w:bidi="ar"/>
                    </w:rPr>
                    <w:t>0.04</w:t>
                  </w:r>
                </w:p>
              </w:tc>
              <w:tc>
                <w:tcPr>
                  <w:tcW w:w="1037" w:type="dxa"/>
                  <w:vMerge w:val="continue"/>
                </w:tcPr>
                <w:p w14:paraId="31B31246">
                  <w:pPr>
                    <w:widowControl/>
                    <w:jc w:val="center"/>
                    <w:textAlignment w:val="center"/>
                    <w:rPr>
                      <w:color w:val="auto"/>
                      <w:kern w:val="0"/>
                      <w:szCs w:val="21"/>
                      <w:highlight w:val="none"/>
                      <w:lang w:bidi="ar"/>
                    </w:rPr>
                  </w:pPr>
                </w:p>
              </w:tc>
              <w:tc>
                <w:tcPr>
                  <w:tcW w:w="777" w:type="dxa"/>
                  <w:vMerge w:val="continue"/>
                  <w:vAlign w:val="center"/>
                </w:tcPr>
                <w:p w14:paraId="3DD0DECC">
                  <w:pPr>
                    <w:widowControl/>
                    <w:jc w:val="center"/>
                    <w:textAlignment w:val="center"/>
                    <w:rPr>
                      <w:color w:val="auto"/>
                      <w:kern w:val="0"/>
                      <w:szCs w:val="21"/>
                      <w:highlight w:val="none"/>
                      <w:lang w:bidi="ar"/>
                    </w:rPr>
                  </w:pPr>
                </w:p>
              </w:tc>
              <w:tc>
                <w:tcPr>
                  <w:tcW w:w="996" w:type="dxa"/>
                  <w:vAlign w:val="center"/>
                </w:tcPr>
                <w:p w14:paraId="11000A02">
                  <w:pPr>
                    <w:widowControl/>
                    <w:jc w:val="center"/>
                    <w:textAlignment w:val="center"/>
                    <w:rPr>
                      <w:color w:val="auto"/>
                      <w:kern w:val="0"/>
                      <w:szCs w:val="21"/>
                      <w:highlight w:val="none"/>
                      <w:lang w:bidi="ar"/>
                    </w:rPr>
                  </w:pPr>
                  <w:r>
                    <w:rPr>
                      <w:rFonts w:hint="eastAsia"/>
                      <w:color w:val="auto"/>
                      <w:kern w:val="0"/>
                      <w:szCs w:val="21"/>
                      <w:highlight w:val="none"/>
                      <w:lang w:bidi="ar"/>
                    </w:rPr>
                    <w:t>0.733</w:t>
                  </w:r>
                </w:p>
              </w:tc>
              <w:tc>
                <w:tcPr>
                  <w:tcW w:w="1175" w:type="dxa"/>
                  <w:vAlign w:val="center"/>
                </w:tcPr>
                <w:p w14:paraId="498CB6A8">
                  <w:pPr>
                    <w:widowControl/>
                    <w:jc w:val="center"/>
                    <w:textAlignment w:val="center"/>
                    <w:rPr>
                      <w:color w:val="auto"/>
                      <w:kern w:val="0"/>
                      <w:szCs w:val="21"/>
                      <w:highlight w:val="none"/>
                      <w:lang w:bidi="ar"/>
                    </w:rPr>
                  </w:pPr>
                  <w:r>
                    <w:rPr>
                      <w:rFonts w:hint="eastAsia"/>
                      <w:color w:val="auto"/>
                      <w:kern w:val="0"/>
                      <w:szCs w:val="21"/>
                      <w:highlight w:val="none"/>
                      <w:lang w:bidi="ar"/>
                    </w:rPr>
                    <w:t>0.004</w:t>
                  </w:r>
                </w:p>
              </w:tc>
            </w:tr>
            <w:tr w14:paraId="4F24D8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86" w:type="dxa"/>
                  <w:vMerge w:val="continue"/>
                </w:tcPr>
                <w:p w14:paraId="0AE337DB">
                  <w:pPr>
                    <w:widowControl/>
                    <w:jc w:val="center"/>
                    <w:textAlignment w:val="center"/>
                    <w:rPr>
                      <w:color w:val="auto"/>
                      <w:kern w:val="0"/>
                      <w:szCs w:val="21"/>
                      <w:highlight w:val="none"/>
                      <w:lang w:bidi="ar"/>
                    </w:rPr>
                  </w:pPr>
                </w:p>
              </w:tc>
              <w:tc>
                <w:tcPr>
                  <w:tcW w:w="1012" w:type="dxa"/>
                  <w:vMerge w:val="continue"/>
                </w:tcPr>
                <w:p w14:paraId="49E28DF9">
                  <w:pPr>
                    <w:widowControl/>
                    <w:jc w:val="center"/>
                    <w:textAlignment w:val="center"/>
                    <w:rPr>
                      <w:color w:val="auto"/>
                      <w:kern w:val="0"/>
                      <w:szCs w:val="21"/>
                      <w:highlight w:val="none"/>
                      <w:lang w:bidi="ar"/>
                    </w:rPr>
                  </w:pPr>
                </w:p>
              </w:tc>
              <w:tc>
                <w:tcPr>
                  <w:tcW w:w="750" w:type="dxa"/>
                  <w:vAlign w:val="center"/>
                </w:tcPr>
                <w:p w14:paraId="136D52E4">
                  <w:pPr>
                    <w:widowControl/>
                    <w:jc w:val="center"/>
                    <w:textAlignment w:val="center"/>
                    <w:rPr>
                      <w:color w:val="auto"/>
                      <w:kern w:val="0"/>
                      <w:szCs w:val="21"/>
                      <w:highlight w:val="none"/>
                      <w:lang w:bidi="ar"/>
                    </w:rPr>
                  </w:pPr>
                  <w:r>
                    <w:rPr>
                      <w:rFonts w:hint="eastAsia"/>
                      <w:color w:val="auto"/>
                      <w:kern w:val="0"/>
                      <w:szCs w:val="21"/>
                      <w:highlight w:val="none"/>
                      <w:lang w:bidi="ar"/>
                    </w:rPr>
                    <w:t>粪大肠菌群</w:t>
                  </w:r>
                </w:p>
              </w:tc>
              <w:tc>
                <w:tcPr>
                  <w:tcW w:w="1050" w:type="dxa"/>
                  <w:vAlign w:val="center"/>
                </w:tcPr>
                <w:p w14:paraId="6411A89A">
                  <w:pPr>
                    <w:widowControl/>
                    <w:jc w:val="center"/>
                    <w:textAlignment w:val="center"/>
                    <w:rPr>
                      <w:color w:val="auto"/>
                      <w:kern w:val="0"/>
                      <w:szCs w:val="21"/>
                      <w:highlight w:val="none"/>
                      <w:lang w:bidi="ar"/>
                    </w:rPr>
                  </w:pPr>
                  <w:r>
                    <w:rPr>
                      <w:rFonts w:hint="eastAsia"/>
                      <w:color w:val="auto"/>
                      <w:kern w:val="0"/>
                      <w:szCs w:val="21"/>
                      <w:highlight w:val="none"/>
                      <w:lang w:bidi="ar"/>
                    </w:rPr>
                    <w:t>1.14</w:t>
                  </w:r>
                  <w:r>
                    <w:rPr>
                      <w:color w:val="auto"/>
                      <w:kern w:val="0"/>
                      <w:szCs w:val="21"/>
                      <w:highlight w:val="none"/>
                      <w:lang w:bidi="ar"/>
                    </w:rPr>
                    <w:t>×</w:t>
                  </w:r>
                  <w:r>
                    <w:rPr>
                      <w:rFonts w:hint="eastAsia"/>
                      <w:color w:val="auto"/>
                      <w:kern w:val="0"/>
                      <w:szCs w:val="21"/>
                      <w:highlight w:val="none"/>
                      <w:lang w:bidi="ar"/>
                    </w:rPr>
                    <w:t>10</w:t>
                  </w:r>
                  <w:r>
                    <w:rPr>
                      <w:rFonts w:hint="eastAsia"/>
                      <w:color w:val="auto"/>
                      <w:kern w:val="0"/>
                      <w:szCs w:val="21"/>
                      <w:highlight w:val="none"/>
                      <w:vertAlign w:val="superscript"/>
                      <w:lang w:bidi="ar"/>
                    </w:rPr>
                    <w:t>6</w:t>
                  </w:r>
                </w:p>
              </w:tc>
              <w:tc>
                <w:tcPr>
                  <w:tcW w:w="886" w:type="dxa"/>
                  <w:vAlign w:val="center"/>
                </w:tcPr>
                <w:p w14:paraId="147E097E">
                  <w:pPr>
                    <w:widowControl/>
                    <w:jc w:val="center"/>
                    <w:textAlignment w:val="center"/>
                    <w:rPr>
                      <w:color w:val="auto"/>
                      <w:kern w:val="0"/>
                      <w:szCs w:val="21"/>
                      <w:highlight w:val="none"/>
                      <w:lang w:bidi="ar"/>
                    </w:rPr>
                  </w:pPr>
                  <w:r>
                    <w:rPr>
                      <w:rFonts w:hint="eastAsia"/>
                      <w:color w:val="auto"/>
                      <w:kern w:val="0"/>
                      <w:szCs w:val="21"/>
                      <w:highlight w:val="none"/>
                      <w:lang w:bidi="ar"/>
                    </w:rPr>
                    <w:t>6.36</w:t>
                  </w:r>
                  <w:r>
                    <w:rPr>
                      <w:color w:val="auto"/>
                      <w:kern w:val="0"/>
                      <w:szCs w:val="21"/>
                      <w:highlight w:val="none"/>
                      <w:lang w:bidi="ar"/>
                    </w:rPr>
                    <w:t>×</w:t>
                  </w:r>
                  <w:r>
                    <w:rPr>
                      <w:rFonts w:hint="eastAsia"/>
                      <w:color w:val="auto"/>
                      <w:kern w:val="0"/>
                      <w:szCs w:val="21"/>
                      <w:highlight w:val="none"/>
                      <w:lang w:bidi="ar"/>
                    </w:rPr>
                    <w:t>10</w:t>
                  </w:r>
                  <w:r>
                    <w:rPr>
                      <w:rFonts w:hint="eastAsia"/>
                      <w:color w:val="auto"/>
                      <w:kern w:val="0"/>
                      <w:szCs w:val="21"/>
                      <w:highlight w:val="none"/>
                      <w:vertAlign w:val="superscript"/>
                      <w:lang w:bidi="ar"/>
                    </w:rPr>
                    <w:t>12</w:t>
                  </w:r>
                </w:p>
              </w:tc>
              <w:tc>
                <w:tcPr>
                  <w:tcW w:w="1037" w:type="dxa"/>
                  <w:vMerge w:val="continue"/>
                </w:tcPr>
                <w:p w14:paraId="423EEFAE">
                  <w:pPr>
                    <w:widowControl/>
                    <w:jc w:val="center"/>
                    <w:textAlignment w:val="center"/>
                    <w:rPr>
                      <w:color w:val="auto"/>
                      <w:kern w:val="0"/>
                      <w:szCs w:val="21"/>
                      <w:highlight w:val="none"/>
                      <w:lang w:bidi="ar"/>
                    </w:rPr>
                  </w:pPr>
                </w:p>
              </w:tc>
              <w:tc>
                <w:tcPr>
                  <w:tcW w:w="777" w:type="dxa"/>
                  <w:vMerge w:val="continue"/>
                  <w:vAlign w:val="center"/>
                </w:tcPr>
                <w:p w14:paraId="037DB5F0">
                  <w:pPr>
                    <w:widowControl/>
                    <w:jc w:val="center"/>
                    <w:textAlignment w:val="center"/>
                    <w:rPr>
                      <w:color w:val="auto"/>
                      <w:kern w:val="0"/>
                      <w:szCs w:val="21"/>
                      <w:highlight w:val="none"/>
                      <w:lang w:bidi="ar"/>
                    </w:rPr>
                  </w:pPr>
                </w:p>
              </w:tc>
              <w:tc>
                <w:tcPr>
                  <w:tcW w:w="996" w:type="dxa"/>
                  <w:vAlign w:val="center"/>
                </w:tcPr>
                <w:p w14:paraId="08B975DB">
                  <w:pPr>
                    <w:widowControl/>
                    <w:jc w:val="center"/>
                    <w:textAlignment w:val="center"/>
                    <w:rPr>
                      <w:color w:val="auto"/>
                      <w:kern w:val="0"/>
                      <w:szCs w:val="21"/>
                      <w:highlight w:val="none"/>
                      <w:lang w:bidi="ar"/>
                    </w:rPr>
                  </w:pPr>
                  <w:r>
                    <w:rPr>
                      <w:rFonts w:hint="eastAsia"/>
                      <w:color w:val="auto"/>
                      <w:kern w:val="0"/>
                      <w:szCs w:val="21"/>
                      <w:highlight w:val="none"/>
                      <w:lang w:bidi="ar"/>
                    </w:rPr>
                    <w:t>1.14</w:t>
                  </w:r>
                  <w:r>
                    <w:rPr>
                      <w:color w:val="auto"/>
                      <w:kern w:val="0"/>
                      <w:szCs w:val="21"/>
                      <w:highlight w:val="none"/>
                      <w:lang w:bidi="ar"/>
                    </w:rPr>
                    <w:t>×</w:t>
                  </w:r>
                  <w:r>
                    <w:rPr>
                      <w:rFonts w:hint="eastAsia"/>
                      <w:color w:val="auto"/>
                      <w:kern w:val="0"/>
                      <w:szCs w:val="21"/>
                      <w:highlight w:val="none"/>
                      <w:lang w:bidi="ar"/>
                    </w:rPr>
                    <w:t>10</w:t>
                  </w:r>
                  <w:r>
                    <w:rPr>
                      <w:rFonts w:hint="eastAsia"/>
                      <w:color w:val="auto"/>
                      <w:kern w:val="0"/>
                      <w:szCs w:val="21"/>
                      <w:highlight w:val="none"/>
                      <w:vertAlign w:val="superscript"/>
                      <w:lang w:bidi="ar"/>
                    </w:rPr>
                    <w:t>3</w:t>
                  </w:r>
                </w:p>
              </w:tc>
              <w:tc>
                <w:tcPr>
                  <w:tcW w:w="1175" w:type="dxa"/>
                  <w:vAlign w:val="center"/>
                </w:tcPr>
                <w:p w14:paraId="4DEB18D7">
                  <w:pPr>
                    <w:widowControl/>
                    <w:jc w:val="center"/>
                    <w:textAlignment w:val="center"/>
                    <w:rPr>
                      <w:color w:val="auto"/>
                      <w:kern w:val="0"/>
                      <w:szCs w:val="21"/>
                      <w:highlight w:val="none"/>
                      <w:lang w:bidi="ar"/>
                    </w:rPr>
                  </w:pPr>
                  <w:r>
                    <w:rPr>
                      <w:rFonts w:hint="eastAsia"/>
                      <w:color w:val="auto"/>
                      <w:kern w:val="0"/>
                      <w:szCs w:val="21"/>
                      <w:highlight w:val="none"/>
                      <w:lang w:bidi="ar"/>
                    </w:rPr>
                    <w:t>6.36</w:t>
                  </w:r>
                  <w:r>
                    <w:rPr>
                      <w:color w:val="auto"/>
                      <w:kern w:val="0"/>
                      <w:szCs w:val="21"/>
                      <w:highlight w:val="none"/>
                      <w:lang w:bidi="ar"/>
                    </w:rPr>
                    <w:t>×</w:t>
                  </w:r>
                  <w:r>
                    <w:rPr>
                      <w:rFonts w:hint="eastAsia"/>
                      <w:color w:val="auto"/>
                      <w:kern w:val="0"/>
                      <w:szCs w:val="21"/>
                      <w:highlight w:val="none"/>
                      <w:lang w:bidi="ar"/>
                    </w:rPr>
                    <w:t>10</w:t>
                  </w:r>
                  <w:r>
                    <w:rPr>
                      <w:rFonts w:hint="eastAsia"/>
                      <w:color w:val="auto"/>
                      <w:kern w:val="0"/>
                      <w:szCs w:val="21"/>
                      <w:highlight w:val="none"/>
                      <w:vertAlign w:val="superscript"/>
                      <w:lang w:bidi="ar"/>
                    </w:rPr>
                    <w:t>6</w:t>
                  </w:r>
                  <w:r>
                    <w:rPr>
                      <w:rFonts w:hint="eastAsia"/>
                      <w:color w:val="auto"/>
                      <w:kern w:val="0"/>
                      <w:szCs w:val="21"/>
                      <w:highlight w:val="none"/>
                      <w:lang w:bidi="ar"/>
                    </w:rPr>
                    <w:t>个</w:t>
                  </w:r>
                  <w:r>
                    <w:rPr>
                      <w:color w:val="auto"/>
                      <w:kern w:val="0"/>
                      <w:szCs w:val="21"/>
                      <w:highlight w:val="none"/>
                      <w:lang w:bidi="ar"/>
                    </w:rPr>
                    <w:t>/a</w:t>
                  </w:r>
                </w:p>
              </w:tc>
            </w:tr>
          </w:tbl>
          <w:p w14:paraId="5391C17F">
            <w:pPr>
              <w:tabs>
                <w:tab w:val="left" w:pos="5550"/>
              </w:tabs>
              <w:spacing w:line="360" w:lineRule="auto"/>
              <w:ind w:firstLine="480" w:firstLineChars="200"/>
              <w:rPr>
                <w:snapToGrid w:val="0"/>
                <w:color w:val="auto"/>
                <w:sz w:val="24"/>
                <w:highlight w:val="none"/>
              </w:rPr>
            </w:pPr>
          </w:p>
          <w:p w14:paraId="19B904AC">
            <w:pPr>
              <w:pStyle w:val="12"/>
              <w:spacing w:before="0" w:after="0" w:line="360" w:lineRule="auto"/>
              <w:ind w:left="420" w:leftChars="200" w:right="0"/>
              <w:rPr>
                <w:b/>
                <w:color w:val="auto"/>
                <w:sz w:val="24"/>
                <w:szCs w:val="24"/>
                <w:highlight w:val="none"/>
              </w:rPr>
            </w:pPr>
            <w:r>
              <w:rPr>
                <w:b/>
                <w:color w:val="auto"/>
                <w:sz w:val="24"/>
                <w:szCs w:val="24"/>
                <w:highlight w:val="none"/>
              </w:rPr>
              <w:t>2.2</w:t>
            </w:r>
            <w:r>
              <w:rPr>
                <w:rFonts w:hint="eastAsia"/>
                <w:b/>
                <w:color w:val="auto"/>
                <w:sz w:val="24"/>
                <w:szCs w:val="24"/>
                <w:highlight w:val="none"/>
              </w:rPr>
              <w:t>“MBR一体化处理设施”</w:t>
            </w:r>
            <w:r>
              <w:rPr>
                <w:b/>
                <w:color w:val="auto"/>
                <w:sz w:val="24"/>
                <w:szCs w:val="24"/>
                <w:highlight w:val="none"/>
              </w:rPr>
              <w:t>的可行性分析</w:t>
            </w:r>
          </w:p>
          <w:p w14:paraId="0E168533">
            <w:pPr>
              <w:tabs>
                <w:tab w:val="left" w:pos="5550"/>
              </w:tabs>
              <w:spacing w:line="360" w:lineRule="auto"/>
              <w:ind w:firstLine="480" w:firstLineChars="200"/>
              <w:rPr>
                <w:rFonts w:hint="eastAsia"/>
                <w:bCs/>
                <w:color w:val="auto"/>
                <w:sz w:val="24"/>
                <w:highlight w:val="none"/>
              </w:rPr>
            </w:pPr>
            <w:r>
              <w:rPr>
                <w:rFonts w:hint="eastAsia"/>
                <w:snapToGrid w:val="0"/>
                <w:color w:val="auto"/>
                <w:sz w:val="24"/>
                <w:highlight w:val="none"/>
              </w:rPr>
              <w:t>根据《排污许可申请与核发技术规范 医疗机构》（HJ1105-2020）附录A中表A.2医疗机构排污单位污水治理可行性技术参照表，“医疗污水排入城镇污水处理厂，推荐的可行性技术为一级处理/一级强化处理+消毒工艺。排入海域、江河、湖库等水体可行性技术为二级处理/深度处理+消毒工艺”，本项目污水站采用</w:t>
            </w:r>
            <w:r>
              <w:rPr>
                <w:rFonts w:hint="eastAsia"/>
                <w:bCs/>
                <w:color w:val="auto"/>
                <w:sz w:val="24"/>
                <w:highlight w:val="none"/>
              </w:rPr>
              <w:t>MBR一体化处理设施对污水进行处理，主要工艺为A</w:t>
            </w:r>
            <w:r>
              <w:rPr>
                <w:rFonts w:hint="eastAsia"/>
                <w:bCs/>
                <w:color w:val="auto"/>
                <w:sz w:val="24"/>
                <w:highlight w:val="none"/>
                <w:vertAlign w:val="superscript"/>
              </w:rPr>
              <w:t>2</w:t>
            </w:r>
            <w:r>
              <w:rPr>
                <w:rFonts w:hint="eastAsia"/>
                <w:bCs/>
                <w:color w:val="auto"/>
                <w:sz w:val="24"/>
                <w:highlight w:val="none"/>
              </w:rPr>
              <w:t>/O+MBR+次氯酸钠消毒。A</w:t>
            </w:r>
            <w:r>
              <w:rPr>
                <w:rFonts w:hint="eastAsia"/>
                <w:bCs/>
                <w:color w:val="auto"/>
                <w:sz w:val="24"/>
                <w:highlight w:val="none"/>
                <w:vertAlign w:val="superscript"/>
              </w:rPr>
              <w:t>2</w:t>
            </w:r>
            <w:r>
              <w:rPr>
                <w:rFonts w:hint="eastAsia"/>
                <w:bCs/>
                <w:color w:val="auto"/>
                <w:sz w:val="24"/>
                <w:highlight w:val="none"/>
              </w:rPr>
              <w:t>/O属于二级处理中活性污泥法，MBR属于深度处理中的膜分离法，次氯酸钠消毒属于消毒工艺中的次氯酸钠法，故本项目污水站采用的工艺属于可行性技术。</w:t>
            </w:r>
          </w:p>
          <w:p w14:paraId="69F504A9">
            <w:pPr>
              <w:tabs>
                <w:tab w:val="left" w:pos="5550"/>
              </w:tabs>
              <w:spacing w:line="360" w:lineRule="auto"/>
              <w:ind w:firstLine="480" w:firstLineChars="200"/>
              <w:rPr>
                <w:rFonts w:hint="eastAsia" w:eastAsia="宋体"/>
                <w:b/>
                <w:i/>
                <w:iCs/>
                <w:color w:val="auto"/>
                <w:sz w:val="24"/>
                <w:highlight w:val="none"/>
                <w:u w:val="single"/>
                <w:lang w:eastAsia="zh-CN"/>
              </w:rPr>
            </w:pPr>
            <w:r>
              <w:rPr>
                <w:rFonts w:hint="eastAsia"/>
                <w:bCs/>
                <w:i/>
                <w:iCs/>
                <w:color w:val="auto"/>
                <w:sz w:val="24"/>
                <w:highlight w:val="none"/>
                <w:u w:val="single"/>
                <w:lang w:eastAsia="zh-CN"/>
              </w:rPr>
              <w:t>根据《医院污水处理工程技术规范》</w:t>
            </w:r>
            <w:r>
              <w:rPr>
                <w:rFonts w:hint="eastAsia" w:ascii="宋体" w:hAnsi="宋体" w:eastAsia="宋体" w:cs="宋体"/>
                <w:bCs/>
                <w:i/>
                <w:iCs/>
                <w:color w:val="auto"/>
                <w:sz w:val="24"/>
                <w:highlight w:val="none"/>
                <w:u w:val="single"/>
                <w:lang w:eastAsia="zh-CN"/>
              </w:rPr>
              <w:t>(</w:t>
            </w:r>
            <w:r>
              <w:rPr>
                <w:rFonts w:hint="default" w:ascii="Times New Roman" w:hAnsi="Times New Roman" w:eastAsia="宋体" w:cs="Times New Roman"/>
                <w:bCs/>
                <w:i/>
                <w:iCs/>
                <w:color w:val="auto"/>
                <w:sz w:val="24"/>
                <w:highlight w:val="none"/>
                <w:u w:val="single"/>
                <w:lang w:eastAsia="zh-CN"/>
              </w:rPr>
              <w:t>HJ2029-2013</w:t>
            </w:r>
            <w:r>
              <w:rPr>
                <w:rFonts w:hint="eastAsia" w:ascii="宋体" w:hAnsi="宋体" w:eastAsia="宋体" w:cs="宋体"/>
                <w:bCs/>
                <w:i/>
                <w:iCs/>
                <w:color w:val="auto"/>
                <w:sz w:val="24"/>
                <w:highlight w:val="none"/>
                <w:u w:val="single"/>
                <w:lang w:eastAsia="zh-CN"/>
              </w:rPr>
              <w:t>)：</w:t>
            </w:r>
            <w:r>
              <w:rPr>
                <w:rFonts w:hint="eastAsia"/>
                <w:bCs/>
                <w:i/>
                <w:iCs/>
                <w:color w:val="auto"/>
                <w:sz w:val="24"/>
                <w:highlight w:val="none"/>
                <w:u w:val="single"/>
                <w:lang w:eastAsia="zh-CN"/>
              </w:rPr>
              <w:t>医院污水处理工程应设置应急事故池，非传染病区医院污水处理工程的应急事故池不应小于日排放量的30%，本项目未建设应急事故池。拟用化粪池代替事故池，化粪池容积为</w:t>
            </w:r>
            <w:r>
              <w:rPr>
                <w:rFonts w:hint="eastAsia"/>
                <w:bCs/>
                <w:i/>
                <w:iCs/>
                <w:color w:val="auto"/>
                <w:sz w:val="24"/>
                <w:highlight w:val="none"/>
                <w:u w:val="single"/>
                <w:lang w:val="en-US" w:eastAsia="zh-CN"/>
              </w:rPr>
              <w:t>6m</w:t>
            </w:r>
            <w:r>
              <w:rPr>
                <w:rFonts w:hint="eastAsia"/>
                <w:bCs/>
                <w:i/>
                <w:iCs/>
                <w:color w:val="auto"/>
                <w:sz w:val="24"/>
                <w:highlight w:val="none"/>
                <w:u w:val="single"/>
                <w:vertAlign w:val="superscript"/>
                <w:lang w:val="en-US" w:eastAsia="zh-CN"/>
              </w:rPr>
              <w:t>3</w:t>
            </w:r>
            <w:r>
              <w:rPr>
                <w:rFonts w:hint="eastAsia"/>
                <w:bCs/>
                <w:i/>
                <w:iCs/>
                <w:color w:val="auto"/>
                <w:sz w:val="24"/>
                <w:highlight w:val="none"/>
                <w:u w:val="single"/>
                <w:lang w:val="en-US" w:eastAsia="zh-CN"/>
              </w:rPr>
              <w:t>，项目污水排放量约为</w:t>
            </w:r>
            <w:r>
              <w:rPr>
                <w:rFonts w:ascii="Times New Roman"/>
                <w:i/>
                <w:iCs/>
                <w:color w:val="auto"/>
                <w:sz w:val="24"/>
                <w:szCs w:val="24"/>
                <w:highlight w:val="none"/>
                <w:u w:val="single"/>
              </w:rPr>
              <w:t>15.273</w:t>
            </w:r>
            <w:r>
              <w:rPr>
                <w:rFonts w:hint="eastAsia"/>
                <w:bCs/>
                <w:i/>
                <w:iCs/>
                <w:color w:val="auto"/>
                <w:sz w:val="24"/>
                <w:highlight w:val="none"/>
                <w:u w:val="single"/>
                <w:lang w:val="en-US" w:eastAsia="zh-CN"/>
              </w:rPr>
              <w:t>m</w:t>
            </w:r>
            <w:r>
              <w:rPr>
                <w:rFonts w:hint="eastAsia"/>
                <w:bCs/>
                <w:i/>
                <w:iCs/>
                <w:color w:val="auto"/>
                <w:sz w:val="24"/>
                <w:highlight w:val="none"/>
                <w:u w:val="single"/>
                <w:vertAlign w:val="superscript"/>
                <w:lang w:val="en-US" w:eastAsia="zh-CN"/>
              </w:rPr>
              <w:t>3</w:t>
            </w:r>
            <w:r>
              <w:rPr>
                <w:rFonts w:hint="eastAsia"/>
                <w:bCs/>
                <w:i/>
                <w:iCs/>
                <w:color w:val="auto"/>
                <w:sz w:val="24"/>
                <w:highlight w:val="none"/>
                <w:u w:val="single"/>
                <w:lang w:val="en-US" w:eastAsia="zh-CN"/>
              </w:rPr>
              <w:t>，可以满足</w:t>
            </w:r>
            <w:r>
              <w:rPr>
                <w:rFonts w:hint="eastAsia"/>
                <w:bCs/>
                <w:i/>
                <w:iCs/>
                <w:color w:val="auto"/>
                <w:sz w:val="24"/>
                <w:highlight w:val="none"/>
                <w:u w:val="single"/>
                <w:lang w:eastAsia="zh-CN"/>
              </w:rPr>
              <w:t>应急事故池不应小于日排放量的30%的要求</w:t>
            </w:r>
            <w:r>
              <w:rPr>
                <w:rFonts w:hint="eastAsia"/>
                <w:bCs/>
                <w:i/>
                <w:iCs/>
                <w:color w:val="auto"/>
                <w:sz w:val="24"/>
                <w:highlight w:val="none"/>
                <w:u w:val="single"/>
                <w:lang w:val="en-US" w:eastAsia="zh-CN"/>
              </w:rPr>
              <w:t>，当</w:t>
            </w:r>
            <w:r>
              <w:rPr>
                <w:rFonts w:hint="eastAsia"/>
                <w:bCs/>
                <w:i/>
                <w:iCs/>
                <w:color w:val="auto"/>
                <w:sz w:val="24"/>
                <w:highlight w:val="none"/>
                <w:u w:val="single"/>
                <w:lang w:eastAsia="zh-CN"/>
              </w:rPr>
              <w:t>发生污水站事故停运时关闭化粪池与污水站间的阀门，污水全部暂存于化粪池内，并对污水处理站进行紧急抢修，若还不能达到目的，则需要立即停止用水。待其污水处理站恢复正常工作后，重新开启化粪池与污水站间的阀门，污水处理达标后再外排进入市政污水管网。严禁项目污水未经有效处理就直接外排进入市政污水管网。</w:t>
            </w:r>
          </w:p>
          <w:p w14:paraId="77C0C0DA">
            <w:pPr>
              <w:pStyle w:val="12"/>
              <w:spacing w:before="0" w:after="0" w:line="360" w:lineRule="auto"/>
              <w:ind w:left="420" w:leftChars="200" w:right="0"/>
              <w:rPr>
                <w:b/>
                <w:color w:val="auto"/>
                <w:sz w:val="24"/>
                <w:szCs w:val="32"/>
                <w:highlight w:val="none"/>
              </w:rPr>
            </w:pPr>
            <w:r>
              <w:rPr>
                <w:b/>
                <w:color w:val="auto"/>
                <w:sz w:val="24"/>
                <w:szCs w:val="24"/>
                <w:highlight w:val="none"/>
              </w:rPr>
              <w:t>2.</w:t>
            </w:r>
            <w:r>
              <w:rPr>
                <w:rFonts w:hint="eastAsia"/>
                <w:b/>
                <w:color w:val="auto"/>
                <w:sz w:val="24"/>
                <w:szCs w:val="24"/>
                <w:highlight w:val="none"/>
              </w:rPr>
              <w:t>3</w:t>
            </w:r>
            <w:r>
              <w:rPr>
                <w:b/>
                <w:color w:val="auto"/>
                <w:sz w:val="24"/>
                <w:szCs w:val="24"/>
                <w:highlight w:val="none"/>
              </w:rPr>
              <w:t>依托污水处理设施的可行性分析</w:t>
            </w:r>
          </w:p>
          <w:p w14:paraId="38B355E5">
            <w:pPr>
              <w:spacing w:line="360" w:lineRule="auto"/>
              <w:ind w:firstLine="480" w:firstLineChars="200"/>
              <w:rPr>
                <w:snapToGrid w:val="0"/>
                <w:color w:val="auto"/>
                <w:sz w:val="24"/>
                <w:highlight w:val="none"/>
              </w:rPr>
            </w:pPr>
            <w:r>
              <w:rPr>
                <w:rFonts w:hint="eastAsia"/>
                <w:color w:val="auto"/>
                <w:sz w:val="24"/>
                <w:highlight w:val="none"/>
              </w:rPr>
              <w:t>长春市南部污水处理厂（长春水务集团城市排水有限公司责任公司长春市南部污水处理厂），排污许可证编号为：912201011240334612001R，位于长春市高新区飞跃路2288号，目前设计处理能力为25万m</w:t>
            </w:r>
            <w:r>
              <w:rPr>
                <w:rFonts w:hint="eastAsia"/>
                <w:color w:val="auto"/>
                <w:sz w:val="24"/>
                <w:highlight w:val="none"/>
                <w:vertAlign w:val="superscript"/>
              </w:rPr>
              <w:t>3</w:t>
            </w:r>
            <w:r>
              <w:rPr>
                <w:rFonts w:hint="eastAsia"/>
                <w:color w:val="auto"/>
                <w:sz w:val="24"/>
                <w:highlight w:val="none"/>
              </w:rPr>
              <w:t>/d。该污水处理厂现处理工艺为“粗格栅+细格栅及曝气沉砂池+膜格栅+A</w:t>
            </w:r>
            <w:r>
              <w:rPr>
                <w:rFonts w:hint="eastAsia"/>
                <w:color w:val="auto"/>
                <w:sz w:val="24"/>
                <w:highlight w:val="none"/>
                <w:vertAlign w:val="superscript"/>
              </w:rPr>
              <w:t>2</w:t>
            </w:r>
            <w:r>
              <w:rPr>
                <w:rFonts w:hint="eastAsia"/>
                <w:color w:val="auto"/>
                <w:sz w:val="24"/>
                <w:highlight w:val="none"/>
              </w:rPr>
              <w:t>/O生物膜+MBR+紫外线消毒+臭氧催化氧化+污泥浓缩脱水一体化系统”，</w:t>
            </w:r>
            <w:r>
              <w:rPr>
                <w:rFonts w:hint="eastAsia" w:ascii="宋体" w:hAnsi="宋体" w:cs="宋体"/>
                <w:color w:val="auto"/>
                <w:kern w:val="0"/>
                <w:sz w:val="24"/>
                <w:highlight w:val="none"/>
                <w:lang w:bidi="ar"/>
              </w:rPr>
              <w:t>目前处理量约为</w:t>
            </w:r>
            <w:r>
              <w:rPr>
                <w:rFonts w:hint="eastAsia"/>
                <w:color w:val="auto"/>
                <w:kern w:val="0"/>
                <w:sz w:val="24"/>
                <w:highlight w:val="none"/>
                <w:lang w:bidi="ar"/>
              </w:rPr>
              <w:t>22万</w:t>
            </w:r>
            <w:r>
              <w:rPr>
                <w:color w:val="auto"/>
                <w:kern w:val="0"/>
                <w:sz w:val="24"/>
                <w:highlight w:val="none"/>
                <w:lang w:bidi="ar"/>
              </w:rPr>
              <w:t>t/d</w:t>
            </w:r>
            <w:r>
              <w:rPr>
                <w:rFonts w:hint="eastAsia" w:ascii="宋体" w:hAnsi="宋体" w:cs="宋体"/>
                <w:color w:val="auto"/>
                <w:kern w:val="0"/>
                <w:sz w:val="24"/>
                <w:highlight w:val="none"/>
                <w:lang w:bidi="ar"/>
              </w:rPr>
              <w:t>，尚有余量</w:t>
            </w:r>
            <w:r>
              <w:rPr>
                <w:rFonts w:hint="eastAsia"/>
                <w:color w:val="auto"/>
                <w:kern w:val="0"/>
                <w:sz w:val="24"/>
                <w:highlight w:val="none"/>
                <w:lang w:bidi="ar"/>
              </w:rPr>
              <w:t>3万</w:t>
            </w:r>
            <w:r>
              <w:rPr>
                <w:color w:val="auto"/>
                <w:kern w:val="0"/>
                <w:sz w:val="24"/>
                <w:highlight w:val="none"/>
                <w:lang w:bidi="ar"/>
              </w:rPr>
              <w:t>t/d</w:t>
            </w:r>
            <w:r>
              <w:rPr>
                <w:rFonts w:hint="eastAsia"/>
                <w:color w:val="auto"/>
                <w:kern w:val="0"/>
                <w:sz w:val="24"/>
                <w:highlight w:val="none"/>
                <w:lang w:bidi="ar"/>
              </w:rPr>
              <w:t>余量。</w:t>
            </w:r>
            <w:r>
              <w:rPr>
                <w:color w:val="auto"/>
                <w:sz w:val="24"/>
                <w:highlight w:val="none"/>
                <w:lang w:bidi="ar"/>
              </w:rPr>
              <w:t>进水水质指标为COD</w:t>
            </w:r>
            <w:r>
              <w:rPr>
                <w:rFonts w:hint="eastAsia"/>
                <w:color w:val="auto"/>
                <w:sz w:val="24"/>
                <w:highlight w:val="none"/>
                <w:lang w:bidi="ar"/>
              </w:rPr>
              <w:t xml:space="preserve"> 442</w:t>
            </w:r>
            <w:r>
              <w:rPr>
                <w:color w:val="auto"/>
                <w:sz w:val="24"/>
                <w:highlight w:val="none"/>
                <w:lang w:bidi="ar"/>
              </w:rPr>
              <w:t>mg/L、BOD</w:t>
            </w:r>
            <w:r>
              <w:rPr>
                <w:color w:val="auto"/>
                <w:sz w:val="24"/>
                <w:highlight w:val="none"/>
                <w:vertAlign w:val="subscript"/>
                <w:lang w:bidi="ar"/>
              </w:rPr>
              <w:t>5</w:t>
            </w:r>
            <w:r>
              <w:rPr>
                <w:rFonts w:hint="eastAsia"/>
                <w:color w:val="auto"/>
                <w:sz w:val="24"/>
                <w:highlight w:val="none"/>
                <w:lang w:bidi="ar"/>
              </w:rPr>
              <w:t>155</w:t>
            </w:r>
            <w:r>
              <w:rPr>
                <w:color w:val="auto"/>
                <w:sz w:val="24"/>
                <w:highlight w:val="none"/>
                <w:lang w:bidi="ar"/>
              </w:rPr>
              <w:t xml:space="preserve">mg/L、SS </w:t>
            </w:r>
            <w:r>
              <w:rPr>
                <w:rFonts w:hint="eastAsia"/>
                <w:color w:val="auto"/>
                <w:sz w:val="24"/>
                <w:highlight w:val="none"/>
                <w:lang w:bidi="ar"/>
              </w:rPr>
              <w:t>126</w:t>
            </w:r>
            <w:r>
              <w:rPr>
                <w:color w:val="auto"/>
                <w:sz w:val="24"/>
                <w:highlight w:val="none"/>
                <w:lang w:bidi="ar"/>
              </w:rPr>
              <w:t>mg/L、NH</w:t>
            </w:r>
            <w:r>
              <w:rPr>
                <w:color w:val="auto"/>
                <w:sz w:val="24"/>
                <w:highlight w:val="none"/>
                <w:vertAlign w:val="subscript"/>
                <w:lang w:bidi="ar"/>
              </w:rPr>
              <w:t>3</w:t>
            </w:r>
            <w:r>
              <w:rPr>
                <w:color w:val="auto"/>
                <w:sz w:val="24"/>
                <w:highlight w:val="none"/>
                <w:lang w:bidi="ar"/>
              </w:rPr>
              <w:t>-N</w:t>
            </w:r>
            <w:r>
              <w:rPr>
                <w:rFonts w:hint="eastAsia"/>
                <w:color w:val="auto"/>
                <w:sz w:val="24"/>
                <w:highlight w:val="none"/>
                <w:lang w:bidi="ar"/>
              </w:rPr>
              <w:t xml:space="preserve"> 28</w:t>
            </w:r>
            <w:r>
              <w:rPr>
                <w:color w:val="auto"/>
                <w:sz w:val="24"/>
                <w:highlight w:val="none"/>
                <w:lang w:bidi="ar"/>
              </w:rPr>
              <w:t>mg/L，本项目排放的</w:t>
            </w:r>
            <w:r>
              <w:rPr>
                <w:rFonts w:hint="eastAsia"/>
                <w:color w:val="auto"/>
                <w:sz w:val="24"/>
                <w:highlight w:val="none"/>
                <w:lang w:bidi="ar"/>
              </w:rPr>
              <w:t>混合废水满足</w:t>
            </w:r>
            <w:r>
              <w:rPr>
                <w:color w:val="auto"/>
                <w:sz w:val="24"/>
                <w:highlight w:val="none"/>
              </w:rPr>
              <w:t>《医疗机构水污染物排放标准》（GB18466-2005）表2中</w:t>
            </w:r>
            <w:r>
              <w:rPr>
                <w:rFonts w:hint="eastAsia"/>
                <w:color w:val="auto"/>
                <w:sz w:val="24"/>
                <w:highlight w:val="none"/>
              </w:rPr>
              <w:t>预处理</w:t>
            </w:r>
            <w:r>
              <w:rPr>
                <w:color w:val="auto"/>
                <w:sz w:val="24"/>
                <w:highlight w:val="none"/>
              </w:rPr>
              <w:t>标准</w:t>
            </w:r>
            <w:r>
              <w:rPr>
                <w:rFonts w:hint="eastAsia"/>
                <w:color w:val="auto"/>
                <w:sz w:val="24"/>
                <w:highlight w:val="none"/>
              </w:rPr>
              <w:t>及</w:t>
            </w:r>
            <w:r>
              <w:rPr>
                <w:rFonts w:hint="eastAsia"/>
                <w:color w:val="auto"/>
                <w:sz w:val="24"/>
                <w:highlight w:val="none"/>
                <w:lang w:bidi="ar"/>
              </w:rPr>
              <w:t>长春市</w:t>
            </w:r>
            <w:r>
              <w:rPr>
                <w:rFonts w:hint="eastAsia"/>
                <w:color w:val="auto"/>
                <w:sz w:val="24"/>
                <w:highlight w:val="none"/>
                <w:lang w:eastAsia="zh-CN" w:bidi="ar"/>
              </w:rPr>
              <w:t>南</w:t>
            </w:r>
            <w:r>
              <w:rPr>
                <w:rFonts w:hint="eastAsia"/>
                <w:color w:val="auto"/>
                <w:sz w:val="24"/>
                <w:highlight w:val="none"/>
                <w:lang w:bidi="ar"/>
              </w:rPr>
              <w:t>部</w:t>
            </w:r>
            <w:r>
              <w:rPr>
                <w:color w:val="auto"/>
                <w:sz w:val="24"/>
                <w:highlight w:val="none"/>
                <w:lang w:bidi="ar"/>
              </w:rPr>
              <w:t>污水处理厂进水水质要求，</w:t>
            </w:r>
            <w:r>
              <w:rPr>
                <w:rFonts w:hint="eastAsia"/>
                <w:color w:val="auto"/>
                <w:sz w:val="24"/>
                <w:highlight w:val="none"/>
                <w:lang w:bidi="ar"/>
              </w:rPr>
              <w:t>长春市南部</w:t>
            </w:r>
            <w:r>
              <w:rPr>
                <w:color w:val="auto"/>
                <w:sz w:val="24"/>
                <w:highlight w:val="none"/>
                <w:lang w:bidi="ar"/>
              </w:rPr>
              <w:t>污水处理厂尚有余量可接纳本项目废水，可以满足本项目废水排放需求。污水处理</w:t>
            </w:r>
            <w:r>
              <w:rPr>
                <w:rFonts w:hint="eastAsia"/>
                <w:color w:val="auto"/>
                <w:sz w:val="24"/>
                <w:highlight w:val="none"/>
                <w:lang w:bidi="ar"/>
              </w:rPr>
              <w:t>厂</w:t>
            </w:r>
            <w:r>
              <w:rPr>
                <w:color w:val="auto"/>
                <w:sz w:val="24"/>
                <w:highlight w:val="none"/>
                <w:lang w:bidi="ar"/>
              </w:rPr>
              <w:t>出水水质COD、BOD</w:t>
            </w:r>
            <w:r>
              <w:rPr>
                <w:color w:val="auto"/>
                <w:sz w:val="24"/>
                <w:highlight w:val="none"/>
                <w:vertAlign w:val="subscript"/>
                <w:lang w:bidi="ar"/>
              </w:rPr>
              <w:t>5</w:t>
            </w:r>
            <w:r>
              <w:rPr>
                <w:color w:val="auto"/>
                <w:sz w:val="24"/>
                <w:highlight w:val="none"/>
                <w:lang w:bidi="ar"/>
              </w:rPr>
              <w:t>、SS、TN、NH</w:t>
            </w:r>
            <w:r>
              <w:rPr>
                <w:color w:val="auto"/>
                <w:sz w:val="24"/>
                <w:highlight w:val="none"/>
                <w:vertAlign w:val="subscript"/>
                <w:lang w:bidi="ar"/>
              </w:rPr>
              <w:t>3</w:t>
            </w:r>
            <w:r>
              <w:rPr>
                <w:color w:val="auto"/>
                <w:sz w:val="24"/>
                <w:highlight w:val="none"/>
                <w:lang w:bidi="ar"/>
              </w:rPr>
              <w:t>-N、TP执行《</w:t>
            </w:r>
            <w:r>
              <w:rPr>
                <w:rFonts w:hint="eastAsia"/>
                <w:color w:val="auto"/>
                <w:sz w:val="24"/>
                <w:highlight w:val="none"/>
                <w:lang w:bidi="ar"/>
              </w:rPr>
              <w:t>城镇污水处理厂水污染物排放标准</w:t>
            </w:r>
            <w:r>
              <w:rPr>
                <w:color w:val="auto"/>
                <w:sz w:val="24"/>
                <w:highlight w:val="none"/>
                <w:lang w:bidi="ar"/>
              </w:rPr>
              <w:t>》（DB11/</w:t>
            </w:r>
            <w:r>
              <w:rPr>
                <w:rFonts w:hint="eastAsia"/>
                <w:color w:val="auto"/>
                <w:sz w:val="24"/>
                <w:highlight w:val="none"/>
                <w:lang w:bidi="ar"/>
              </w:rPr>
              <w:t>890</w:t>
            </w:r>
            <w:r>
              <w:rPr>
                <w:color w:val="auto"/>
                <w:sz w:val="24"/>
                <w:highlight w:val="none"/>
                <w:lang w:bidi="ar"/>
              </w:rPr>
              <w:t>-20</w:t>
            </w:r>
            <w:r>
              <w:rPr>
                <w:rFonts w:hint="eastAsia"/>
                <w:color w:val="auto"/>
                <w:sz w:val="24"/>
                <w:highlight w:val="none"/>
                <w:lang w:val="en-US" w:eastAsia="zh-CN" w:bidi="ar"/>
              </w:rPr>
              <w:t>12</w:t>
            </w:r>
            <w:r>
              <w:rPr>
                <w:color w:val="auto"/>
                <w:sz w:val="24"/>
                <w:highlight w:val="none"/>
                <w:lang w:bidi="ar"/>
              </w:rPr>
              <w:t>）中的B标准</w:t>
            </w:r>
            <w:r>
              <w:rPr>
                <w:rFonts w:hint="eastAsia"/>
                <w:color w:val="auto"/>
                <w:sz w:val="24"/>
                <w:highlight w:val="none"/>
                <w:lang w:bidi="ar"/>
              </w:rPr>
              <w:t>后排入永春河</w:t>
            </w:r>
            <w:r>
              <w:rPr>
                <w:color w:val="auto"/>
                <w:sz w:val="24"/>
                <w:highlight w:val="none"/>
                <w:lang w:bidi="ar"/>
              </w:rPr>
              <w:t>。</w:t>
            </w:r>
            <w:r>
              <w:rPr>
                <w:rFonts w:hint="eastAsia"/>
                <w:color w:val="auto"/>
                <w:kern w:val="0"/>
                <w:sz w:val="24"/>
                <w:highlight w:val="none"/>
                <w:lang w:bidi="ar"/>
              </w:rPr>
              <w:t>因此，</w:t>
            </w:r>
            <w:r>
              <w:rPr>
                <w:rFonts w:hint="eastAsia"/>
                <w:color w:val="auto"/>
                <w:sz w:val="24"/>
                <w:highlight w:val="none"/>
                <w:lang w:bidi="ar"/>
              </w:rPr>
              <w:t>项目运营期废水均达标排放，对地表水环境影响较小，</w:t>
            </w:r>
            <w:r>
              <w:rPr>
                <w:snapToGrid w:val="0"/>
                <w:color w:val="auto"/>
                <w:sz w:val="24"/>
                <w:highlight w:val="none"/>
              </w:rPr>
              <w:t>本项目废水依托该污水处理厂处理可行。</w:t>
            </w:r>
          </w:p>
          <w:p w14:paraId="52F2FED8">
            <w:pPr>
              <w:pStyle w:val="12"/>
              <w:ind w:firstLine="482" w:firstLineChars="200"/>
              <w:rPr>
                <w:b/>
                <w:bCs/>
                <w:color w:val="auto"/>
                <w:kern w:val="2"/>
                <w:sz w:val="24"/>
                <w:szCs w:val="24"/>
                <w:highlight w:val="none"/>
              </w:rPr>
            </w:pPr>
            <w:r>
              <w:rPr>
                <w:rFonts w:hint="eastAsia"/>
                <w:b/>
                <w:bCs/>
                <w:color w:val="auto"/>
                <w:kern w:val="2"/>
                <w:sz w:val="24"/>
                <w:szCs w:val="24"/>
                <w:highlight w:val="none"/>
              </w:rPr>
              <w:t>2.4排放口设置</w:t>
            </w:r>
          </w:p>
          <w:p w14:paraId="4F277757">
            <w:pPr>
              <w:pStyle w:val="24"/>
              <w:widowControl w:val="0"/>
              <w:autoSpaceDE w:val="0"/>
              <w:spacing w:before="0" w:beforeAutospacing="0" w:after="0" w:afterAutospacing="0"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项目排放口设置情况详见下表。</w:t>
            </w:r>
          </w:p>
          <w:p w14:paraId="381A1A66">
            <w:pPr>
              <w:pStyle w:val="24"/>
              <w:widowControl w:val="0"/>
              <w:autoSpaceDE w:val="0"/>
              <w:spacing w:before="0" w:beforeAutospacing="0" w:after="0" w:afterAutospacing="0"/>
              <w:jc w:val="center"/>
              <w:rPr>
                <w:rFonts w:ascii="Times New Roman" w:hAnsi="Times New Roman"/>
                <w:b/>
                <w:bCs/>
                <w:color w:val="auto"/>
                <w:highlight w:val="none"/>
              </w:rPr>
            </w:pPr>
            <w:r>
              <w:rPr>
                <w:rFonts w:ascii="Times New Roman" w:hAnsi="Times New Roman"/>
                <w:b/>
                <w:bCs/>
                <w:color w:val="auto"/>
                <w:kern w:val="2"/>
                <w:szCs w:val="24"/>
                <w:highlight w:val="none"/>
              </w:rPr>
              <w:t>表4-</w:t>
            </w:r>
            <w:r>
              <w:rPr>
                <w:rFonts w:hint="eastAsia" w:ascii="Times New Roman" w:hAnsi="Times New Roman"/>
                <w:b/>
                <w:bCs/>
                <w:color w:val="auto"/>
                <w:kern w:val="2"/>
                <w:szCs w:val="24"/>
                <w:highlight w:val="none"/>
              </w:rPr>
              <w:t>7</w:t>
            </w:r>
            <w:r>
              <w:rPr>
                <w:rFonts w:ascii="Times New Roman" w:hAnsi="Times New Roman"/>
                <w:b/>
                <w:bCs/>
                <w:color w:val="auto"/>
                <w:kern w:val="2"/>
                <w:szCs w:val="24"/>
                <w:highlight w:val="none"/>
              </w:rPr>
              <w:t xml:space="preserve"> </w:t>
            </w:r>
            <w:r>
              <w:rPr>
                <w:rFonts w:hint="eastAsia" w:ascii="Times New Roman" w:hAnsi="Times New Roman"/>
                <w:b/>
                <w:bCs/>
                <w:color w:val="auto"/>
                <w:kern w:val="2"/>
                <w:szCs w:val="24"/>
                <w:highlight w:val="none"/>
              </w:rPr>
              <w:t>废水</w:t>
            </w:r>
            <w:r>
              <w:rPr>
                <w:rFonts w:ascii="Times New Roman" w:hAnsi="Times New Roman"/>
                <w:b/>
                <w:bCs/>
                <w:color w:val="auto"/>
                <w:kern w:val="2"/>
                <w:szCs w:val="24"/>
                <w:highlight w:val="none"/>
              </w:rPr>
              <w:t>排放口基本情况</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893"/>
              <w:gridCol w:w="1320"/>
              <w:gridCol w:w="1426"/>
              <w:gridCol w:w="870"/>
              <w:gridCol w:w="2862"/>
            </w:tblGrid>
            <w:tr w14:paraId="292B60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Align w:val="center"/>
                </w:tcPr>
                <w:p w14:paraId="5C739411">
                  <w:pPr>
                    <w:jc w:val="center"/>
                    <w:rPr>
                      <w:color w:val="auto"/>
                      <w:szCs w:val="22"/>
                      <w:highlight w:val="none"/>
                    </w:rPr>
                  </w:pPr>
                  <w:r>
                    <w:rPr>
                      <w:color w:val="auto"/>
                      <w:szCs w:val="22"/>
                      <w:highlight w:val="none"/>
                    </w:rPr>
                    <w:t>编号</w:t>
                  </w:r>
                </w:p>
              </w:tc>
              <w:tc>
                <w:tcPr>
                  <w:tcW w:w="530" w:type="pct"/>
                  <w:vAlign w:val="center"/>
                </w:tcPr>
                <w:p w14:paraId="59044849">
                  <w:pPr>
                    <w:jc w:val="center"/>
                    <w:rPr>
                      <w:color w:val="auto"/>
                      <w:szCs w:val="22"/>
                      <w:highlight w:val="none"/>
                    </w:rPr>
                  </w:pPr>
                  <w:r>
                    <w:rPr>
                      <w:color w:val="auto"/>
                      <w:szCs w:val="22"/>
                      <w:highlight w:val="none"/>
                    </w:rPr>
                    <w:t>名称</w:t>
                  </w:r>
                </w:p>
              </w:tc>
              <w:tc>
                <w:tcPr>
                  <w:tcW w:w="784" w:type="pct"/>
                  <w:vAlign w:val="center"/>
                </w:tcPr>
                <w:p w14:paraId="1455F8E1">
                  <w:pPr>
                    <w:jc w:val="center"/>
                    <w:rPr>
                      <w:color w:val="auto"/>
                      <w:szCs w:val="22"/>
                      <w:highlight w:val="none"/>
                    </w:rPr>
                  </w:pPr>
                  <w:r>
                    <w:rPr>
                      <w:color w:val="auto"/>
                      <w:szCs w:val="22"/>
                      <w:highlight w:val="none"/>
                    </w:rPr>
                    <w:t>排放规律</w:t>
                  </w:r>
                </w:p>
              </w:tc>
              <w:tc>
                <w:tcPr>
                  <w:tcW w:w="847" w:type="pct"/>
                  <w:vAlign w:val="center"/>
                </w:tcPr>
                <w:p w14:paraId="413999D8">
                  <w:pPr>
                    <w:jc w:val="center"/>
                    <w:rPr>
                      <w:color w:val="auto"/>
                      <w:szCs w:val="22"/>
                      <w:highlight w:val="none"/>
                    </w:rPr>
                  </w:pPr>
                  <w:r>
                    <w:rPr>
                      <w:color w:val="auto"/>
                      <w:szCs w:val="22"/>
                      <w:highlight w:val="none"/>
                    </w:rPr>
                    <w:t>排放去向</w:t>
                  </w:r>
                </w:p>
              </w:tc>
              <w:tc>
                <w:tcPr>
                  <w:tcW w:w="517" w:type="pct"/>
                  <w:vAlign w:val="center"/>
                </w:tcPr>
                <w:p w14:paraId="59CFBF98">
                  <w:pPr>
                    <w:jc w:val="center"/>
                    <w:rPr>
                      <w:color w:val="auto"/>
                      <w:szCs w:val="22"/>
                      <w:highlight w:val="none"/>
                    </w:rPr>
                  </w:pPr>
                  <w:r>
                    <w:rPr>
                      <w:color w:val="auto"/>
                      <w:szCs w:val="22"/>
                      <w:highlight w:val="none"/>
                    </w:rPr>
                    <w:t>类型</w:t>
                  </w:r>
                </w:p>
              </w:tc>
              <w:tc>
                <w:tcPr>
                  <w:tcW w:w="1699" w:type="pct"/>
                  <w:vAlign w:val="center"/>
                </w:tcPr>
                <w:p w14:paraId="11F6190A">
                  <w:pPr>
                    <w:jc w:val="center"/>
                    <w:rPr>
                      <w:color w:val="auto"/>
                      <w:szCs w:val="22"/>
                      <w:highlight w:val="none"/>
                    </w:rPr>
                  </w:pPr>
                  <w:r>
                    <w:rPr>
                      <w:color w:val="auto"/>
                      <w:szCs w:val="22"/>
                      <w:highlight w:val="none"/>
                    </w:rPr>
                    <w:t>地理坐标</w:t>
                  </w:r>
                </w:p>
              </w:tc>
            </w:tr>
            <w:tr w14:paraId="7A1D56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Align w:val="center"/>
                </w:tcPr>
                <w:p w14:paraId="0031A10B">
                  <w:pPr>
                    <w:jc w:val="center"/>
                    <w:rPr>
                      <w:color w:val="auto"/>
                      <w:szCs w:val="22"/>
                      <w:highlight w:val="none"/>
                    </w:rPr>
                  </w:pPr>
                  <w:r>
                    <w:rPr>
                      <w:rFonts w:hint="eastAsia"/>
                      <w:color w:val="auto"/>
                      <w:szCs w:val="22"/>
                      <w:highlight w:val="none"/>
                    </w:rPr>
                    <w:t>DW001</w:t>
                  </w:r>
                </w:p>
              </w:tc>
              <w:tc>
                <w:tcPr>
                  <w:tcW w:w="530" w:type="pct"/>
                  <w:vAlign w:val="center"/>
                </w:tcPr>
                <w:p w14:paraId="0AFBC0AC">
                  <w:pPr>
                    <w:jc w:val="center"/>
                    <w:rPr>
                      <w:color w:val="auto"/>
                      <w:szCs w:val="22"/>
                      <w:highlight w:val="none"/>
                    </w:rPr>
                  </w:pPr>
                  <w:r>
                    <w:rPr>
                      <w:rFonts w:hint="eastAsia"/>
                      <w:color w:val="auto"/>
                      <w:szCs w:val="22"/>
                      <w:highlight w:val="none"/>
                    </w:rPr>
                    <w:t>污水总排口</w:t>
                  </w:r>
                </w:p>
              </w:tc>
              <w:tc>
                <w:tcPr>
                  <w:tcW w:w="784" w:type="pct"/>
                  <w:vAlign w:val="center"/>
                </w:tcPr>
                <w:p w14:paraId="771B3743">
                  <w:pPr>
                    <w:jc w:val="center"/>
                    <w:rPr>
                      <w:color w:val="auto"/>
                      <w:szCs w:val="22"/>
                      <w:highlight w:val="none"/>
                    </w:rPr>
                  </w:pPr>
                  <w:r>
                    <w:rPr>
                      <w:rFonts w:hint="eastAsia"/>
                      <w:color w:val="auto"/>
                      <w:szCs w:val="22"/>
                      <w:highlight w:val="none"/>
                    </w:rPr>
                    <w:t>间断排放</w:t>
                  </w:r>
                </w:p>
              </w:tc>
              <w:tc>
                <w:tcPr>
                  <w:tcW w:w="847" w:type="pct"/>
                  <w:vAlign w:val="center"/>
                </w:tcPr>
                <w:p w14:paraId="6A23F712">
                  <w:pPr>
                    <w:jc w:val="center"/>
                    <w:rPr>
                      <w:color w:val="auto"/>
                      <w:szCs w:val="22"/>
                      <w:highlight w:val="none"/>
                    </w:rPr>
                  </w:pPr>
                  <w:r>
                    <w:rPr>
                      <w:color w:val="auto"/>
                      <w:szCs w:val="22"/>
                      <w:highlight w:val="none"/>
                    </w:rPr>
                    <w:t>长春市</w:t>
                  </w:r>
                  <w:r>
                    <w:rPr>
                      <w:rFonts w:hint="eastAsia"/>
                      <w:color w:val="auto"/>
                      <w:szCs w:val="22"/>
                      <w:highlight w:val="none"/>
                    </w:rPr>
                    <w:t>南部污水</w:t>
                  </w:r>
                  <w:r>
                    <w:rPr>
                      <w:color w:val="auto"/>
                      <w:szCs w:val="22"/>
                      <w:highlight w:val="none"/>
                    </w:rPr>
                    <w:t>处理厂</w:t>
                  </w:r>
                </w:p>
              </w:tc>
              <w:tc>
                <w:tcPr>
                  <w:tcW w:w="517" w:type="pct"/>
                  <w:vAlign w:val="center"/>
                </w:tcPr>
                <w:p w14:paraId="00CA5445">
                  <w:pPr>
                    <w:jc w:val="center"/>
                    <w:rPr>
                      <w:color w:val="auto"/>
                      <w:szCs w:val="22"/>
                      <w:highlight w:val="none"/>
                    </w:rPr>
                  </w:pPr>
                  <w:r>
                    <w:rPr>
                      <w:rFonts w:hint="eastAsia"/>
                      <w:color w:val="auto"/>
                      <w:szCs w:val="22"/>
                      <w:highlight w:val="none"/>
                    </w:rPr>
                    <w:t>一般排放口</w:t>
                  </w:r>
                </w:p>
              </w:tc>
              <w:tc>
                <w:tcPr>
                  <w:tcW w:w="1699" w:type="pct"/>
                  <w:vAlign w:val="center"/>
                </w:tcPr>
                <w:p w14:paraId="6D0F8FAA">
                  <w:pPr>
                    <w:pStyle w:val="27"/>
                    <w:spacing w:after="0"/>
                    <w:ind w:left="0" w:leftChars="0" w:firstLine="0"/>
                    <w:jc w:val="center"/>
                    <w:rPr>
                      <w:color w:val="auto"/>
                      <w:kern w:val="2"/>
                      <w:szCs w:val="22"/>
                      <w:highlight w:val="none"/>
                    </w:rPr>
                  </w:pPr>
                  <w:r>
                    <w:rPr>
                      <w:color w:val="auto"/>
                      <w:kern w:val="2"/>
                      <w:szCs w:val="22"/>
                      <w:highlight w:val="none"/>
                    </w:rPr>
                    <w:t>经度：</w:t>
                  </w:r>
                  <w:r>
                    <w:rPr>
                      <w:rFonts w:hint="eastAsia"/>
                      <w:color w:val="auto"/>
                      <w:kern w:val="2"/>
                      <w:szCs w:val="22"/>
                      <w:highlight w:val="none"/>
                    </w:rPr>
                    <w:t>125°15′13.215″</w:t>
                  </w:r>
                </w:p>
                <w:p w14:paraId="09075A3C">
                  <w:pPr>
                    <w:pStyle w:val="27"/>
                    <w:spacing w:after="0"/>
                    <w:ind w:left="0" w:leftChars="0" w:firstLine="0"/>
                    <w:jc w:val="center"/>
                    <w:rPr>
                      <w:color w:val="auto"/>
                      <w:highlight w:val="none"/>
                    </w:rPr>
                  </w:pPr>
                  <w:r>
                    <w:rPr>
                      <w:color w:val="auto"/>
                      <w:kern w:val="2"/>
                      <w:szCs w:val="22"/>
                      <w:highlight w:val="none"/>
                    </w:rPr>
                    <w:t>纬度：</w:t>
                  </w:r>
                  <w:r>
                    <w:rPr>
                      <w:rFonts w:hint="eastAsia"/>
                      <w:color w:val="auto"/>
                      <w:kern w:val="2"/>
                      <w:szCs w:val="22"/>
                      <w:highlight w:val="none"/>
                    </w:rPr>
                    <w:t>43°50′13.04″</w:t>
                  </w:r>
                </w:p>
              </w:tc>
            </w:tr>
          </w:tbl>
          <w:p w14:paraId="529EDB4F">
            <w:pPr>
              <w:pStyle w:val="59"/>
              <w:snapToGrid w:val="0"/>
              <w:spacing w:beforeLines="0" w:afterLines="0" w:line="360" w:lineRule="auto"/>
              <w:ind w:firstLine="482" w:firstLineChars="200"/>
              <w:rPr>
                <w:rFonts w:eastAsia="宋体"/>
                <w:b/>
                <w:color w:val="auto"/>
                <w:kern w:val="0"/>
                <w:highlight w:val="none"/>
              </w:rPr>
            </w:pPr>
          </w:p>
          <w:p w14:paraId="335056EB">
            <w:pPr>
              <w:spacing w:line="360" w:lineRule="auto"/>
              <w:ind w:firstLine="482" w:firstLineChars="200"/>
              <w:rPr>
                <w:b/>
                <w:color w:val="auto"/>
                <w:sz w:val="24"/>
                <w:highlight w:val="none"/>
              </w:rPr>
            </w:pPr>
            <w:r>
              <w:rPr>
                <w:rFonts w:hint="eastAsia"/>
                <w:b/>
                <w:color w:val="auto"/>
                <w:sz w:val="24"/>
                <w:highlight w:val="none"/>
              </w:rPr>
              <w:t>2.5监测计划</w:t>
            </w:r>
          </w:p>
          <w:p w14:paraId="2C233A75">
            <w:pPr>
              <w:spacing w:line="360" w:lineRule="auto"/>
              <w:ind w:firstLine="480" w:firstLineChars="200"/>
              <w:rPr>
                <w:color w:val="auto"/>
                <w:sz w:val="24"/>
                <w:highlight w:val="none"/>
              </w:rPr>
            </w:pPr>
            <w:r>
              <w:rPr>
                <w:color w:val="auto"/>
                <w:sz w:val="24"/>
                <w:highlight w:val="none"/>
              </w:rPr>
              <w:t>按照</w:t>
            </w:r>
            <w:r>
              <w:rPr>
                <w:rFonts w:hint="eastAsia"/>
                <w:color w:val="auto"/>
                <w:sz w:val="24"/>
                <w:highlight w:val="none"/>
              </w:rPr>
              <w:t>《排污许可证申请与核发技术规范 医疗机构》（HJ1105-2020）中</w:t>
            </w:r>
            <w:r>
              <w:rPr>
                <w:color w:val="auto"/>
                <w:sz w:val="24"/>
                <w:highlight w:val="none"/>
              </w:rPr>
              <w:t>相关要求，各污染物具体监测计划详见下表。</w:t>
            </w:r>
          </w:p>
          <w:p w14:paraId="5E86601C">
            <w:pPr>
              <w:pStyle w:val="24"/>
              <w:widowControl w:val="0"/>
              <w:autoSpaceDE w:val="0"/>
              <w:spacing w:before="0" w:beforeAutospacing="0" w:after="0" w:afterAutospacing="0"/>
              <w:jc w:val="center"/>
              <w:rPr>
                <w:rFonts w:ascii="Times New Roman" w:hAnsi="Times New Roman"/>
                <w:b/>
                <w:bCs/>
                <w:color w:val="auto"/>
                <w:kern w:val="2"/>
                <w:szCs w:val="24"/>
                <w:highlight w:val="none"/>
              </w:rPr>
            </w:pPr>
            <w:r>
              <w:rPr>
                <w:rFonts w:hint="eastAsia" w:ascii="Times New Roman" w:hAnsi="Times New Roman"/>
                <w:b/>
                <w:bCs/>
                <w:color w:val="auto"/>
                <w:kern w:val="2"/>
                <w:szCs w:val="24"/>
                <w:highlight w:val="none"/>
              </w:rPr>
              <w:t>表</w:t>
            </w:r>
            <w:r>
              <w:rPr>
                <w:rFonts w:ascii="Times New Roman" w:hAnsi="Times New Roman"/>
                <w:b/>
                <w:bCs/>
                <w:color w:val="auto"/>
                <w:kern w:val="2"/>
                <w:szCs w:val="24"/>
                <w:highlight w:val="none"/>
              </w:rPr>
              <w:t>4-</w:t>
            </w:r>
            <w:r>
              <w:rPr>
                <w:rFonts w:hint="eastAsia" w:ascii="Times New Roman" w:hAnsi="Times New Roman"/>
                <w:b/>
                <w:bCs/>
                <w:color w:val="auto"/>
                <w:kern w:val="2"/>
                <w:szCs w:val="24"/>
                <w:highlight w:val="none"/>
              </w:rPr>
              <w:t>8   废水污染物排放监测信息表</w:t>
            </w:r>
          </w:p>
          <w:tbl>
            <w:tblPr>
              <w:tblStyle w:val="28"/>
              <w:tblW w:w="846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71"/>
              <w:gridCol w:w="2020"/>
              <w:gridCol w:w="2879"/>
              <w:gridCol w:w="2599"/>
            </w:tblGrid>
            <w:tr w14:paraId="2D3BB9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1" w:type="dxa"/>
                  <w:vAlign w:val="center"/>
                </w:tcPr>
                <w:p w14:paraId="6422088F">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序号</w:t>
                  </w:r>
                </w:p>
              </w:tc>
              <w:tc>
                <w:tcPr>
                  <w:tcW w:w="2020" w:type="dxa"/>
                  <w:vAlign w:val="center"/>
                </w:tcPr>
                <w:p w14:paraId="08AF2F7E">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排放口</w:t>
                  </w:r>
                </w:p>
              </w:tc>
              <w:tc>
                <w:tcPr>
                  <w:tcW w:w="2879" w:type="dxa"/>
                  <w:vAlign w:val="center"/>
                </w:tcPr>
                <w:p w14:paraId="43BDAA92">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监测指标</w:t>
                  </w:r>
                </w:p>
              </w:tc>
              <w:tc>
                <w:tcPr>
                  <w:tcW w:w="2599" w:type="dxa"/>
                  <w:vAlign w:val="center"/>
                </w:tcPr>
                <w:p w14:paraId="5E458CE9">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监测频次</w:t>
                  </w:r>
                </w:p>
              </w:tc>
            </w:tr>
            <w:tr w14:paraId="3FC768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1" w:type="dxa"/>
                  <w:vAlign w:val="center"/>
                </w:tcPr>
                <w:p w14:paraId="67513B22">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1</w:t>
                  </w:r>
                </w:p>
              </w:tc>
              <w:tc>
                <w:tcPr>
                  <w:tcW w:w="2020" w:type="dxa"/>
                  <w:vMerge w:val="restart"/>
                  <w:vAlign w:val="center"/>
                </w:tcPr>
                <w:p w14:paraId="32567F63">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DW001</w:t>
                  </w:r>
                </w:p>
                <w:p w14:paraId="3B61D25B">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污水站排口</w:t>
                  </w:r>
                </w:p>
              </w:tc>
              <w:tc>
                <w:tcPr>
                  <w:tcW w:w="2879" w:type="dxa"/>
                  <w:vAlign w:val="center"/>
                </w:tcPr>
                <w:p w14:paraId="32CFBB49">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pH</w:t>
                  </w:r>
                </w:p>
              </w:tc>
              <w:tc>
                <w:tcPr>
                  <w:tcW w:w="2599" w:type="dxa"/>
                  <w:vAlign w:val="center"/>
                </w:tcPr>
                <w:p w14:paraId="6650AB45">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1次/12小时</w:t>
                  </w:r>
                </w:p>
              </w:tc>
            </w:tr>
            <w:tr w14:paraId="79DEC5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1" w:type="dxa"/>
                  <w:vAlign w:val="center"/>
                </w:tcPr>
                <w:p w14:paraId="5FFD3EA9">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2</w:t>
                  </w:r>
                </w:p>
              </w:tc>
              <w:tc>
                <w:tcPr>
                  <w:tcW w:w="2020" w:type="dxa"/>
                  <w:vMerge w:val="continue"/>
                  <w:vAlign w:val="center"/>
                </w:tcPr>
                <w:p w14:paraId="1159D448">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p>
              </w:tc>
              <w:tc>
                <w:tcPr>
                  <w:tcW w:w="2879" w:type="dxa"/>
                  <w:vAlign w:val="center"/>
                </w:tcPr>
                <w:p w14:paraId="3E317D70">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COD</w:t>
                  </w:r>
                </w:p>
              </w:tc>
              <w:tc>
                <w:tcPr>
                  <w:tcW w:w="2599" w:type="dxa"/>
                  <w:vAlign w:val="center"/>
                </w:tcPr>
                <w:p w14:paraId="0BA5FCC5">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1次/周</w:t>
                  </w:r>
                </w:p>
              </w:tc>
            </w:tr>
            <w:tr w14:paraId="00D963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1" w:type="dxa"/>
                  <w:vAlign w:val="center"/>
                </w:tcPr>
                <w:p w14:paraId="723FC868">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3</w:t>
                  </w:r>
                </w:p>
              </w:tc>
              <w:tc>
                <w:tcPr>
                  <w:tcW w:w="2020" w:type="dxa"/>
                  <w:vMerge w:val="continue"/>
                  <w:vAlign w:val="center"/>
                </w:tcPr>
                <w:p w14:paraId="13F8354B">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p>
              </w:tc>
              <w:tc>
                <w:tcPr>
                  <w:tcW w:w="2879" w:type="dxa"/>
                  <w:vAlign w:val="center"/>
                </w:tcPr>
                <w:p w14:paraId="34214D4C">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BOD</w:t>
                  </w:r>
                  <w:r>
                    <w:rPr>
                      <w:rFonts w:ascii="Times New Roman" w:hAnsi="Times New Roman"/>
                      <w:color w:val="auto"/>
                      <w:kern w:val="2"/>
                      <w:sz w:val="21"/>
                      <w:szCs w:val="21"/>
                      <w:highlight w:val="none"/>
                      <w:vertAlign w:val="subscript"/>
                    </w:rPr>
                    <w:t>5</w:t>
                  </w:r>
                </w:p>
              </w:tc>
              <w:tc>
                <w:tcPr>
                  <w:tcW w:w="2599" w:type="dxa"/>
                  <w:vAlign w:val="center"/>
                </w:tcPr>
                <w:p w14:paraId="7C9F2849">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1次/季度</w:t>
                  </w:r>
                </w:p>
              </w:tc>
            </w:tr>
            <w:tr w14:paraId="68E791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1" w:type="dxa"/>
                  <w:vAlign w:val="center"/>
                </w:tcPr>
                <w:p w14:paraId="2EDA06E8">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4</w:t>
                  </w:r>
                </w:p>
              </w:tc>
              <w:tc>
                <w:tcPr>
                  <w:tcW w:w="2020" w:type="dxa"/>
                  <w:vMerge w:val="continue"/>
                  <w:vAlign w:val="center"/>
                </w:tcPr>
                <w:p w14:paraId="7D47CD64">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p>
              </w:tc>
              <w:tc>
                <w:tcPr>
                  <w:tcW w:w="2879" w:type="dxa"/>
                  <w:vAlign w:val="center"/>
                </w:tcPr>
                <w:p w14:paraId="469F7C3D">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NH</w:t>
                  </w:r>
                  <w:r>
                    <w:rPr>
                      <w:rFonts w:hint="eastAsia" w:ascii="Times New Roman" w:hAnsi="Times New Roman"/>
                      <w:color w:val="auto"/>
                      <w:kern w:val="2"/>
                      <w:sz w:val="21"/>
                      <w:szCs w:val="21"/>
                      <w:highlight w:val="none"/>
                      <w:vertAlign w:val="subscript"/>
                    </w:rPr>
                    <w:t>3</w:t>
                  </w:r>
                  <w:r>
                    <w:rPr>
                      <w:rFonts w:hint="eastAsia" w:ascii="Times New Roman" w:hAnsi="Times New Roman"/>
                      <w:color w:val="auto"/>
                      <w:kern w:val="2"/>
                      <w:sz w:val="21"/>
                      <w:szCs w:val="21"/>
                      <w:highlight w:val="none"/>
                    </w:rPr>
                    <w:t>-N</w:t>
                  </w:r>
                </w:p>
              </w:tc>
              <w:tc>
                <w:tcPr>
                  <w:tcW w:w="2599" w:type="dxa"/>
                  <w:vAlign w:val="center"/>
                </w:tcPr>
                <w:p w14:paraId="6F6DF89D">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w:t>
                  </w:r>
                </w:p>
              </w:tc>
            </w:tr>
            <w:tr w14:paraId="2A258D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81" w:hRule="atLeast"/>
                <w:jc w:val="center"/>
              </w:trPr>
              <w:tc>
                <w:tcPr>
                  <w:tcW w:w="971" w:type="dxa"/>
                  <w:vAlign w:val="center"/>
                </w:tcPr>
                <w:p w14:paraId="16CC7065">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5</w:t>
                  </w:r>
                </w:p>
              </w:tc>
              <w:tc>
                <w:tcPr>
                  <w:tcW w:w="2020" w:type="dxa"/>
                  <w:vMerge w:val="continue"/>
                  <w:vAlign w:val="center"/>
                </w:tcPr>
                <w:p w14:paraId="3C007E4D">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p>
              </w:tc>
              <w:tc>
                <w:tcPr>
                  <w:tcW w:w="2879" w:type="dxa"/>
                  <w:vAlign w:val="center"/>
                </w:tcPr>
                <w:p w14:paraId="79FA1EDE">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SS</w:t>
                  </w:r>
                </w:p>
              </w:tc>
              <w:tc>
                <w:tcPr>
                  <w:tcW w:w="2599" w:type="dxa"/>
                  <w:vAlign w:val="center"/>
                </w:tcPr>
                <w:p w14:paraId="0B7F351F">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1次/周</w:t>
                  </w:r>
                </w:p>
              </w:tc>
            </w:tr>
            <w:tr w14:paraId="65B296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1" w:type="dxa"/>
                  <w:vAlign w:val="center"/>
                </w:tcPr>
                <w:p w14:paraId="7DA4CF0E">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6</w:t>
                  </w:r>
                </w:p>
              </w:tc>
              <w:tc>
                <w:tcPr>
                  <w:tcW w:w="2020" w:type="dxa"/>
                  <w:vMerge w:val="continue"/>
                  <w:vAlign w:val="center"/>
                </w:tcPr>
                <w:p w14:paraId="36A84DA3">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p>
              </w:tc>
              <w:tc>
                <w:tcPr>
                  <w:tcW w:w="2879" w:type="dxa"/>
                  <w:vAlign w:val="center"/>
                </w:tcPr>
                <w:p w14:paraId="71B7424D">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动植物油</w:t>
                  </w:r>
                </w:p>
              </w:tc>
              <w:tc>
                <w:tcPr>
                  <w:tcW w:w="2599" w:type="dxa"/>
                  <w:vAlign w:val="center"/>
                </w:tcPr>
                <w:p w14:paraId="1E7766E1">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1次/季度</w:t>
                  </w:r>
                </w:p>
              </w:tc>
            </w:tr>
            <w:tr w14:paraId="4B9304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1" w:type="dxa"/>
                  <w:vAlign w:val="center"/>
                </w:tcPr>
                <w:p w14:paraId="0F47D1F6">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7</w:t>
                  </w:r>
                </w:p>
              </w:tc>
              <w:tc>
                <w:tcPr>
                  <w:tcW w:w="2020" w:type="dxa"/>
                  <w:vMerge w:val="continue"/>
                  <w:vAlign w:val="center"/>
                </w:tcPr>
                <w:p w14:paraId="514E7932">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p>
              </w:tc>
              <w:tc>
                <w:tcPr>
                  <w:tcW w:w="2879" w:type="dxa"/>
                  <w:vAlign w:val="center"/>
                </w:tcPr>
                <w:p w14:paraId="4A8C6129">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粪大肠菌群</w:t>
                  </w:r>
                </w:p>
              </w:tc>
              <w:tc>
                <w:tcPr>
                  <w:tcW w:w="2599" w:type="dxa"/>
                  <w:vAlign w:val="center"/>
                </w:tcPr>
                <w:p w14:paraId="06782E40">
                  <w:pPr>
                    <w:pStyle w:val="24"/>
                    <w:widowControl w:val="0"/>
                    <w:autoSpaceDE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1次/月</w:t>
                  </w:r>
                </w:p>
              </w:tc>
            </w:tr>
          </w:tbl>
          <w:p w14:paraId="6216CB29">
            <w:pPr>
              <w:pStyle w:val="59"/>
              <w:snapToGrid w:val="0"/>
              <w:spacing w:beforeLines="0" w:afterLines="0" w:line="360" w:lineRule="auto"/>
              <w:ind w:firstLine="482" w:firstLineChars="200"/>
              <w:rPr>
                <w:rFonts w:eastAsia="宋体"/>
                <w:b/>
                <w:color w:val="auto"/>
                <w:kern w:val="0"/>
                <w:highlight w:val="none"/>
              </w:rPr>
            </w:pPr>
          </w:p>
          <w:p w14:paraId="1F7CE1C7">
            <w:pPr>
              <w:pStyle w:val="59"/>
              <w:snapToGrid w:val="0"/>
              <w:spacing w:beforeLines="0" w:afterLines="0" w:line="360" w:lineRule="auto"/>
              <w:ind w:firstLine="482" w:firstLineChars="200"/>
              <w:rPr>
                <w:rFonts w:eastAsia="宋体"/>
                <w:b/>
                <w:color w:val="auto"/>
                <w:kern w:val="0"/>
                <w:highlight w:val="none"/>
              </w:rPr>
            </w:pPr>
            <w:r>
              <w:rPr>
                <w:rFonts w:eastAsia="宋体"/>
                <w:b/>
                <w:color w:val="auto"/>
                <w:kern w:val="0"/>
                <w:highlight w:val="none"/>
              </w:rPr>
              <w:t>3、噪声</w:t>
            </w:r>
          </w:p>
          <w:p w14:paraId="14EE48C4">
            <w:pPr>
              <w:adjustRightInd w:val="0"/>
              <w:snapToGrid w:val="0"/>
              <w:spacing w:line="360" w:lineRule="auto"/>
              <w:ind w:firstLine="482" w:firstLineChars="200"/>
              <w:rPr>
                <w:b/>
                <w:bCs/>
                <w:snapToGrid w:val="0"/>
                <w:color w:val="auto"/>
                <w:sz w:val="24"/>
                <w:highlight w:val="none"/>
              </w:rPr>
            </w:pPr>
            <w:r>
              <w:rPr>
                <w:rFonts w:hint="eastAsia"/>
                <w:b/>
                <w:bCs/>
                <w:snapToGrid w:val="0"/>
                <w:color w:val="auto"/>
                <w:sz w:val="24"/>
                <w:highlight w:val="none"/>
              </w:rPr>
              <w:t>3.1噪声源强</w:t>
            </w:r>
          </w:p>
          <w:p w14:paraId="146A46E5">
            <w:pPr>
              <w:adjustRightInd w:val="0"/>
              <w:snapToGrid w:val="0"/>
              <w:spacing w:line="360" w:lineRule="auto"/>
              <w:ind w:firstLine="480" w:firstLineChars="200"/>
              <w:rPr>
                <w:snapToGrid w:val="0"/>
                <w:color w:val="auto"/>
                <w:sz w:val="24"/>
                <w:highlight w:val="none"/>
              </w:rPr>
            </w:pPr>
            <w:r>
              <w:rPr>
                <w:snapToGrid w:val="0"/>
                <w:color w:val="auto"/>
                <w:sz w:val="24"/>
                <w:highlight w:val="none"/>
                <w:lang w:val="zh-CN"/>
              </w:rPr>
              <w:t>本项目噪声来源为空调风机、污水</w:t>
            </w:r>
            <w:r>
              <w:rPr>
                <w:rFonts w:hint="eastAsia"/>
                <w:snapToGrid w:val="0"/>
                <w:color w:val="auto"/>
                <w:sz w:val="24"/>
                <w:highlight w:val="none"/>
              </w:rPr>
              <w:t>处理</w:t>
            </w:r>
            <w:r>
              <w:rPr>
                <w:snapToGrid w:val="0"/>
                <w:color w:val="auto"/>
                <w:sz w:val="24"/>
                <w:highlight w:val="none"/>
              </w:rPr>
              <w:t>池</w:t>
            </w:r>
            <w:r>
              <w:rPr>
                <w:snapToGrid w:val="0"/>
                <w:color w:val="auto"/>
                <w:sz w:val="24"/>
                <w:highlight w:val="none"/>
                <w:lang w:val="zh-CN"/>
              </w:rPr>
              <w:t>泵类等的运行噪声，噪声源声级值约在</w:t>
            </w:r>
            <w:r>
              <w:rPr>
                <w:snapToGrid w:val="0"/>
                <w:color w:val="auto"/>
                <w:sz w:val="24"/>
                <w:highlight w:val="none"/>
              </w:rPr>
              <w:t>75</w:t>
            </w:r>
            <w:r>
              <w:rPr>
                <w:snapToGrid w:val="0"/>
                <w:color w:val="auto"/>
                <w:sz w:val="24"/>
                <w:highlight w:val="none"/>
                <w:lang w:val="zh-CN"/>
              </w:rPr>
              <w:t>dB(A)。空调风机经过基础</w:t>
            </w:r>
            <w:r>
              <w:rPr>
                <w:rFonts w:hint="eastAsia"/>
                <w:snapToGrid w:val="0"/>
                <w:color w:val="auto"/>
                <w:sz w:val="24"/>
                <w:highlight w:val="none"/>
                <w:lang w:val="zh-CN"/>
              </w:rPr>
              <w:t>减振</w:t>
            </w:r>
            <w:r>
              <w:rPr>
                <w:snapToGrid w:val="0"/>
                <w:color w:val="auto"/>
                <w:sz w:val="24"/>
                <w:highlight w:val="none"/>
                <w:lang w:val="zh-CN"/>
              </w:rPr>
              <w:t>、隔声、距离衰减措施；污水处理操作间封闭，在设备选型上选用低噪声设备，并采用消声性能好的建筑材料及密封措施；通过以上措施，可</w:t>
            </w:r>
            <w:r>
              <w:rPr>
                <w:rFonts w:hint="eastAsia"/>
                <w:color w:val="auto"/>
                <w:sz w:val="24"/>
                <w:highlight w:val="none"/>
              </w:rPr>
              <w:t>使</w:t>
            </w:r>
            <w:r>
              <w:rPr>
                <w:color w:val="auto"/>
                <w:sz w:val="24"/>
                <w:highlight w:val="none"/>
              </w:rPr>
              <w:t>项目</w:t>
            </w:r>
            <w:r>
              <w:rPr>
                <w:rFonts w:hint="eastAsia"/>
                <w:color w:val="auto"/>
                <w:sz w:val="24"/>
                <w:highlight w:val="none"/>
              </w:rPr>
              <w:t>厂界</w:t>
            </w:r>
            <w:r>
              <w:rPr>
                <w:color w:val="auto"/>
                <w:sz w:val="24"/>
                <w:highlight w:val="none"/>
              </w:rPr>
              <w:t>噪声执行</w:t>
            </w:r>
            <w:r>
              <w:rPr>
                <w:color w:val="auto"/>
                <w:sz w:val="24"/>
                <w:highlight w:val="none"/>
              </w:rPr>
              <w:t>《工业企业厂界环境噪声排放标准》（GB12348-2008）中2类</w:t>
            </w:r>
            <w:r>
              <w:rPr>
                <w:rFonts w:hint="eastAsia"/>
                <w:color w:val="auto"/>
                <w:sz w:val="24"/>
                <w:highlight w:val="none"/>
              </w:rPr>
              <w:t>区</w:t>
            </w:r>
            <w:r>
              <w:rPr>
                <w:color w:val="auto"/>
                <w:sz w:val="24"/>
                <w:highlight w:val="none"/>
              </w:rPr>
              <w:t>标准</w:t>
            </w:r>
            <w:r>
              <w:rPr>
                <w:snapToGrid w:val="0"/>
                <w:color w:val="auto"/>
                <w:sz w:val="24"/>
                <w:highlight w:val="none"/>
              </w:rPr>
              <w:t>。</w:t>
            </w:r>
          </w:p>
          <w:p w14:paraId="5919620C">
            <w:pPr>
              <w:tabs>
                <w:tab w:val="center" w:pos="4316"/>
                <w:tab w:val="left" w:pos="6549"/>
              </w:tabs>
              <w:jc w:val="center"/>
              <w:rPr>
                <w:color w:val="auto"/>
                <w:sz w:val="24"/>
                <w:highlight w:val="none"/>
              </w:rPr>
            </w:pPr>
            <w:r>
              <w:rPr>
                <w:b/>
                <w:bCs/>
                <w:color w:val="auto"/>
                <w:sz w:val="24"/>
                <w:highlight w:val="none"/>
              </w:rPr>
              <w:t>表4-</w:t>
            </w:r>
            <w:r>
              <w:rPr>
                <w:rFonts w:hint="eastAsia"/>
                <w:b/>
                <w:bCs/>
                <w:color w:val="auto"/>
                <w:sz w:val="24"/>
                <w:highlight w:val="none"/>
              </w:rPr>
              <w:t>9</w:t>
            </w:r>
            <w:r>
              <w:rPr>
                <w:b/>
                <w:bCs/>
                <w:color w:val="auto"/>
                <w:sz w:val="24"/>
                <w:highlight w:val="none"/>
              </w:rPr>
              <w:t xml:space="preserve"> 项目主要噪声源情况一览表</w:t>
            </w:r>
          </w:p>
          <w:tbl>
            <w:tblPr>
              <w:tblStyle w:val="28"/>
              <w:tblpPr w:leftFromText="181" w:rightFromText="181" w:vertAnchor="text" w:tblpXSpec="center" w:tblpY="1"/>
              <w:tblOverlap w:val="never"/>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01"/>
              <w:gridCol w:w="2107"/>
              <w:gridCol w:w="1614"/>
              <w:gridCol w:w="2093"/>
            </w:tblGrid>
            <w:tr w14:paraId="53C45D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71" w:type="pct"/>
                  <w:vAlign w:val="center"/>
                </w:tcPr>
                <w:p w14:paraId="3DD359E6">
                  <w:pPr>
                    <w:jc w:val="center"/>
                    <w:rPr>
                      <w:color w:val="auto"/>
                      <w:szCs w:val="21"/>
                      <w:highlight w:val="none"/>
                    </w:rPr>
                  </w:pPr>
                  <w:r>
                    <w:rPr>
                      <w:color w:val="auto"/>
                      <w:szCs w:val="21"/>
                      <w:highlight w:val="none"/>
                    </w:rPr>
                    <w:t>声源名称</w:t>
                  </w:r>
                </w:p>
              </w:tc>
              <w:tc>
                <w:tcPr>
                  <w:tcW w:w="773" w:type="pct"/>
                  <w:vAlign w:val="center"/>
                </w:tcPr>
                <w:p w14:paraId="702CA9D6">
                  <w:pPr>
                    <w:jc w:val="center"/>
                    <w:rPr>
                      <w:color w:val="auto"/>
                      <w:szCs w:val="21"/>
                      <w:highlight w:val="none"/>
                    </w:rPr>
                  </w:pPr>
                  <w:r>
                    <w:rPr>
                      <w:color w:val="auto"/>
                      <w:szCs w:val="21"/>
                      <w:highlight w:val="none"/>
                    </w:rPr>
                    <w:t>产生源强</w:t>
                  </w:r>
                </w:p>
              </w:tc>
              <w:tc>
                <w:tcPr>
                  <w:tcW w:w="1251" w:type="pct"/>
                  <w:vAlign w:val="center"/>
                </w:tcPr>
                <w:p w14:paraId="7C7C7C69">
                  <w:pPr>
                    <w:jc w:val="center"/>
                    <w:rPr>
                      <w:color w:val="auto"/>
                      <w:szCs w:val="21"/>
                      <w:highlight w:val="none"/>
                    </w:rPr>
                  </w:pPr>
                  <w:r>
                    <w:rPr>
                      <w:color w:val="auto"/>
                      <w:szCs w:val="21"/>
                      <w:highlight w:val="none"/>
                    </w:rPr>
                    <w:t>降噪措施</w:t>
                  </w:r>
                </w:p>
              </w:tc>
              <w:tc>
                <w:tcPr>
                  <w:tcW w:w="959" w:type="pct"/>
                  <w:vAlign w:val="center"/>
                </w:tcPr>
                <w:p w14:paraId="4EBDCA25">
                  <w:pPr>
                    <w:jc w:val="center"/>
                    <w:rPr>
                      <w:color w:val="auto"/>
                      <w:szCs w:val="21"/>
                      <w:highlight w:val="none"/>
                    </w:rPr>
                  </w:pPr>
                  <w:r>
                    <w:rPr>
                      <w:color w:val="auto"/>
                      <w:szCs w:val="21"/>
                      <w:highlight w:val="none"/>
                    </w:rPr>
                    <w:t>排放强度</w:t>
                  </w:r>
                </w:p>
              </w:tc>
              <w:tc>
                <w:tcPr>
                  <w:tcW w:w="1244" w:type="pct"/>
                  <w:vAlign w:val="center"/>
                </w:tcPr>
                <w:p w14:paraId="6200CCF9">
                  <w:pPr>
                    <w:jc w:val="center"/>
                    <w:rPr>
                      <w:color w:val="auto"/>
                      <w:szCs w:val="21"/>
                      <w:highlight w:val="none"/>
                    </w:rPr>
                  </w:pPr>
                  <w:r>
                    <w:rPr>
                      <w:color w:val="auto"/>
                      <w:szCs w:val="21"/>
                      <w:highlight w:val="none"/>
                    </w:rPr>
                    <w:t>持续时间</w:t>
                  </w:r>
                </w:p>
              </w:tc>
            </w:tr>
            <w:tr w14:paraId="046D7E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71" w:type="pct"/>
                  <w:vAlign w:val="center"/>
                </w:tcPr>
                <w:p w14:paraId="2F309C19">
                  <w:pPr>
                    <w:jc w:val="center"/>
                    <w:rPr>
                      <w:bCs/>
                      <w:color w:val="auto"/>
                      <w:szCs w:val="21"/>
                      <w:highlight w:val="none"/>
                    </w:rPr>
                  </w:pPr>
                  <w:r>
                    <w:rPr>
                      <w:bCs/>
                      <w:color w:val="auto"/>
                      <w:szCs w:val="21"/>
                      <w:highlight w:val="none"/>
                    </w:rPr>
                    <w:t>设备及风机</w:t>
                  </w:r>
                </w:p>
              </w:tc>
              <w:tc>
                <w:tcPr>
                  <w:tcW w:w="773" w:type="pct"/>
                  <w:vAlign w:val="center"/>
                </w:tcPr>
                <w:p w14:paraId="76E12F6A">
                  <w:pPr>
                    <w:jc w:val="center"/>
                    <w:rPr>
                      <w:color w:val="auto"/>
                      <w:szCs w:val="21"/>
                      <w:highlight w:val="none"/>
                    </w:rPr>
                  </w:pPr>
                  <w:r>
                    <w:rPr>
                      <w:color w:val="auto"/>
                      <w:szCs w:val="21"/>
                      <w:highlight w:val="none"/>
                    </w:rPr>
                    <w:t>75</w:t>
                  </w:r>
                </w:p>
              </w:tc>
              <w:tc>
                <w:tcPr>
                  <w:tcW w:w="1251" w:type="pct"/>
                  <w:vAlign w:val="center"/>
                </w:tcPr>
                <w:p w14:paraId="37E4E886">
                  <w:pPr>
                    <w:jc w:val="center"/>
                    <w:rPr>
                      <w:color w:val="auto"/>
                      <w:szCs w:val="21"/>
                      <w:highlight w:val="none"/>
                    </w:rPr>
                  </w:pPr>
                  <w:r>
                    <w:rPr>
                      <w:color w:val="auto"/>
                      <w:szCs w:val="21"/>
                      <w:highlight w:val="none"/>
                    </w:rPr>
                    <w:t>低噪声设备，安装减震垫，基础</w:t>
                  </w:r>
                  <w:r>
                    <w:rPr>
                      <w:rFonts w:hint="eastAsia"/>
                      <w:color w:val="auto"/>
                      <w:szCs w:val="21"/>
                      <w:highlight w:val="none"/>
                      <w:lang w:eastAsia="zh-CN"/>
                    </w:rPr>
                    <w:t>减振</w:t>
                  </w:r>
                  <w:r>
                    <w:rPr>
                      <w:color w:val="auto"/>
                      <w:szCs w:val="21"/>
                      <w:highlight w:val="none"/>
                    </w:rPr>
                    <w:t>隔声</w:t>
                  </w:r>
                </w:p>
              </w:tc>
              <w:tc>
                <w:tcPr>
                  <w:tcW w:w="959" w:type="pct"/>
                  <w:vAlign w:val="center"/>
                </w:tcPr>
                <w:p w14:paraId="63B92FA0">
                  <w:pPr>
                    <w:jc w:val="center"/>
                    <w:rPr>
                      <w:color w:val="auto"/>
                      <w:szCs w:val="21"/>
                      <w:highlight w:val="none"/>
                    </w:rPr>
                  </w:pPr>
                  <w:r>
                    <w:rPr>
                      <w:color w:val="auto"/>
                      <w:szCs w:val="21"/>
                      <w:highlight w:val="none"/>
                    </w:rPr>
                    <w:t>65</w:t>
                  </w:r>
                </w:p>
              </w:tc>
              <w:tc>
                <w:tcPr>
                  <w:tcW w:w="1244" w:type="pct"/>
                  <w:vAlign w:val="center"/>
                </w:tcPr>
                <w:p w14:paraId="5264E9E3">
                  <w:pPr>
                    <w:jc w:val="center"/>
                    <w:rPr>
                      <w:color w:val="auto"/>
                      <w:szCs w:val="21"/>
                      <w:highlight w:val="none"/>
                    </w:rPr>
                  </w:pPr>
                  <w:r>
                    <w:rPr>
                      <w:rFonts w:hint="eastAsia"/>
                      <w:color w:val="auto"/>
                      <w:szCs w:val="21"/>
                      <w:highlight w:val="none"/>
                    </w:rPr>
                    <w:t>10</w:t>
                  </w:r>
                  <w:r>
                    <w:rPr>
                      <w:color w:val="auto"/>
                      <w:szCs w:val="21"/>
                      <w:highlight w:val="none"/>
                    </w:rPr>
                    <w:t>h</w:t>
                  </w:r>
                </w:p>
              </w:tc>
            </w:tr>
          </w:tbl>
          <w:p w14:paraId="7795618A">
            <w:pPr>
              <w:spacing w:line="360" w:lineRule="auto"/>
              <w:ind w:firstLine="480" w:firstLineChars="200"/>
              <w:rPr>
                <w:color w:val="auto"/>
                <w:sz w:val="24"/>
                <w:highlight w:val="none"/>
              </w:rPr>
            </w:pPr>
          </w:p>
          <w:p w14:paraId="38CBEE55">
            <w:pPr>
              <w:spacing w:line="360" w:lineRule="auto"/>
              <w:ind w:firstLine="482" w:firstLineChars="200"/>
              <w:rPr>
                <w:b/>
                <w:bCs/>
                <w:color w:val="auto"/>
                <w:sz w:val="24"/>
                <w:highlight w:val="none"/>
              </w:rPr>
            </w:pPr>
            <w:r>
              <w:rPr>
                <w:b/>
                <w:bCs/>
                <w:color w:val="auto"/>
                <w:sz w:val="24"/>
                <w:highlight w:val="none"/>
              </w:rPr>
              <w:t>3.2主要噪声控制措施</w:t>
            </w:r>
          </w:p>
          <w:p w14:paraId="02830ED2">
            <w:pPr>
              <w:adjustRightInd w:val="0"/>
              <w:snapToGrid w:val="0"/>
              <w:spacing w:line="360" w:lineRule="auto"/>
              <w:ind w:firstLine="480" w:firstLineChars="200"/>
              <w:rPr>
                <w:color w:val="auto"/>
                <w:sz w:val="24"/>
                <w:highlight w:val="none"/>
              </w:rPr>
            </w:pPr>
            <w:r>
              <w:rPr>
                <w:color w:val="auto"/>
                <w:sz w:val="24"/>
                <w:highlight w:val="none"/>
              </w:rPr>
              <w:t>本项目运营期噪声污染治理措施如下。</w:t>
            </w:r>
          </w:p>
          <w:p w14:paraId="78DC3CE4">
            <w:pPr>
              <w:spacing w:line="360" w:lineRule="auto"/>
              <w:ind w:firstLine="480" w:firstLineChars="200"/>
              <w:rPr>
                <w:color w:val="auto"/>
                <w:sz w:val="24"/>
                <w:highlight w:val="none"/>
              </w:rPr>
            </w:pPr>
            <w:r>
              <w:rPr>
                <w:color w:val="auto"/>
                <w:sz w:val="24"/>
                <w:highlight w:val="none"/>
              </w:rPr>
              <w:t>①设备选型时尽量选择低噪设备</w:t>
            </w:r>
            <w:r>
              <w:rPr>
                <w:rFonts w:hint="eastAsia"/>
                <w:color w:val="auto"/>
                <w:sz w:val="24"/>
                <w:highlight w:val="none"/>
              </w:rPr>
              <w:t>。</w:t>
            </w:r>
          </w:p>
          <w:p w14:paraId="3418F649">
            <w:pPr>
              <w:spacing w:line="360" w:lineRule="auto"/>
              <w:ind w:firstLine="480" w:firstLineChars="200"/>
              <w:rPr>
                <w:color w:val="auto"/>
                <w:sz w:val="24"/>
                <w:highlight w:val="none"/>
              </w:rPr>
            </w:pPr>
            <w:r>
              <w:rPr>
                <w:color w:val="auto"/>
                <w:sz w:val="24"/>
                <w:highlight w:val="none"/>
              </w:rPr>
              <w:t>②设备安装中基础应做减振处理，安装减振垫或减振基础</w:t>
            </w:r>
            <w:r>
              <w:rPr>
                <w:rFonts w:hint="eastAsia"/>
                <w:color w:val="auto"/>
                <w:sz w:val="24"/>
                <w:highlight w:val="none"/>
              </w:rPr>
              <w:t>，同时通过墙体阻隔进行降噪</w:t>
            </w:r>
            <w:r>
              <w:rPr>
                <w:color w:val="auto"/>
                <w:sz w:val="24"/>
                <w:highlight w:val="none"/>
              </w:rPr>
              <w:t>。</w:t>
            </w:r>
          </w:p>
          <w:p w14:paraId="3CAD17E0">
            <w:pPr>
              <w:spacing w:line="360" w:lineRule="auto"/>
              <w:ind w:firstLine="480" w:firstLineChars="200"/>
              <w:rPr>
                <w:color w:val="auto"/>
                <w:sz w:val="24"/>
                <w:highlight w:val="none"/>
              </w:rPr>
            </w:pPr>
            <w:r>
              <w:rPr>
                <w:color w:val="auto"/>
                <w:sz w:val="24"/>
                <w:highlight w:val="none"/>
              </w:rPr>
              <w:t>③加强对高噪声设备的管理和维护，定期检查、监测，发现噪声超标要及时治理和维修</w:t>
            </w:r>
            <w:r>
              <w:rPr>
                <w:rFonts w:hint="eastAsia"/>
                <w:color w:val="auto"/>
                <w:sz w:val="24"/>
                <w:highlight w:val="none"/>
              </w:rPr>
              <w:t>。</w:t>
            </w:r>
          </w:p>
          <w:p w14:paraId="5779BF8B">
            <w:pPr>
              <w:widowControl/>
              <w:spacing w:line="360" w:lineRule="auto"/>
              <w:ind w:firstLine="482" w:firstLineChars="200"/>
              <w:rPr>
                <w:b/>
                <w:bCs/>
                <w:color w:val="auto"/>
                <w:sz w:val="24"/>
                <w:highlight w:val="none"/>
              </w:rPr>
            </w:pPr>
            <w:r>
              <w:rPr>
                <w:b/>
                <w:bCs/>
                <w:color w:val="auto"/>
                <w:sz w:val="24"/>
                <w:highlight w:val="none"/>
              </w:rPr>
              <w:t>3.3厂界达标情况分析</w:t>
            </w:r>
          </w:p>
          <w:p w14:paraId="74B62929">
            <w:pPr>
              <w:widowControl/>
              <w:spacing w:line="360" w:lineRule="auto"/>
              <w:ind w:firstLine="480" w:firstLineChars="200"/>
              <w:rPr>
                <w:color w:val="auto"/>
                <w:sz w:val="24"/>
                <w:highlight w:val="none"/>
                <w:lang w:val="zh-CN"/>
              </w:rPr>
            </w:pPr>
            <w:r>
              <w:rPr>
                <w:color w:val="auto"/>
                <w:sz w:val="24"/>
                <w:highlight w:val="none"/>
              </w:rPr>
              <w:t>（1）</w:t>
            </w:r>
            <w:r>
              <w:rPr>
                <w:color w:val="auto"/>
                <w:sz w:val="24"/>
                <w:highlight w:val="none"/>
                <w:lang w:val="zh-CN"/>
              </w:rPr>
              <w:t>预测源强</w:t>
            </w:r>
          </w:p>
          <w:p w14:paraId="0B55F8CB">
            <w:pPr>
              <w:widowControl/>
              <w:spacing w:line="360" w:lineRule="auto"/>
              <w:ind w:firstLine="480" w:firstLineChars="200"/>
              <w:rPr>
                <w:color w:val="auto"/>
                <w:sz w:val="24"/>
                <w:highlight w:val="none"/>
                <w:lang w:bidi="zh-CN"/>
              </w:rPr>
            </w:pPr>
            <w:r>
              <w:rPr>
                <w:color w:val="auto"/>
                <w:sz w:val="24"/>
                <w:highlight w:val="none"/>
                <w:lang w:val="zh-CN"/>
              </w:rPr>
              <w:t>根据工程分析可知，本项目噪声源主要是</w:t>
            </w:r>
            <w:r>
              <w:rPr>
                <w:snapToGrid w:val="0"/>
                <w:color w:val="auto"/>
                <w:sz w:val="24"/>
                <w:highlight w:val="none"/>
                <w:lang w:val="zh-CN"/>
              </w:rPr>
              <w:t>空调风机、污水</w:t>
            </w:r>
            <w:r>
              <w:rPr>
                <w:rFonts w:hint="eastAsia"/>
                <w:snapToGrid w:val="0"/>
                <w:color w:val="auto"/>
                <w:sz w:val="24"/>
                <w:highlight w:val="none"/>
              </w:rPr>
              <w:t>处理</w:t>
            </w:r>
            <w:r>
              <w:rPr>
                <w:snapToGrid w:val="0"/>
                <w:color w:val="auto"/>
                <w:sz w:val="24"/>
                <w:highlight w:val="none"/>
              </w:rPr>
              <w:t>池</w:t>
            </w:r>
            <w:r>
              <w:rPr>
                <w:snapToGrid w:val="0"/>
                <w:color w:val="auto"/>
                <w:sz w:val="24"/>
                <w:highlight w:val="none"/>
                <w:lang w:val="zh-CN"/>
              </w:rPr>
              <w:t>泵类等的运行噪声</w:t>
            </w:r>
            <w:r>
              <w:rPr>
                <w:color w:val="auto"/>
                <w:sz w:val="24"/>
                <w:highlight w:val="none"/>
                <w:lang w:val="zh-CN"/>
              </w:rPr>
              <w:t>等，噪声值在</w:t>
            </w:r>
            <w:r>
              <w:rPr>
                <w:rFonts w:hint="eastAsia"/>
                <w:color w:val="auto"/>
                <w:sz w:val="24"/>
                <w:highlight w:val="none"/>
              </w:rPr>
              <w:t>75</w:t>
            </w:r>
            <w:r>
              <w:rPr>
                <w:color w:val="auto"/>
                <w:sz w:val="24"/>
                <w:highlight w:val="none"/>
                <w:lang w:val="zh-CN"/>
              </w:rPr>
              <w:t>dB（A）之间，设备噪声源强见下表。</w:t>
            </w:r>
          </w:p>
          <w:p w14:paraId="7C3630A0">
            <w:pPr>
              <w:pStyle w:val="12"/>
              <w:tabs>
                <w:tab w:val="left" w:pos="789"/>
              </w:tabs>
              <w:spacing w:before="0" w:after="0" w:line="240" w:lineRule="auto"/>
              <w:ind w:right="0"/>
              <w:jc w:val="center"/>
              <w:rPr>
                <w:b/>
                <w:color w:val="auto"/>
                <w:kern w:val="2"/>
                <w:sz w:val="24"/>
                <w:szCs w:val="24"/>
                <w:highlight w:val="none"/>
              </w:rPr>
            </w:pPr>
            <w:r>
              <w:rPr>
                <w:b/>
                <w:color w:val="auto"/>
                <w:kern w:val="2"/>
                <w:sz w:val="24"/>
                <w:szCs w:val="24"/>
                <w:highlight w:val="none"/>
              </w:rPr>
              <w:t>表4-</w:t>
            </w:r>
            <w:r>
              <w:rPr>
                <w:rFonts w:hint="eastAsia"/>
                <w:b/>
                <w:color w:val="auto"/>
                <w:kern w:val="2"/>
                <w:sz w:val="24"/>
                <w:szCs w:val="24"/>
                <w:highlight w:val="none"/>
              </w:rPr>
              <w:t>10</w:t>
            </w:r>
            <w:r>
              <w:rPr>
                <w:b/>
                <w:color w:val="auto"/>
                <w:kern w:val="2"/>
                <w:sz w:val="24"/>
                <w:szCs w:val="24"/>
                <w:highlight w:val="none"/>
              </w:rPr>
              <w:t xml:space="preserve"> 本项目主要噪声源分布情况一览表</w:t>
            </w:r>
          </w:p>
          <w:tbl>
            <w:tblPr>
              <w:tblStyle w:val="29"/>
              <w:tblW w:w="506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74"/>
              <w:gridCol w:w="1078"/>
              <w:gridCol w:w="778"/>
              <w:gridCol w:w="792"/>
              <w:gridCol w:w="711"/>
              <w:gridCol w:w="1793"/>
              <w:gridCol w:w="1109"/>
              <w:gridCol w:w="776"/>
            </w:tblGrid>
            <w:tr w14:paraId="7AC71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4" w:type="pct"/>
                  <w:vMerge w:val="restart"/>
                  <w:tcBorders>
                    <w:tl2br w:val="nil"/>
                    <w:tr2bl w:val="nil"/>
                  </w:tcBorders>
                  <w:vAlign w:val="center"/>
                </w:tcPr>
                <w:p w14:paraId="45F462C2">
                  <w:pPr>
                    <w:jc w:val="center"/>
                    <w:rPr>
                      <w:color w:val="auto"/>
                      <w:highlight w:val="none"/>
                    </w:rPr>
                  </w:pPr>
                  <w:r>
                    <w:rPr>
                      <w:color w:val="auto"/>
                      <w:highlight w:val="none"/>
                    </w:rPr>
                    <w:t>序号</w:t>
                  </w:r>
                </w:p>
              </w:tc>
              <w:tc>
                <w:tcPr>
                  <w:tcW w:w="570" w:type="pct"/>
                  <w:vMerge w:val="restart"/>
                  <w:tcBorders>
                    <w:tl2br w:val="nil"/>
                    <w:tr2bl w:val="nil"/>
                  </w:tcBorders>
                  <w:vAlign w:val="center"/>
                </w:tcPr>
                <w:p w14:paraId="4B7D9766">
                  <w:pPr>
                    <w:jc w:val="center"/>
                    <w:rPr>
                      <w:color w:val="auto"/>
                      <w:highlight w:val="none"/>
                    </w:rPr>
                  </w:pPr>
                  <w:r>
                    <w:rPr>
                      <w:color w:val="auto"/>
                      <w:highlight w:val="none"/>
                    </w:rPr>
                    <w:t>建筑物名称</w:t>
                  </w:r>
                </w:p>
              </w:tc>
              <w:tc>
                <w:tcPr>
                  <w:tcW w:w="631" w:type="pct"/>
                  <w:vMerge w:val="restart"/>
                  <w:tcBorders>
                    <w:tl2br w:val="nil"/>
                    <w:tr2bl w:val="nil"/>
                  </w:tcBorders>
                  <w:vAlign w:val="center"/>
                </w:tcPr>
                <w:p w14:paraId="2C26059D">
                  <w:pPr>
                    <w:jc w:val="center"/>
                    <w:rPr>
                      <w:color w:val="auto"/>
                      <w:highlight w:val="none"/>
                    </w:rPr>
                  </w:pPr>
                  <w:r>
                    <w:rPr>
                      <w:color w:val="auto"/>
                      <w:highlight w:val="none"/>
                    </w:rPr>
                    <w:t>声源名称</w:t>
                  </w:r>
                </w:p>
              </w:tc>
              <w:tc>
                <w:tcPr>
                  <w:tcW w:w="1337" w:type="pct"/>
                  <w:gridSpan w:val="3"/>
                  <w:tcBorders>
                    <w:tl2br w:val="nil"/>
                    <w:tr2bl w:val="nil"/>
                  </w:tcBorders>
                  <w:vAlign w:val="center"/>
                </w:tcPr>
                <w:p w14:paraId="49B21E8B">
                  <w:pPr>
                    <w:jc w:val="center"/>
                    <w:rPr>
                      <w:color w:val="auto"/>
                      <w:highlight w:val="none"/>
                    </w:rPr>
                  </w:pPr>
                  <w:r>
                    <w:rPr>
                      <w:color w:val="auto"/>
                      <w:highlight w:val="none"/>
                    </w:rPr>
                    <w:t>空间相对位置/m</w:t>
                  </w:r>
                </w:p>
              </w:tc>
              <w:tc>
                <w:tcPr>
                  <w:tcW w:w="1051" w:type="pct"/>
                  <w:tcBorders>
                    <w:tl2br w:val="nil"/>
                    <w:tr2bl w:val="nil"/>
                  </w:tcBorders>
                  <w:vAlign w:val="center"/>
                </w:tcPr>
                <w:p w14:paraId="514A916A">
                  <w:pPr>
                    <w:jc w:val="center"/>
                    <w:rPr>
                      <w:color w:val="auto"/>
                      <w:highlight w:val="none"/>
                    </w:rPr>
                  </w:pPr>
                  <w:r>
                    <w:rPr>
                      <w:color w:val="auto"/>
                      <w:highlight w:val="none"/>
                    </w:rPr>
                    <w:t>声</w:t>
                  </w:r>
                  <w:r>
                    <w:rPr>
                      <w:rFonts w:hint="eastAsia"/>
                      <w:color w:val="auto"/>
                      <w:highlight w:val="none"/>
                      <w:lang w:eastAsia="zh-CN"/>
                    </w:rPr>
                    <w:t>源源</w:t>
                  </w:r>
                  <w:r>
                    <w:rPr>
                      <w:color w:val="auto"/>
                      <w:highlight w:val="none"/>
                    </w:rPr>
                    <w:t>强</w:t>
                  </w:r>
                </w:p>
              </w:tc>
              <w:tc>
                <w:tcPr>
                  <w:tcW w:w="650" w:type="pct"/>
                  <w:vMerge w:val="restart"/>
                  <w:tcBorders>
                    <w:tl2br w:val="nil"/>
                    <w:tr2bl w:val="nil"/>
                  </w:tcBorders>
                  <w:vAlign w:val="center"/>
                </w:tcPr>
                <w:p w14:paraId="34B95DF5">
                  <w:pPr>
                    <w:jc w:val="center"/>
                    <w:rPr>
                      <w:color w:val="auto"/>
                      <w:highlight w:val="none"/>
                    </w:rPr>
                  </w:pPr>
                  <w:r>
                    <w:rPr>
                      <w:color w:val="auto"/>
                      <w:highlight w:val="none"/>
                    </w:rPr>
                    <w:t>声源控制措施</w:t>
                  </w:r>
                </w:p>
              </w:tc>
              <w:tc>
                <w:tcPr>
                  <w:tcW w:w="455" w:type="pct"/>
                  <w:vMerge w:val="restart"/>
                  <w:tcBorders>
                    <w:tl2br w:val="nil"/>
                    <w:tr2bl w:val="nil"/>
                  </w:tcBorders>
                  <w:vAlign w:val="center"/>
                </w:tcPr>
                <w:p w14:paraId="465660A9">
                  <w:pPr>
                    <w:jc w:val="center"/>
                    <w:rPr>
                      <w:color w:val="auto"/>
                      <w:highlight w:val="none"/>
                    </w:rPr>
                  </w:pPr>
                  <w:r>
                    <w:rPr>
                      <w:color w:val="auto"/>
                      <w:highlight w:val="none"/>
                    </w:rPr>
                    <w:t>运行时段</w:t>
                  </w:r>
                </w:p>
              </w:tc>
            </w:tr>
            <w:tr w14:paraId="1482D3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4" w:type="pct"/>
                  <w:vMerge w:val="continue"/>
                  <w:tcBorders>
                    <w:tl2br w:val="nil"/>
                    <w:tr2bl w:val="nil"/>
                  </w:tcBorders>
                  <w:vAlign w:val="center"/>
                </w:tcPr>
                <w:p w14:paraId="43253385">
                  <w:pPr>
                    <w:jc w:val="center"/>
                    <w:rPr>
                      <w:color w:val="auto"/>
                      <w:highlight w:val="none"/>
                    </w:rPr>
                  </w:pPr>
                </w:p>
              </w:tc>
              <w:tc>
                <w:tcPr>
                  <w:tcW w:w="570" w:type="pct"/>
                  <w:vMerge w:val="continue"/>
                  <w:tcBorders>
                    <w:tl2br w:val="nil"/>
                    <w:tr2bl w:val="nil"/>
                  </w:tcBorders>
                  <w:vAlign w:val="center"/>
                </w:tcPr>
                <w:p w14:paraId="05363F46">
                  <w:pPr>
                    <w:jc w:val="center"/>
                    <w:rPr>
                      <w:color w:val="auto"/>
                      <w:highlight w:val="none"/>
                    </w:rPr>
                  </w:pPr>
                </w:p>
              </w:tc>
              <w:tc>
                <w:tcPr>
                  <w:tcW w:w="631" w:type="pct"/>
                  <w:vMerge w:val="continue"/>
                  <w:tcBorders>
                    <w:tl2br w:val="nil"/>
                    <w:tr2bl w:val="nil"/>
                  </w:tcBorders>
                  <w:vAlign w:val="center"/>
                </w:tcPr>
                <w:p w14:paraId="0D261EA0">
                  <w:pPr>
                    <w:jc w:val="center"/>
                    <w:rPr>
                      <w:color w:val="auto"/>
                      <w:highlight w:val="none"/>
                    </w:rPr>
                  </w:pPr>
                </w:p>
              </w:tc>
              <w:tc>
                <w:tcPr>
                  <w:tcW w:w="456" w:type="pct"/>
                  <w:tcBorders>
                    <w:tl2br w:val="nil"/>
                    <w:tr2bl w:val="nil"/>
                  </w:tcBorders>
                  <w:vAlign w:val="center"/>
                </w:tcPr>
                <w:p w14:paraId="0A718A77">
                  <w:pPr>
                    <w:jc w:val="center"/>
                    <w:rPr>
                      <w:color w:val="auto"/>
                      <w:highlight w:val="none"/>
                    </w:rPr>
                  </w:pPr>
                  <w:r>
                    <w:rPr>
                      <w:color w:val="auto"/>
                      <w:highlight w:val="none"/>
                    </w:rPr>
                    <w:t>X</w:t>
                  </w:r>
                </w:p>
              </w:tc>
              <w:tc>
                <w:tcPr>
                  <w:tcW w:w="464" w:type="pct"/>
                  <w:tcBorders>
                    <w:tl2br w:val="nil"/>
                    <w:tr2bl w:val="nil"/>
                  </w:tcBorders>
                  <w:vAlign w:val="center"/>
                </w:tcPr>
                <w:p w14:paraId="40D99C65">
                  <w:pPr>
                    <w:jc w:val="center"/>
                    <w:rPr>
                      <w:color w:val="auto"/>
                      <w:highlight w:val="none"/>
                    </w:rPr>
                  </w:pPr>
                  <w:r>
                    <w:rPr>
                      <w:color w:val="auto"/>
                      <w:highlight w:val="none"/>
                    </w:rPr>
                    <w:t>Y</w:t>
                  </w:r>
                </w:p>
              </w:tc>
              <w:tc>
                <w:tcPr>
                  <w:tcW w:w="416" w:type="pct"/>
                  <w:tcBorders>
                    <w:tl2br w:val="nil"/>
                    <w:tr2bl w:val="nil"/>
                  </w:tcBorders>
                  <w:vAlign w:val="center"/>
                </w:tcPr>
                <w:p w14:paraId="7751AC20">
                  <w:pPr>
                    <w:jc w:val="center"/>
                    <w:rPr>
                      <w:color w:val="auto"/>
                      <w:highlight w:val="none"/>
                    </w:rPr>
                  </w:pPr>
                  <w:r>
                    <w:rPr>
                      <w:color w:val="auto"/>
                      <w:highlight w:val="none"/>
                    </w:rPr>
                    <w:t>Z</w:t>
                  </w:r>
                </w:p>
              </w:tc>
              <w:tc>
                <w:tcPr>
                  <w:tcW w:w="1051" w:type="pct"/>
                  <w:tcBorders>
                    <w:tl2br w:val="nil"/>
                    <w:tr2bl w:val="nil"/>
                  </w:tcBorders>
                  <w:vAlign w:val="center"/>
                </w:tcPr>
                <w:p w14:paraId="134534E0">
                  <w:pPr>
                    <w:jc w:val="center"/>
                    <w:rPr>
                      <w:color w:val="auto"/>
                      <w:highlight w:val="none"/>
                    </w:rPr>
                  </w:pPr>
                  <w:r>
                    <w:rPr>
                      <w:color w:val="auto"/>
                      <w:highlight w:val="none"/>
                    </w:rPr>
                    <w:t>声功率计/dB（A）</w:t>
                  </w:r>
                </w:p>
              </w:tc>
              <w:tc>
                <w:tcPr>
                  <w:tcW w:w="650" w:type="pct"/>
                  <w:vMerge w:val="continue"/>
                  <w:tcBorders>
                    <w:tl2br w:val="nil"/>
                    <w:tr2bl w:val="nil"/>
                  </w:tcBorders>
                  <w:vAlign w:val="center"/>
                </w:tcPr>
                <w:p w14:paraId="610A228E">
                  <w:pPr>
                    <w:jc w:val="center"/>
                    <w:rPr>
                      <w:color w:val="auto"/>
                      <w:highlight w:val="none"/>
                    </w:rPr>
                  </w:pPr>
                </w:p>
              </w:tc>
              <w:tc>
                <w:tcPr>
                  <w:tcW w:w="455" w:type="pct"/>
                  <w:vMerge w:val="continue"/>
                  <w:tcBorders>
                    <w:tl2br w:val="nil"/>
                    <w:tr2bl w:val="nil"/>
                  </w:tcBorders>
                  <w:vAlign w:val="center"/>
                </w:tcPr>
                <w:p w14:paraId="5CDC8FBB">
                  <w:pPr>
                    <w:jc w:val="center"/>
                    <w:rPr>
                      <w:color w:val="auto"/>
                      <w:highlight w:val="none"/>
                    </w:rPr>
                  </w:pPr>
                </w:p>
              </w:tc>
            </w:tr>
            <w:tr w14:paraId="60D24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304" w:type="pct"/>
                  <w:tcBorders>
                    <w:tl2br w:val="nil"/>
                    <w:tr2bl w:val="nil"/>
                  </w:tcBorders>
                  <w:vAlign w:val="center"/>
                </w:tcPr>
                <w:p w14:paraId="79EE06D3">
                  <w:pPr>
                    <w:jc w:val="center"/>
                    <w:rPr>
                      <w:color w:val="auto"/>
                      <w:highlight w:val="none"/>
                    </w:rPr>
                  </w:pPr>
                  <w:r>
                    <w:rPr>
                      <w:color w:val="auto"/>
                      <w:highlight w:val="none"/>
                    </w:rPr>
                    <w:t>1</w:t>
                  </w:r>
                </w:p>
              </w:tc>
              <w:tc>
                <w:tcPr>
                  <w:tcW w:w="570" w:type="pct"/>
                  <w:tcBorders>
                    <w:tl2br w:val="nil"/>
                    <w:tr2bl w:val="nil"/>
                  </w:tcBorders>
                  <w:vAlign w:val="center"/>
                </w:tcPr>
                <w:p w14:paraId="3B88B3AE">
                  <w:pPr>
                    <w:jc w:val="center"/>
                    <w:rPr>
                      <w:color w:val="auto"/>
                      <w:kern w:val="0"/>
                      <w:szCs w:val="21"/>
                      <w:highlight w:val="none"/>
                    </w:rPr>
                  </w:pPr>
                  <w:r>
                    <w:rPr>
                      <w:rFonts w:hint="eastAsia"/>
                      <w:color w:val="auto"/>
                      <w:kern w:val="0"/>
                      <w:szCs w:val="21"/>
                      <w:highlight w:val="none"/>
                    </w:rPr>
                    <w:t>污水处理</w:t>
                  </w:r>
                </w:p>
              </w:tc>
              <w:tc>
                <w:tcPr>
                  <w:tcW w:w="631" w:type="pct"/>
                  <w:tcBorders>
                    <w:tl2br w:val="nil"/>
                    <w:tr2bl w:val="nil"/>
                  </w:tcBorders>
                  <w:vAlign w:val="center"/>
                </w:tcPr>
                <w:p w14:paraId="0661EAC3">
                  <w:pPr>
                    <w:jc w:val="center"/>
                    <w:rPr>
                      <w:color w:val="auto"/>
                      <w:highlight w:val="none"/>
                    </w:rPr>
                  </w:pPr>
                  <w:r>
                    <w:rPr>
                      <w:rFonts w:hint="eastAsia"/>
                      <w:color w:val="auto"/>
                      <w:highlight w:val="none"/>
                    </w:rPr>
                    <w:t>设备及风机</w:t>
                  </w:r>
                </w:p>
              </w:tc>
              <w:tc>
                <w:tcPr>
                  <w:tcW w:w="456" w:type="pct"/>
                  <w:tcBorders>
                    <w:tl2br w:val="nil"/>
                    <w:tr2bl w:val="nil"/>
                  </w:tcBorders>
                  <w:vAlign w:val="center"/>
                </w:tcPr>
                <w:p w14:paraId="7577F86E">
                  <w:pPr>
                    <w:jc w:val="center"/>
                    <w:rPr>
                      <w:color w:val="auto"/>
                      <w:highlight w:val="none"/>
                    </w:rPr>
                  </w:pPr>
                  <w:r>
                    <w:rPr>
                      <w:rFonts w:hint="eastAsia"/>
                      <w:color w:val="auto"/>
                      <w:highlight w:val="none"/>
                    </w:rPr>
                    <w:t>-25</w:t>
                  </w:r>
                </w:p>
              </w:tc>
              <w:tc>
                <w:tcPr>
                  <w:tcW w:w="464" w:type="pct"/>
                  <w:tcBorders>
                    <w:tl2br w:val="nil"/>
                    <w:tr2bl w:val="nil"/>
                  </w:tcBorders>
                  <w:vAlign w:val="center"/>
                </w:tcPr>
                <w:p w14:paraId="168279A4">
                  <w:pPr>
                    <w:jc w:val="center"/>
                    <w:rPr>
                      <w:color w:val="auto"/>
                      <w:highlight w:val="none"/>
                    </w:rPr>
                  </w:pPr>
                  <w:r>
                    <w:rPr>
                      <w:color w:val="auto"/>
                      <w:highlight w:val="none"/>
                    </w:rPr>
                    <w:t>-</w:t>
                  </w:r>
                  <w:r>
                    <w:rPr>
                      <w:rFonts w:hint="eastAsia"/>
                      <w:color w:val="auto"/>
                      <w:highlight w:val="none"/>
                    </w:rPr>
                    <w:t>0</w:t>
                  </w:r>
                </w:p>
              </w:tc>
              <w:tc>
                <w:tcPr>
                  <w:tcW w:w="416" w:type="pct"/>
                  <w:tcBorders>
                    <w:tl2br w:val="nil"/>
                    <w:tr2bl w:val="nil"/>
                  </w:tcBorders>
                  <w:vAlign w:val="center"/>
                </w:tcPr>
                <w:p w14:paraId="26814ECA">
                  <w:pPr>
                    <w:jc w:val="center"/>
                    <w:rPr>
                      <w:color w:val="auto"/>
                      <w:highlight w:val="none"/>
                    </w:rPr>
                  </w:pPr>
                  <w:r>
                    <w:rPr>
                      <w:color w:val="auto"/>
                      <w:highlight w:val="none"/>
                    </w:rPr>
                    <w:t>1</w:t>
                  </w:r>
                </w:p>
              </w:tc>
              <w:tc>
                <w:tcPr>
                  <w:tcW w:w="1051" w:type="pct"/>
                  <w:tcBorders>
                    <w:tl2br w:val="nil"/>
                    <w:tr2bl w:val="nil"/>
                  </w:tcBorders>
                  <w:vAlign w:val="center"/>
                </w:tcPr>
                <w:p w14:paraId="49B8566D">
                  <w:pPr>
                    <w:widowControl/>
                    <w:jc w:val="center"/>
                    <w:textAlignment w:val="bottom"/>
                    <w:rPr>
                      <w:color w:val="auto"/>
                      <w:highlight w:val="none"/>
                    </w:rPr>
                  </w:pPr>
                  <w:r>
                    <w:rPr>
                      <w:rFonts w:hint="eastAsia"/>
                      <w:color w:val="auto"/>
                      <w:highlight w:val="none"/>
                    </w:rPr>
                    <w:t>75</w:t>
                  </w:r>
                </w:p>
              </w:tc>
              <w:tc>
                <w:tcPr>
                  <w:tcW w:w="650" w:type="pct"/>
                  <w:tcBorders>
                    <w:tl2br w:val="nil"/>
                    <w:tr2bl w:val="nil"/>
                  </w:tcBorders>
                  <w:vAlign w:val="center"/>
                </w:tcPr>
                <w:p w14:paraId="3FD87288">
                  <w:pPr>
                    <w:jc w:val="center"/>
                    <w:rPr>
                      <w:color w:val="auto"/>
                      <w:highlight w:val="none"/>
                    </w:rPr>
                  </w:pPr>
                  <w:r>
                    <w:rPr>
                      <w:color w:val="auto"/>
                      <w:highlight w:val="none"/>
                    </w:rPr>
                    <w:t>选择低噪设备、基础减振</w:t>
                  </w:r>
                </w:p>
              </w:tc>
              <w:tc>
                <w:tcPr>
                  <w:tcW w:w="455" w:type="pct"/>
                  <w:tcBorders>
                    <w:tl2br w:val="nil"/>
                    <w:tr2bl w:val="nil"/>
                  </w:tcBorders>
                  <w:vAlign w:val="center"/>
                </w:tcPr>
                <w:p w14:paraId="6DAEAA90">
                  <w:pPr>
                    <w:jc w:val="center"/>
                    <w:rPr>
                      <w:color w:val="auto"/>
                      <w:highlight w:val="none"/>
                    </w:rPr>
                  </w:pPr>
                  <w:r>
                    <w:rPr>
                      <w:rFonts w:hint="eastAsia"/>
                      <w:color w:val="auto"/>
                      <w:highlight w:val="none"/>
                    </w:rPr>
                    <w:t>10h</w:t>
                  </w:r>
                </w:p>
              </w:tc>
            </w:tr>
          </w:tbl>
          <w:p w14:paraId="7E7C2CA6">
            <w:pPr>
              <w:snapToGrid w:val="0"/>
              <w:rPr>
                <w:color w:val="auto"/>
                <w:highlight w:val="none"/>
              </w:rPr>
            </w:pPr>
            <w:r>
              <w:rPr>
                <w:color w:val="auto"/>
                <w:highlight w:val="none"/>
              </w:rPr>
              <w:t>注：坐标原点为</w:t>
            </w:r>
            <w:r>
              <w:rPr>
                <w:rFonts w:hint="eastAsia"/>
                <w:color w:val="auto"/>
                <w:highlight w:val="none"/>
              </w:rPr>
              <w:t>建设项目中心</w:t>
            </w:r>
          </w:p>
          <w:p w14:paraId="7CC9CC18">
            <w:pPr>
              <w:snapToGrid w:val="0"/>
              <w:spacing w:line="360" w:lineRule="auto"/>
              <w:ind w:firstLine="480" w:firstLineChars="200"/>
              <w:rPr>
                <w:bCs/>
                <w:iCs/>
                <w:color w:val="auto"/>
                <w:sz w:val="24"/>
                <w:highlight w:val="none"/>
                <w:lang w:val="zh-CN"/>
              </w:rPr>
            </w:pPr>
          </w:p>
          <w:p w14:paraId="64A7B538">
            <w:pPr>
              <w:snapToGrid w:val="0"/>
              <w:spacing w:line="360" w:lineRule="auto"/>
              <w:ind w:firstLine="480" w:firstLineChars="200"/>
              <w:rPr>
                <w:bCs/>
                <w:iCs/>
                <w:color w:val="auto"/>
                <w:sz w:val="24"/>
                <w:highlight w:val="none"/>
              </w:rPr>
            </w:pPr>
            <w:r>
              <w:rPr>
                <w:rFonts w:hint="eastAsia"/>
                <w:bCs/>
                <w:iCs/>
                <w:color w:val="auto"/>
                <w:sz w:val="24"/>
                <w:highlight w:val="none"/>
                <w:lang w:val="zh-CN"/>
              </w:rPr>
              <w:t>（</w:t>
            </w:r>
            <w:r>
              <w:rPr>
                <w:rFonts w:hint="eastAsia"/>
                <w:bCs/>
                <w:iCs/>
                <w:color w:val="auto"/>
                <w:sz w:val="24"/>
                <w:highlight w:val="none"/>
              </w:rPr>
              <w:t>2</w:t>
            </w:r>
            <w:r>
              <w:rPr>
                <w:rFonts w:hint="eastAsia"/>
                <w:bCs/>
                <w:iCs/>
                <w:color w:val="auto"/>
                <w:sz w:val="24"/>
                <w:highlight w:val="none"/>
                <w:lang w:val="zh-CN"/>
              </w:rPr>
              <w:t>）</w:t>
            </w:r>
            <w:r>
              <w:rPr>
                <w:bCs/>
                <w:iCs/>
                <w:color w:val="auto"/>
                <w:sz w:val="24"/>
                <w:highlight w:val="none"/>
                <w:lang w:val="zh-CN"/>
              </w:rPr>
              <w:t>预测</w:t>
            </w:r>
            <w:r>
              <w:rPr>
                <w:bCs/>
                <w:iCs/>
                <w:color w:val="auto"/>
                <w:sz w:val="24"/>
                <w:highlight w:val="none"/>
              </w:rPr>
              <w:t>模式</w:t>
            </w:r>
          </w:p>
          <w:p w14:paraId="10E012F8">
            <w:pPr>
              <w:snapToGrid w:val="0"/>
              <w:spacing w:line="360" w:lineRule="auto"/>
              <w:ind w:firstLine="480" w:firstLineChars="200"/>
              <w:rPr>
                <w:color w:val="auto"/>
                <w:sz w:val="24"/>
                <w:highlight w:val="none"/>
              </w:rPr>
            </w:pPr>
            <w:r>
              <w:rPr>
                <w:color w:val="auto"/>
                <w:sz w:val="24"/>
                <w:highlight w:val="none"/>
              </w:rPr>
              <w:t>根据项目建设内容及《环境影响评价技术导则 声环境》（HJ2.4-2021）的要求，项目环评</w:t>
            </w:r>
            <w:r>
              <w:rPr>
                <w:rFonts w:hint="eastAsia"/>
                <w:color w:val="auto"/>
                <w:sz w:val="24"/>
                <w:highlight w:val="none"/>
                <w:lang w:eastAsia="zh-CN"/>
              </w:rPr>
              <w:t>采用</w:t>
            </w:r>
            <w:r>
              <w:rPr>
                <w:color w:val="auto"/>
                <w:sz w:val="24"/>
                <w:highlight w:val="none"/>
              </w:rPr>
              <w:t>石家庄环安科技有限公司研发的环安噪声环境影响评价系统。该系统计算工业噪声时采用的模型为《环境影响评价技术导则 声环境》（HJ2.4-2021）附录B（规范性附录）中</w:t>
            </w:r>
            <w:r>
              <w:rPr>
                <w:rFonts w:hint="eastAsia"/>
                <w:color w:val="auto"/>
                <w:sz w:val="24"/>
                <w:highlight w:val="none"/>
              </w:rPr>
              <w:t>“</w:t>
            </w:r>
            <w:r>
              <w:rPr>
                <w:color w:val="auto"/>
                <w:sz w:val="24"/>
                <w:highlight w:val="none"/>
              </w:rPr>
              <w:t>B.1工业噪声预测计算模型</w:t>
            </w:r>
            <w:r>
              <w:rPr>
                <w:rFonts w:hint="eastAsia"/>
                <w:color w:val="auto"/>
                <w:sz w:val="24"/>
                <w:highlight w:val="none"/>
              </w:rPr>
              <w:t>”</w:t>
            </w:r>
            <w:r>
              <w:rPr>
                <w:color w:val="auto"/>
                <w:sz w:val="24"/>
                <w:highlight w:val="none"/>
              </w:rPr>
              <w:t>。预测项目运营期厂界噪声</w:t>
            </w:r>
            <w:r>
              <w:rPr>
                <w:rFonts w:hint="eastAsia"/>
                <w:color w:val="auto"/>
                <w:sz w:val="24"/>
                <w:highlight w:val="none"/>
              </w:rPr>
              <w:t>预测值及环境保护目标预测值</w:t>
            </w:r>
            <w:r>
              <w:rPr>
                <w:color w:val="auto"/>
                <w:sz w:val="24"/>
                <w:highlight w:val="none"/>
              </w:rPr>
              <w:t>，评价其超标和达标情况。</w:t>
            </w:r>
          </w:p>
          <w:p w14:paraId="7F445D9A">
            <w:pPr>
              <w:pStyle w:val="13"/>
              <w:rPr>
                <w:color w:val="auto"/>
                <w:highlight w:val="none"/>
              </w:rPr>
            </w:pPr>
            <w:r>
              <w:rPr>
                <w:color w:val="auto"/>
                <w:highlight w:val="none"/>
              </w:rPr>
              <w:t>厂界噪声预测结果详见下表。</w:t>
            </w:r>
          </w:p>
          <w:p w14:paraId="1859A520">
            <w:pPr>
              <w:adjustRightInd w:val="0"/>
              <w:snapToGrid w:val="0"/>
              <w:jc w:val="center"/>
              <w:rPr>
                <w:b/>
                <w:color w:val="auto"/>
                <w:sz w:val="24"/>
                <w:highlight w:val="none"/>
              </w:rPr>
            </w:pPr>
            <w:r>
              <w:rPr>
                <w:rFonts w:hint="eastAsia"/>
                <w:b/>
                <w:color w:val="auto"/>
                <w:sz w:val="24"/>
                <w:highlight w:val="none"/>
              </w:rPr>
              <w:t>表</w:t>
            </w:r>
            <w:r>
              <w:rPr>
                <w:b/>
                <w:color w:val="auto"/>
                <w:sz w:val="24"/>
                <w:highlight w:val="none"/>
              </w:rPr>
              <w:t>4-</w:t>
            </w:r>
            <w:r>
              <w:rPr>
                <w:rFonts w:hint="eastAsia"/>
                <w:b/>
                <w:color w:val="auto"/>
                <w:sz w:val="24"/>
                <w:highlight w:val="none"/>
              </w:rPr>
              <w:t>11</w:t>
            </w:r>
            <w:r>
              <w:rPr>
                <w:b/>
                <w:color w:val="auto"/>
                <w:sz w:val="24"/>
                <w:highlight w:val="none"/>
              </w:rPr>
              <w:t xml:space="preserve"> 厂界噪声预测结果与达标分析表 单位：dB（A）</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610"/>
              <w:gridCol w:w="1833"/>
              <w:gridCol w:w="1834"/>
              <w:gridCol w:w="1834"/>
              <w:gridCol w:w="1304"/>
            </w:tblGrid>
            <w:tr w14:paraId="68B32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9" w:hRule="atLeast"/>
                <w:jc w:val="center"/>
              </w:trPr>
              <w:tc>
                <w:tcPr>
                  <w:tcW w:w="956" w:type="pct"/>
                  <w:tcMar>
                    <w:top w:w="15" w:type="dxa"/>
                    <w:left w:w="15" w:type="dxa"/>
                    <w:right w:w="15" w:type="dxa"/>
                  </w:tcMar>
                  <w:vAlign w:val="center"/>
                </w:tcPr>
                <w:p w14:paraId="4220866E">
                  <w:pPr>
                    <w:widowControl/>
                    <w:jc w:val="center"/>
                    <w:textAlignment w:val="center"/>
                    <w:rPr>
                      <w:color w:val="auto"/>
                      <w:szCs w:val="21"/>
                      <w:highlight w:val="none"/>
                    </w:rPr>
                  </w:pPr>
                  <w:r>
                    <w:rPr>
                      <w:color w:val="auto"/>
                      <w:kern w:val="0"/>
                      <w:szCs w:val="21"/>
                      <w:highlight w:val="none"/>
                      <w:lang w:bidi="ar"/>
                    </w:rPr>
                    <w:t>厂界</w:t>
                  </w:r>
                </w:p>
              </w:tc>
              <w:tc>
                <w:tcPr>
                  <w:tcW w:w="1088" w:type="pct"/>
                  <w:tcMar>
                    <w:top w:w="15" w:type="dxa"/>
                    <w:left w:w="15" w:type="dxa"/>
                    <w:right w:w="15" w:type="dxa"/>
                  </w:tcMar>
                  <w:vAlign w:val="center"/>
                </w:tcPr>
                <w:p w14:paraId="74D20093">
                  <w:pPr>
                    <w:widowControl/>
                    <w:jc w:val="center"/>
                    <w:textAlignment w:val="center"/>
                    <w:rPr>
                      <w:color w:val="auto"/>
                      <w:szCs w:val="21"/>
                      <w:highlight w:val="none"/>
                    </w:rPr>
                  </w:pPr>
                  <w:r>
                    <w:rPr>
                      <w:color w:val="auto"/>
                      <w:kern w:val="0"/>
                      <w:szCs w:val="21"/>
                      <w:highlight w:val="none"/>
                      <w:lang w:bidi="ar"/>
                    </w:rPr>
                    <w:t>时段</w:t>
                  </w:r>
                </w:p>
              </w:tc>
              <w:tc>
                <w:tcPr>
                  <w:tcW w:w="1089" w:type="pct"/>
                  <w:tcMar>
                    <w:top w:w="15" w:type="dxa"/>
                    <w:left w:w="15" w:type="dxa"/>
                    <w:right w:w="15" w:type="dxa"/>
                  </w:tcMar>
                  <w:vAlign w:val="center"/>
                </w:tcPr>
                <w:p w14:paraId="376D06B5">
                  <w:pPr>
                    <w:widowControl/>
                    <w:jc w:val="center"/>
                    <w:textAlignment w:val="center"/>
                    <w:rPr>
                      <w:color w:val="auto"/>
                      <w:szCs w:val="21"/>
                      <w:highlight w:val="none"/>
                    </w:rPr>
                  </w:pPr>
                  <w:r>
                    <w:rPr>
                      <w:color w:val="auto"/>
                      <w:kern w:val="0"/>
                      <w:szCs w:val="21"/>
                      <w:highlight w:val="none"/>
                      <w:lang w:bidi="ar"/>
                    </w:rPr>
                    <w:t>贡献值</w:t>
                  </w:r>
                </w:p>
              </w:tc>
              <w:tc>
                <w:tcPr>
                  <w:tcW w:w="1089" w:type="pct"/>
                  <w:tcMar>
                    <w:top w:w="15" w:type="dxa"/>
                    <w:left w:w="15" w:type="dxa"/>
                    <w:right w:w="15" w:type="dxa"/>
                  </w:tcMar>
                  <w:vAlign w:val="center"/>
                </w:tcPr>
                <w:p w14:paraId="6CA7189B">
                  <w:pPr>
                    <w:widowControl/>
                    <w:jc w:val="center"/>
                    <w:textAlignment w:val="center"/>
                    <w:rPr>
                      <w:color w:val="auto"/>
                      <w:szCs w:val="21"/>
                      <w:highlight w:val="none"/>
                    </w:rPr>
                  </w:pPr>
                  <w:r>
                    <w:rPr>
                      <w:color w:val="auto"/>
                      <w:kern w:val="0"/>
                      <w:szCs w:val="21"/>
                      <w:highlight w:val="none"/>
                      <w:lang w:bidi="ar"/>
                    </w:rPr>
                    <w:t>标准值</w:t>
                  </w:r>
                </w:p>
              </w:tc>
              <w:tc>
                <w:tcPr>
                  <w:tcW w:w="775" w:type="pct"/>
                  <w:tcMar>
                    <w:top w:w="15" w:type="dxa"/>
                    <w:left w:w="15" w:type="dxa"/>
                    <w:right w:w="15" w:type="dxa"/>
                  </w:tcMar>
                  <w:vAlign w:val="center"/>
                </w:tcPr>
                <w:p w14:paraId="6167DDC1">
                  <w:pPr>
                    <w:widowControl/>
                    <w:jc w:val="center"/>
                    <w:textAlignment w:val="center"/>
                    <w:rPr>
                      <w:color w:val="auto"/>
                      <w:szCs w:val="21"/>
                      <w:highlight w:val="none"/>
                    </w:rPr>
                  </w:pPr>
                  <w:r>
                    <w:rPr>
                      <w:color w:val="auto"/>
                      <w:kern w:val="0"/>
                      <w:szCs w:val="21"/>
                      <w:highlight w:val="none"/>
                      <w:lang w:bidi="ar"/>
                    </w:rPr>
                    <w:t>结论</w:t>
                  </w:r>
                </w:p>
              </w:tc>
            </w:tr>
            <w:tr w14:paraId="6600E3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956" w:type="pct"/>
                  <w:vMerge w:val="restart"/>
                  <w:tcMar>
                    <w:top w:w="15" w:type="dxa"/>
                    <w:left w:w="15" w:type="dxa"/>
                    <w:right w:w="15" w:type="dxa"/>
                  </w:tcMar>
                  <w:vAlign w:val="center"/>
                </w:tcPr>
                <w:p w14:paraId="3B0ED8C2">
                  <w:pPr>
                    <w:widowControl/>
                    <w:jc w:val="center"/>
                    <w:textAlignment w:val="center"/>
                    <w:rPr>
                      <w:color w:val="auto"/>
                      <w:szCs w:val="21"/>
                      <w:highlight w:val="none"/>
                    </w:rPr>
                  </w:pPr>
                  <w:r>
                    <w:rPr>
                      <w:color w:val="auto"/>
                      <w:szCs w:val="21"/>
                      <w:highlight w:val="none"/>
                    </w:rPr>
                    <w:t>东</w:t>
                  </w:r>
                  <w:r>
                    <w:rPr>
                      <w:color w:val="auto"/>
                      <w:kern w:val="0"/>
                      <w:szCs w:val="21"/>
                      <w:highlight w:val="none"/>
                      <w:lang w:bidi="ar"/>
                    </w:rPr>
                    <w:t>厂界</w:t>
                  </w:r>
                </w:p>
              </w:tc>
              <w:tc>
                <w:tcPr>
                  <w:tcW w:w="1088" w:type="pct"/>
                  <w:tcMar>
                    <w:top w:w="15" w:type="dxa"/>
                    <w:left w:w="15" w:type="dxa"/>
                    <w:right w:w="15" w:type="dxa"/>
                  </w:tcMar>
                  <w:vAlign w:val="center"/>
                </w:tcPr>
                <w:p w14:paraId="439E5BC6">
                  <w:pPr>
                    <w:widowControl/>
                    <w:jc w:val="center"/>
                    <w:textAlignment w:val="center"/>
                    <w:rPr>
                      <w:color w:val="auto"/>
                      <w:szCs w:val="21"/>
                      <w:highlight w:val="none"/>
                    </w:rPr>
                  </w:pPr>
                  <w:r>
                    <w:rPr>
                      <w:color w:val="auto"/>
                      <w:kern w:val="0"/>
                      <w:szCs w:val="21"/>
                      <w:highlight w:val="none"/>
                      <w:lang w:bidi="ar"/>
                    </w:rPr>
                    <w:t>昼间</w:t>
                  </w:r>
                </w:p>
              </w:tc>
              <w:tc>
                <w:tcPr>
                  <w:tcW w:w="1089" w:type="pct"/>
                  <w:tcMar>
                    <w:top w:w="15" w:type="dxa"/>
                    <w:left w:w="15" w:type="dxa"/>
                    <w:right w:w="15" w:type="dxa"/>
                  </w:tcMar>
                  <w:vAlign w:val="center"/>
                </w:tcPr>
                <w:p w14:paraId="2D3397D8">
                  <w:pPr>
                    <w:widowControl/>
                    <w:jc w:val="center"/>
                    <w:textAlignment w:val="center"/>
                    <w:rPr>
                      <w:color w:val="auto"/>
                      <w:szCs w:val="21"/>
                      <w:highlight w:val="none"/>
                    </w:rPr>
                  </w:pPr>
                  <w:r>
                    <w:rPr>
                      <w:rFonts w:hint="eastAsia"/>
                      <w:color w:val="auto"/>
                      <w:highlight w:val="none"/>
                    </w:rPr>
                    <w:t>30.85</w:t>
                  </w:r>
                </w:p>
              </w:tc>
              <w:tc>
                <w:tcPr>
                  <w:tcW w:w="1089" w:type="pct"/>
                  <w:tcMar>
                    <w:top w:w="15" w:type="dxa"/>
                    <w:left w:w="15" w:type="dxa"/>
                    <w:right w:w="15" w:type="dxa"/>
                  </w:tcMar>
                  <w:vAlign w:val="center"/>
                </w:tcPr>
                <w:p w14:paraId="2F54F5F0">
                  <w:pPr>
                    <w:widowControl/>
                    <w:jc w:val="center"/>
                    <w:textAlignment w:val="center"/>
                    <w:rPr>
                      <w:color w:val="auto"/>
                      <w:szCs w:val="21"/>
                      <w:highlight w:val="none"/>
                    </w:rPr>
                  </w:pPr>
                  <w:r>
                    <w:rPr>
                      <w:rFonts w:hint="eastAsia"/>
                      <w:color w:val="auto"/>
                      <w:kern w:val="0"/>
                      <w:szCs w:val="21"/>
                      <w:highlight w:val="none"/>
                      <w:lang w:bidi="ar"/>
                    </w:rPr>
                    <w:t>60</w:t>
                  </w:r>
                </w:p>
              </w:tc>
              <w:tc>
                <w:tcPr>
                  <w:tcW w:w="775" w:type="pct"/>
                  <w:tcMar>
                    <w:top w:w="15" w:type="dxa"/>
                    <w:left w:w="15" w:type="dxa"/>
                    <w:right w:w="15" w:type="dxa"/>
                  </w:tcMar>
                  <w:vAlign w:val="center"/>
                </w:tcPr>
                <w:p w14:paraId="696BC211">
                  <w:pPr>
                    <w:widowControl/>
                    <w:jc w:val="center"/>
                    <w:textAlignment w:val="center"/>
                    <w:rPr>
                      <w:color w:val="auto"/>
                      <w:szCs w:val="21"/>
                      <w:highlight w:val="none"/>
                    </w:rPr>
                  </w:pPr>
                  <w:r>
                    <w:rPr>
                      <w:color w:val="auto"/>
                      <w:kern w:val="0"/>
                      <w:szCs w:val="21"/>
                      <w:highlight w:val="none"/>
                      <w:lang w:bidi="ar"/>
                    </w:rPr>
                    <w:t>达标</w:t>
                  </w:r>
                </w:p>
              </w:tc>
            </w:tr>
            <w:tr w14:paraId="741090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956" w:type="pct"/>
                  <w:vMerge w:val="continue"/>
                  <w:tcMar>
                    <w:top w:w="15" w:type="dxa"/>
                    <w:left w:w="15" w:type="dxa"/>
                    <w:right w:w="15" w:type="dxa"/>
                  </w:tcMar>
                  <w:vAlign w:val="center"/>
                </w:tcPr>
                <w:p w14:paraId="4B2E84A9">
                  <w:pPr>
                    <w:widowControl/>
                    <w:jc w:val="center"/>
                    <w:textAlignment w:val="center"/>
                    <w:rPr>
                      <w:color w:val="auto"/>
                      <w:szCs w:val="21"/>
                      <w:highlight w:val="none"/>
                    </w:rPr>
                  </w:pPr>
                </w:p>
              </w:tc>
              <w:tc>
                <w:tcPr>
                  <w:tcW w:w="1088" w:type="pct"/>
                  <w:tcMar>
                    <w:top w:w="15" w:type="dxa"/>
                    <w:left w:w="15" w:type="dxa"/>
                    <w:right w:w="15" w:type="dxa"/>
                  </w:tcMar>
                  <w:vAlign w:val="center"/>
                </w:tcPr>
                <w:p w14:paraId="52A4128C">
                  <w:pPr>
                    <w:widowControl/>
                    <w:jc w:val="center"/>
                    <w:textAlignment w:val="center"/>
                    <w:rPr>
                      <w:color w:val="auto"/>
                      <w:kern w:val="0"/>
                      <w:szCs w:val="21"/>
                      <w:highlight w:val="none"/>
                      <w:lang w:bidi="ar"/>
                    </w:rPr>
                  </w:pPr>
                  <w:r>
                    <w:rPr>
                      <w:rFonts w:hint="eastAsia"/>
                      <w:color w:val="auto"/>
                      <w:kern w:val="0"/>
                      <w:szCs w:val="21"/>
                      <w:highlight w:val="none"/>
                      <w:lang w:bidi="ar"/>
                    </w:rPr>
                    <w:t>夜间</w:t>
                  </w:r>
                </w:p>
              </w:tc>
              <w:tc>
                <w:tcPr>
                  <w:tcW w:w="1089" w:type="pct"/>
                  <w:tcMar>
                    <w:top w:w="15" w:type="dxa"/>
                    <w:left w:w="15" w:type="dxa"/>
                    <w:right w:w="15" w:type="dxa"/>
                  </w:tcMar>
                  <w:vAlign w:val="center"/>
                </w:tcPr>
                <w:p w14:paraId="7B6865D0">
                  <w:pPr>
                    <w:widowControl/>
                    <w:jc w:val="center"/>
                    <w:textAlignment w:val="center"/>
                    <w:rPr>
                      <w:color w:val="auto"/>
                      <w:highlight w:val="none"/>
                    </w:rPr>
                  </w:pPr>
                  <w:r>
                    <w:rPr>
                      <w:rFonts w:hint="eastAsia"/>
                      <w:color w:val="auto"/>
                      <w:highlight w:val="none"/>
                    </w:rPr>
                    <w:t>30.85</w:t>
                  </w:r>
                </w:p>
              </w:tc>
              <w:tc>
                <w:tcPr>
                  <w:tcW w:w="1089" w:type="pct"/>
                  <w:tcMar>
                    <w:top w:w="15" w:type="dxa"/>
                    <w:left w:w="15" w:type="dxa"/>
                    <w:right w:w="15" w:type="dxa"/>
                  </w:tcMar>
                  <w:vAlign w:val="center"/>
                </w:tcPr>
                <w:p w14:paraId="6F16DE69">
                  <w:pPr>
                    <w:widowControl/>
                    <w:jc w:val="center"/>
                    <w:textAlignment w:val="center"/>
                    <w:rPr>
                      <w:color w:val="auto"/>
                      <w:kern w:val="0"/>
                      <w:szCs w:val="21"/>
                      <w:highlight w:val="none"/>
                      <w:lang w:bidi="ar"/>
                    </w:rPr>
                  </w:pPr>
                  <w:r>
                    <w:rPr>
                      <w:rFonts w:hint="eastAsia"/>
                      <w:color w:val="auto"/>
                      <w:kern w:val="0"/>
                      <w:szCs w:val="21"/>
                      <w:highlight w:val="none"/>
                      <w:lang w:bidi="ar"/>
                    </w:rPr>
                    <w:t>50</w:t>
                  </w:r>
                </w:p>
              </w:tc>
              <w:tc>
                <w:tcPr>
                  <w:tcW w:w="775" w:type="pct"/>
                  <w:tcMar>
                    <w:top w:w="15" w:type="dxa"/>
                    <w:left w:w="15" w:type="dxa"/>
                    <w:right w:w="15" w:type="dxa"/>
                  </w:tcMar>
                  <w:vAlign w:val="center"/>
                </w:tcPr>
                <w:p w14:paraId="5B5F5A1A">
                  <w:pPr>
                    <w:widowControl/>
                    <w:jc w:val="center"/>
                    <w:textAlignment w:val="center"/>
                    <w:rPr>
                      <w:color w:val="auto"/>
                      <w:kern w:val="0"/>
                      <w:szCs w:val="21"/>
                      <w:highlight w:val="none"/>
                      <w:lang w:bidi="ar"/>
                    </w:rPr>
                  </w:pPr>
                  <w:r>
                    <w:rPr>
                      <w:color w:val="auto"/>
                      <w:kern w:val="0"/>
                      <w:szCs w:val="21"/>
                      <w:highlight w:val="none"/>
                      <w:lang w:bidi="ar"/>
                    </w:rPr>
                    <w:t>达标</w:t>
                  </w:r>
                </w:p>
              </w:tc>
            </w:tr>
            <w:tr w14:paraId="6FF528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956" w:type="pct"/>
                  <w:vMerge w:val="restart"/>
                  <w:tcMar>
                    <w:top w:w="15" w:type="dxa"/>
                    <w:left w:w="15" w:type="dxa"/>
                    <w:right w:w="15" w:type="dxa"/>
                  </w:tcMar>
                  <w:vAlign w:val="center"/>
                </w:tcPr>
                <w:p w14:paraId="3A7CD9A7">
                  <w:pPr>
                    <w:widowControl/>
                    <w:jc w:val="center"/>
                    <w:textAlignment w:val="center"/>
                    <w:rPr>
                      <w:color w:val="auto"/>
                      <w:szCs w:val="21"/>
                      <w:highlight w:val="none"/>
                    </w:rPr>
                  </w:pPr>
                  <w:r>
                    <w:rPr>
                      <w:color w:val="auto"/>
                      <w:szCs w:val="21"/>
                      <w:highlight w:val="none"/>
                    </w:rPr>
                    <w:t>南</w:t>
                  </w:r>
                  <w:r>
                    <w:rPr>
                      <w:color w:val="auto"/>
                      <w:kern w:val="0"/>
                      <w:szCs w:val="21"/>
                      <w:highlight w:val="none"/>
                      <w:lang w:bidi="ar"/>
                    </w:rPr>
                    <w:t>厂界</w:t>
                  </w:r>
                </w:p>
              </w:tc>
              <w:tc>
                <w:tcPr>
                  <w:tcW w:w="1831" w:type="dxa"/>
                  <w:tcMar>
                    <w:top w:w="15" w:type="dxa"/>
                    <w:left w:w="15" w:type="dxa"/>
                    <w:right w:w="15" w:type="dxa"/>
                  </w:tcMar>
                  <w:vAlign w:val="center"/>
                </w:tcPr>
                <w:p w14:paraId="62B6A2EC">
                  <w:pPr>
                    <w:widowControl/>
                    <w:jc w:val="center"/>
                    <w:textAlignment w:val="center"/>
                    <w:rPr>
                      <w:color w:val="auto"/>
                      <w:szCs w:val="21"/>
                      <w:highlight w:val="none"/>
                    </w:rPr>
                  </w:pPr>
                  <w:r>
                    <w:rPr>
                      <w:color w:val="auto"/>
                      <w:kern w:val="0"/>
                      <w:szCs w:val="21"/>
                      <w:highlight w:val="none"/>
                      <w:lang w:bidi="ar"/>
                    </w:rPr>
                    <w:t>昼间</w:t>
                  </w:r>
                </w:p>
              </w:tc>
              <w:tc>
                <w:tcPr>
                  <w:tcW w:w="1089" w:type="pct"/>
                  <w:tcMar>
                    <w:top w:w="15" w:type="dxa"/>
                    <w:left w:w="15" w:type="dxa"/>
                    <w:right w:w="15" w:type="dxa"/>
                  </w:tcMar>
                  <w:vAlign w:val="center"/>
                </w:tcPr>
                <w:p w14:paraId="13952DF9">
                  <w:pPr>
                    <w:widowControl/>
                    <w:jc w:val="center"/>
                    <w:textAlignment w:val="center"/>
                    <w:rPr>
                      <w:color w:val="auto"/>
                      <w:highlight w:val="none"/>
                    </w:rPr>
                  </w:pPr>
                  <w:r>
                    <w:rPr>
                      <w:rFonts w:hint="eastAsia"/>
                      <w:color w:val="auto"/>
                      <w:highlight w:val="none"/>
                    </w:rPr>
                    <w:t>44.17</w:t>
                  </w:r>
                </w:p>
              </w:tc>
              <w:tc>
                <w:tcPr>
                  <w:tcW w:w="1832" w:type="dxa"/>
                  <w:tcMar>
                    <w:top w:w="15" w:type="dxa"/>
                    <w:left w:w="15" w:type="dxa"/>
                    <w:right w:w="15" w:type="dxa"/>
                  </w:tcMar>
                  <w:vAlign w:val="center"/>
                </w:tcPr>
                <w:p w14:paraId="5D11750F">
                  <w:pPr>
                    <w:widowControl/>
                    <w:jc w:val="center"/>
                    <w:textAlignment w:val="center"/>
                    <w:rPr>
                      <w:color w:val="auto"/>
                      <w:kern w:val="0"/>
                      <w:szCs w:val="21"/>
                      <w:highlight w:val="none"/>
                      <w:lang w:bidi="ar"/>
                    </w:rPr>
                  </w:pPr>
                  <w:r>
                    <w:rPr>
                      <w:rFonts w:hint="eastAsia"/>
                      <w:color w:val="auto"/>
                      <w:kern w:val="0"/>
                      <w:szCs w:val="21"/>
                      <w:highlight w:val="none"/>
                      <w:lang w:bidi="ar"/>
                    </w:rPr>
                    <w:t>60</w:t>
                  </w:r>
                </w:p>
              </w:tc>
              <w:tc>
                <w:tcPr>
                  <w:tcW w:w="775" w:type="pct"/>
                  <w:tcMar>
                    <w:top w:w="15" w:type="dxa"/>
                    <w:left w:w="15" w:type="dxa"/>
                    <w:right w:w="15" w:type="dxa"/>
                  </w:tcMar>
                  <w:vAlign w:val="center"/>
                </w:tcPr>
                <w:p w14:paraId="01C4A4DB">
                  <w:pPr>
                    <w:widowControl/>
                    <w:jc w:val="center"/>
                    <w:textAlignment w:val="center"/>
                    <w:rPr>
                      <w:color w:val="auto"/>
                      <w:kern w:val="0"/>
                      <w:szCs w:val="21"/>
                      <w:highlight w:val="none"/>
                      <w:lang w:bidi="ar"/>
                    </w:rPr>
                  </w:pPr>
                  <w:r>
                    <w:rPr>
                      <w:color w:val="auto"/>
                      <w:kern w:val="0"/>
                      <w:szCs w:val="21"/>
                      <w:highlight w:val="none"/>
                      <w:lang w:bidi="ar"/>
                    </w:rPr>
                    <w:t>达标</w:t>
                  </w:r>
                </w:p>
              </w:tc>
            </w:tr>
            <w:tr w14:paraId="7AD307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956" w:type="pct"/>
                  <w:vMerge w:val="continue"/>
                  <w:tcMar>
                    <w:top w:w="15" w:type="dxa"/>
                    <w:left w:w="15" w:type="dxa"/>
                    <w:right w:w="15" w:type="dxa"/>
                  </w:tcMar>
                  <w:vAlign w:val="center"/>
                </w:tcPr>
                <w:p w14:paraId="2B18A590">
                  <w:pPr>
                    <w:widowControl/>
                    <w:jc w:val="center"/>
                    <w:textAlignment w:val="center"/>
                    <w:rPr>
                      <w:color w:val="auto"/>
                      <w:szCs w:val="21"/>
                      <w:highlight w:val="none"/>
                    </w:rPr>
                  </w:pPr>
                </w:p>
              </w:tc>
              <w:tc>
                <w:tcPr>
                  <w:tcW w:w="1831" w:type="dxa"/>
                  <w:tcMar>
                    <w:top w:w="15" w:type="dxa"/>
                    <w:left w:w="15" w:type="dxa"/>
                    <w:right w:w="15" w:type="dxa"/>
                  </w:tcMar>
                  <w:vAlign w:val="center"/>
                </w:tcPr>
                <w:p w14:paraId="6B9452B6">
                  <w:pPr>
                    <w:widowControl/>
                    <w:jc w:val="center"/>
                    <w:textAlignment w:val="center"/>
                    <w:rPr>
                      <w:color w:val="auto"/>
                      <w:kern w:val="0"/>
                      <w:szCs w:val="21"/>
                      <w:highlight w:val="none"/>
                      <w:lang w:bidi="ar"/>
                    </w:rPr>
                  </w:pPr>
                  <w:r>
                    <w:rPr>
                      <w:rFonts w:hint="eastAsia"/>
                      <w:color w:val="auto"/>
                      <w:kern w:val="0"/>
                      <w:szCs w:val="21"/>
                      <w:highlight w:val="none"/>
                      <w:lang w:bidi="ar"/>
                    </w:rPr>
                    <w:t>夜间</w:t>
                  </w:r>
                </w:p>
              </w:tc>
              <w:tc>
                <w:tcPr>
                  <w:tcW w:w="1089" w:type="pct"/>
                  <w:tcMar>
                    <w:top w:w="15" w:type="dxa"/>
                    <w:left w:w="15" w:type="dxa"/>
                    <w:right w:w="15" w:type="dxa"/>
                  </w:tcMar>
                  <w:vAlign w:val="center"/>
                </w:tcPr>
                <w:p w14:paraId="3436024F">
                  <w:pPr>
                    <w:widowControl/>
                    <w:jc w:val="center"/>
                    <w:textAlignment w:val="center"/>
                    <w:rPr>
                      <w:color w:val="auto"/>
                      <w:highlight w:val="none"/>
                    </w:rPr>
                  </w:pPr>
                  <w:r>
                    <w:rPr>
                      <w:rFonts w:hint="eastAsia"/>
                      <w:color w:val="auto"/>
                      <w:highlight w:val="none"/>
                    </w:rPr>
                    <w:t>44.17</w:t>
                  </w:r>
                </w:p>
              </w:tc>
              <w:tc>
                <w:tcPr>
                  <w:tcW w:w="1832" w:type="dxa"/>
                  <w:tcMar>
                    <w:top w:w="15" w:type="dxa"/>
                    <w:left w:w="15" w:type="dxa"/>
                    <w:right w:w="15" w:type="dxa"/>
                  </w:tcMar>
                  <w:vAlign w:val="center"/>
                </w:tcPr>
                <w:p w14:paraId="170363A6">
                  <w:pPr>
                    <w:widowControl/>
                    <w:jc w:val="center"/>
                    <w:textAlignment w:val="center"/>
                    <w:rPr>
                      <w:color w:val="auto"/>
                      <w:kern w:val="0"/>
                      <w:szCs w:val="21"/>
                      <w:highlight w:val="none"/>
                      <w:lang w:bidi="ar"/>
                    </w:rPr>
                  </w:pPr>
                  <w:r>
                    <w:rPr>
                      <w:rFonts w:hint="eastAsia"/>
                      <w:color w:val="auto"/>
                      <w:kern w:val="0"/>
                      <w:szCs w:val="21"/>
                      <w:highlight w:val="none"/>
                      <w:lang w:bidi="ar"/>
                    </w:rPr>
                    <w:t>50</w:t>
                  </w:r>
                </w:p>
              </w:tc>
              <w:tc>
                <w:tcPr>
                  <w:tcW w:w="775" w:type="pct"/>
                  <w:tcMar>
                    <w:top w:w="15" w:type="dxa"/>
                    <w:left w:w="15" w:type="dxa"/>
                    <w:right w:w="15" w:type="dxa"/>
                  </w:tcMar>
                  <w:vAlign w:val="center"/>
                </w:tcPr>
                <w:p w14:paraId="78128DB3">
                  <w:pPr>
                    <w:widowControl/>
                    <w:jc w:val="center"/>
                    <w:textAlignment w:val="center"/>
                    <w:rPr>
                      <w:color w:val="auto"/>
                      <w:kern w:val="0"/>
                      <w:szCs w:val="21"/>
                      <w:highlight w:val="none"/>
                      <w:lang w:bidi="ar"/>
                    </w:rPr>
                  </w:pPr>
                  <w:r>
                    <w:rPr>
                      <w:color w:val="auto"/>
                      <w:kern w:val="0"/>
                      <w:szCs w:val="21"/>
                      <w:highlight w:val="none"/>
                      <w:lang w:bidi="ar"/>
                    </w:rPr>
                    <w:t>达标</w:t>
                  </w:r>
                </w:p>
              </w:tc>
            </w:tr>
            <w:tr w14:paraId="16B3BA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956" w:type="pct"/>
                  <w:vMerge w:val="restart"/>
                  <w:tcMar>
                    <w:top w:w="15" w:type="dxa"/>
                    <w:left w:w="15" w:type="dxa"/>
                    <w:right w:w="15" w:type="dxa"/>
                  </w:tcMar>
                  <w:vAlign w:val="center"/>
                </w:tcPr>
                <w:p w14:paraId="0CCB4DB8">
                  <w:pPr>
                    <w:widowControl/>
                    <w:jc w:val="center"/>
                    <w:textAlignment w:val="center"/>
                    <w:rPr>
                      <w:color w:val="auto"/>
                      <w:szCs w:val="21"/>
                      <w:highlight w:val="none"/>
                    </w:rPr>
                  </w:pPr>
                  <w:r>
                    <w:rPr>
                      <w:color w:val="auto"/>
                      <w:szCs w:val="21"/>
                      <w:highlight w:val="none"/>
                    </w:rPr>
                    <w:t>西</w:t>
                  </w:r>
                  <w:r>
                    <w:rPr>
                      <w:color w:val="auto"/>
                      <w:kern w:val="0"/>
                      <w:szCs w:val="21"/>
                      <w:highlight w:val="none"/>
                      <w:lang w:bidi="ar"/>
                    </w:rPr>
                    <w:t>厂界</w:t>
                  </w:r>
                </w:p>
              </w:tc>
              <w:tc>
                <w:tcPr>
                  <w:tcW w:w="1831" w:type="dxa"/>
                  <w:tcMar>
                    <w:top w:w="15" w:type="dxa"/>
                    <w:left w:w="15" w:type="dxa"/>
                    <w:right w:w="15" w:type="dxa"/>
                  </w:tcMar>
                  <w:vAlign w:val="center"/>
                </w:tcPr>
                <w:p w14:paraId="6E71495B">
                  <w:pPr>
                    <w:widowControl/>
                    <w:jc w:val="center"/>
                    <w:textAlignment w:val="center"/>
                    <w:rPr>
                      <w:color w:val="auto"/>
                      <w:kern w:val="0"/>
                      <w:szCs w:val="21"/>
                      <w:highlight w:val="none"/>
                      <w:lang w:bidi="ar"/>
                    </w:rPr>
                  </w:pPr>
                  <w:r>
                    <w:rPr>
                      <w:color w:val="auto"/>
                      <w:kern w:val="0"/>
                      <w:szCs w:val="21"/>
                      <w:highlight w:val="none"/>
                      <w:lang w:bidi="ar"/>
                    </w:rPr>
                    <w:t>昼间</w:t>
                  </w:r>
                </w:p>
              </w:tc>
              <w:tc>
                <w:tcPr>
                  <w:tcW w:w="1089" w:type="pct"/>
                  <w:tcMar>
                    <w:top w:w="15" w:type="dxa"/>
                    <w:left w:w="15" w:type="dxa"/>
                    <w:right w:w="15" w:type="dxa"/>
                  </w:tcMar>
                  <w:vAlign w:val="center"/>
                </w:tcPr>
                <w:p w14:paraId="0B182D23">
                  <w:pPr>
                    <w:widowControl/>
                    <w:jc w:val="center"/>
                    <w:textAlignment w:val="center"/>
                    <w:rPr>
                      <w:color w:val="auto"/>
                      <w:highlight w:val="none"/>
                    </w:rPr>
                  </w:pPr>
                  <w:r>
                    <w:rPr>
                      <w:rFonts w:hint="eastAsia"/>
                      <w:color w:val="auto"/>
                      <w:highlight w:val="none"/>
                    </w:rPr>
                    <w:t>32.33</w:t>
                  </w:r>
                </w:p>
              </w:tc>
              <w:tc>
                <w:tcPr>
                  <w:tcW w:w="1832" w:type="dxa"/>
                  <w:tcMar>
                    <w:top w:w="15" w:type="dxa"/>
                    <w:left w:w="15" w:type="dxa"/>
                    <w:right w:w="15" w:type="dxa"/>
                  </w:tcMar>
                  <w:vAlign w:val="center"/>
                </w:tcPr>
                <w:p w14:paraId="39883B9B">
                  <w:pPr>
                    <w:widowControl/>
                    <w:jc w:val="center"/>
                    <w:textAlignment w:val="center"/>
                    <w:rPr>
                      <w:color w:val="auto"/>
                      <w:kern w:val="0"/>
                      <w:szCs w:val="21"/>
                      <w:highlight w:val="none"/>
                      <w:lang w:bidi="ar"/>
                    </w:rPr>
                  </w:pPr>
                  <w:r>
                    <w:rPr>
                      <w:rFonts w:hint="eastAsia"/>
                      <w:color w:val="auto"/>
                      <w:kern w:val="0"/>
                      <w:szCs w:val="21"/>
                      <w:highlight w:val="none"/>
                      <w:lang w:bidi="ar"/>
                    </w:rPr>
                    <w:t>60</w:t>
                  </w:r>
                </w:p>
              </w:tc>
              <w:tc>
                <w:tcPr>
                  <w:tcW w:w="775" w:type="pct"/>
                  <w:tcMar>
                    <w:top w:w="15" w:type="dxa"/>
                    <w:left w:w="15" w:type="dxa"/>
                    <w:right w:w="15" w:type="dxa"/>
                  </w:tcMar>
                  <w:vAlign w:val="center"/>
                </w:tcPr>
                <w:p w14:paraId="3A638360">
                  <w:pPr>
                    <w:widowControl/>
                    <w:jc w:val="center"/>
                    <w:textAlignment w:val="center"/>
                    <w:rPr>
                      <w:color w:val="auto"/>
                      <w:kern w:val="0"/>
                      <w:szCs w:val="21"/>
                      <w:highlight w:val="none"/>
                      <w:lang w:bidi="ar"/>
                    </w:rPr>
                  </w:pPr>
                  <w:r>
                    <w:rPr>
                      <w:color w:val="auto"/>
                      <w:kern w:val="0"/>
                      <w:szCs w:val="21"/>
                      <w:highlight w:val="none"/>
                      <w:lang w:bidi="ar"/>
                    </w:rPr>
                    <w:t>达标</w:t>
                  </w:r>
                </w:p>
              </w:tc>
            </w:tr>
            <w:tr w14:paraId="63C490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956" w:type="pct"/>
                  <w:vMerge w:val="continue"/>
                  <w:tcMar>
                    <w:top w:w="15" w:type="dxa"/>
                    <w:left w:w="15" w:type="dxa"/>
                    <w:right w:w="15" w:type="dxa"/>
                  </w:tcMar>
                  <w:vAlign w:val="center"/>
                </w:tcPr>
                <w:p w14:paraId="07F6D163">
                  <w:pPr>
                    <w:widowControl/>
                    <w:jc w:val="center"/>
                    <w:textAlignment w:val="center"/>
                    <w:rPr>
                      <w:color w:val="auto"/>
                      <w:szCs w:val="21"/>
                      <w:highlight w:val="none"/>
                    </w:rPr>
                  </w:pPr>
                </w:p>
              </w:tc>
              <w:tc>
                <w:tcPr>
                  <w:tcW w:w="1831" w:type="dxa"/>
                  <w:tcMar>
                    <w:top w:w="15" w:type="dxa"/>
                    <w:left w:w="15" w:type="dxa"/>
                    <w:right w:w="15" w:type="dxa"/>
                  </w:tcMar>
                  <w:vAlign w:val="center"/>
                </w:tcPr>
                <w:p w14:paraId="22CB6BF4">
                  <w:pPr>
                    <w:widowControl/>
                    <w:jc w:val="center"/>
                    <w:textAlignment w:val="center"/>
                    <w:rPr>
                      <w:color w:val="auto"/>
                      <w:kern w:val="0"/>
                      <w:szCs w:val="21"/>
                      <w:highlight w:val="none"/>
                      <w:lang w:bidi="ar"/>
                    </w:rPr>
                  </w:pPr>
                  <w:r>
                    <w:rPr>
                      <w:rFonts w:hint="eastAsia"/>
                      <w:color w:val="auto"/>
                      <w:kern w:val="0"/>
                      <w:szCs w:val="21"/>
                      <w:highlight w:val="none"/>
                      <w:lang w:bidi="ar"/>
                    </w:rPr>
                    <w:t>夜间</w:t>
                  </w:r>
                </w:p>
              </w:tc>
              <w:tc>
                <w:tcPr>
                  <w:tcW w:w="1089" w:type="pct"/>
                  <w:tcMar>
                    <w:top w:w="15" w:type="dxa"/>
                    <w:left w:w="15" w:type="dxa"/>
                    <w:right w:w="15" w:type="dxa"/>
                  </w:tcMar>
                  <w:vAlign w:val="center"/>
                </w:tcPr>
                <w:p w14:paraId="70F930D3">
                  <w:pPr>
                    <w:widowControl/>
                    <w:jc w:val="center"/>
                    <w:textAlignment w:val="center"/>
                    <w:rPr>
                      <w:color w:val="auto"/>
                      <w:highlight w:val="none"/>
                    </w:rPr>
                  </w:pPr>
                  <w:r>
                    <w:rPr>
                      <w:rFonts w:hint="eastAsia"/>
                      <w:color w:val="auto"/>
                      <w:highlight w:val="none"/>
                    </w:rPr>
                    <w:t>32.33</w:t>
                  </w:r>
                </w:p>
              </w:tc>
              <w:tc>
                <w:tcPr>
                  <w:tcW w:w="1832" w:type="dxa"/>
                  <w:tcMar>
                    <w:top w:w="15" w:type="dxa"/>
                    <w:left w:w="15" w:type="dxa"/>
                    <w:right w:w="15" w:type="dxa"/>
                  </w:tcMar>
                  <w:vAlign w:val="center"/>
                </w:tcPr>
                <w:p w14:paraId="22D30FE8">
                  <w:pPr>
                    <w:widowControl/>
                    <w:jc w:val="center"/>
                    <w:textAlignment w:val="center"/>
                    <w:rPr>
                      <w:color w:val="auto"/>
                      <w:kern w:val="0"/>
                      <w:szCs w:val="21"/>
                      <w:highlight w:val="none"/>
                      <w:lang w:bidi="ar"/>
                    </w:rPr>
                  </w:pPr>
                  <w:r>
                    <w:rPr>
                      <w:rFonts w:hint="eastAsia"/>
                      <w:color w:val="auto"/>
                      <w:kern w:val="0"/>
                      <w:szCs w:val="21"/>
                      <w:highlight w:val="none"/>
                      <w:lang w:bidi="ar"/>
                    </w:rPr>
                    <w:t>50</w:t>
                  </w:r>
                </w:p>
              </w:tc>
              <w:tc>
                <w:tcPr>
                  <w:tcW w:w="775" w:type="pct"/>
                  <w:tcMar>
                    <w:top w:w="15" w:type="dxa"/>
                    <w:left w:w="15" w:type="dxa"/>
                    <w:right w:w="15" w:type="dxa"/>
                  </w:tcMar>
                  <w:vAlign w:val="center"/>
                </w:tcPr>
                <w:p w14:paraId="1615F77F">
                  <w:pPr>
                    <w:widowControl/>
                    <w:jc w:val="center"/>
                    <w:textAlignment w:val="center"/>
                    <w:rPr>
                      <w:color w:val="auto"/>
                      <w:kern w:val="0"/>
                      <w:szCs w:val="21"/>
                      <w:highlight w:val="none"/>
                      <w:lang w:bidi="ar"/>
                    </w:rPr>
                  </w:pPr>
                  <w:r>
                    <w:rPr>
                      <w:color w:val="auto"/>
                      <w:kern w:val="0"/>
                      <w:szCs w:val="21"/>
                      <w:highlight w:val="none"/>
                      <w:lang w:bidi="ar"/>
                    </w:rPr>
                    <w:t>达标</w:t>
                  </w:r>
                </w:p>
              </w:tc>
            </w:tr>
            <w:tr w14:paraId="389722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956" w:type="pct"/>
                  <w:vMerge w:val="restart"/>
                  <w:tcMar>
                    <w:top w:w="15" w:type="dxa"/>
                    <w:left w:w="15" w:type="dxa"/>
                    <w:right w:w="15" w:type="dxa"/>
                  </w:tcMar>
                  <w:vAlign w:val="center"/>
                </w:tcPr>
                <w:p w14:paraId="06DB6A9C">
                  <w:pPr>
                    <w:widowControl/>
                    <w:jc w:val="center"/>
                    <w:textAlignment w:val="center"/>
                    <w:rPr>
                      <w:color w:val="auto"/>
                      <w:szCs w:val="21"/>
                      <w:highlight w:val="none"/>
                    </w:rPr>
                  </w:pPr>
                  <w:r>
                    <w:rPr>
                      <w:color w:val="auto"/>
                      <w:szCs w:val="21"/>
                      <w:highlight w:val="none"/>
                    </w:rPr>
                    <w:t>北</w:t>
                  </w:r>
                  <w:r>
                    <w:rPr>
                      <w:color w:val="auto"/>
                      <w:kern w:val="0"/>
                      <w:szCs w:val="21"/>
                      <w:highlight w:val="none"/>
                      <w:lang w:bidi="ar"/>
                    </w:rPr>
                    <w:t>厂界</w:t>
                  </w:r>
                </w:p>
              </w:tc>
              <w:tc>
                <w:tcPr>
                  <w:tcW w:w="1831" w:type="dxa"/>
                  <w:tcMar>
                    <w:top w:w="15" w:type="dxa"/>
                    <w:left w:w="15" w:type="dxa"/>
                    <w:right w:w="15" w:type="dxa"/>
                  </w:tcMar>
                  <w:vAlign w:val="center"/>
                </w:tcPr>
                <w:p w14:paraId="2A95A3DC">
                  <w:pPr>
                    <w:widowControl/>
                    <w:jc w:val="center"/>
                    <w:textAlignment w:val="center"/>
                    <w:rPr>
                      <w:color w:val="auto"/>
                      <w:szCs w:val="21"/>
                      <w:highlight w:val="none"/>
                    </w:rPr>
                  </w:pPr>
                  <w:r>
                    <w:rPr>
                      <w:color w:val="auto"/>
                      <w:kern w:val="0"/>
                      <w:szCs w:val="21"/>
                      <w:highlight w:val="none"/>
                      <w:lang w:bidi="ar"/>
                    </w:rPr>
                    <w:t>昼间</w:t>
                  </w:r>
                </w:p>
              </w:tc>
              <w:tc>
                <w:tcPr>
                  <w:tcW w:w="1089" w:type="pct"/>
                  <w:tcMar>
                    <w:top w:w="15" w:type="dxa"/>
                    <w:left w:w="15" w:type="dxa"/>
                    <w:right w:w="15" w:type="dxa"/>
                  </w:tcMar>
                  <w:vAlign w:val="center"/>
                </w:tcPr>
                <w:p w14:paraId="49BC09CF">
                  <w:pPr>
                    <w:widowControl/>
                    <w:jc w:val="center"/>
                    <w:textAlignment w:val="center"/>
                    <w:rPr>
                      <w:color w:val="auto"/>
                      <w:highlight w:val="none"/>
                    </w:rPr>
                  </w:pPr>
                  <w:r>
                    <w:rPr>
                      <w:rFonts w:hint="eastAsia"/>
                      <w:color w:val="auto"/>
                      <w:highlight w:val="none"/>
                    </w:rPr>
                    <w:t>42.72</w:t>
                  </w:r>
                </w:p>
              </w:tc>
              <w:tc>
                <w:tcPr>
                  <w:tcW w:w="1832" w:type="dxa"/>
                  <w:tcMar>
                    <w:top w:w="15" w:type="dxa"/>
                    <w:left w:w="15" w:type="dxa"/>
                    <w:right w:w="15" w:type="dxa"/>
                  </w:tcMar>
                  <w:vAlign w:val="center"/>
                </w:tcPr>
                <w:p w14:paraId="4DD130B3">
                  <w:pPr>
                    <w:widowControl/>
                    <w:jc w:val="center"/>
                    <w:textAlignment w:val="center"/>
                    <w:rPr>
                      <w:color w:val="auto"/>
                      <w:szCs w:val="21"/>
                      <w:highlight w:val="none"/>
                    </w:rPr>
                  </w:pPr>
                  <w:r>
                    <w:rPr>
                      <w:rFonts w:hint="eastAsia"/>
                      <w:color w:val="auto"/>
                      <w:kern w:val="0"/>
                      <w:szCs w:val="21"/>
                      <w:highlight w:val="none"/>
                      <w:lang w:bidi="ar"/>
                    </w:rPr>
                    <w:t>60</w:t>
                  </w:r>
                </w:p>
              </w:tc>
              <w:tc>
                <w:tcPr>
                  <w:tcW w:w="775" w:type="pct"/>
                  <w:tcMar>
                    <w:top w:w="15" w:type="dxa"/>
                    <w:left w:w="15" w:type="dxa"/>
                    <w:right w:w="15" w:type="dxa"/>
                  </w:tcMar>
                  <w:vAlign w:val="center"/>
                </w:tcPr>
                <w:p w14:paraId="6D462F72">
                  <w:pPr>
                    <w:widowControl/>
                    <w:jc w:val="center"/>
                    <w:textAlignment w:val="center"/>
                    <w:rPr>
                      <w:color w:val="auto"/>
                      <w:szCs w:val="21"/>
                      <w:highlight w:val="none"/>
                    </w:rPr>
                  </w:pPr>
                  <w:r>
                    <w:rPr>
                      <w:color w:val="auto"/>
                      <w:kern w:val="0"/>
                      <w:szCs w:val="21"/>
                      <w:highlight w:val="none"/>
                      <w:lang w:bidi="ar"/>
                    </w:rPr>
                    <w:t>达标</w:t>
                  </w:r>
                </w:p>
              </w:tc>
            </w:tr>
            <w:tr w14:paraId="389518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956" w:type="pct"/>
                  <w:vMerge w:val="continue"/>
                  <w:tcMar>
                    <w:top w:w="15" w:type="dxa"/>
                    <w:left w:w="15" w:type="dxa"/>
                    <w:right w:w="15" w:type="dxa"/>
                  </w:tcMar>
                  <w:vAlign w:val="center"/>
                </w:tcPr>
                <w:p w14:paraId="1909B237">
                  <w:pPr>
                    <w:widowControl/>
                    <w:jc w:val="center"/>
                    <w:textAlignment w:val="center"/>
                    <w:rPr>
                      <w:color w:val="auto"/>
                      <w:szCs w:val="21"/>
                      <w:highlight w:val="none"/>
                    </w:rPr>
                  </w:pPr>
                </w:p>
              </w:tc>
              <w:tc>
                <w:tcPr>
                  <w:tcW w:w="1831" w:type="dxa"/>
                  <w:tcMar>
                    <w:top w:w="15" w:type="dxa"/>
                    <w:left w:w="15" w:type="dxa"/>
                    <w:right w:w="15" w:type="dxa"/>
                  </w:tcMar>
                  <w:vAlign w:val="center"/>
                </w:tcPr>
                <w:p w14:paraId="2406ADF7">
                  <w:pPr>
                    <w:widowControl/>
                    <w:jc w:val="center"/>
                    <w:textAlignment w:val="center"/>
                    <w:rPr>
                      <w:color w:val="auto"/>
                      <w:kern w:val="0"/>
                      <w:szCs w:val="21"/>
                      <w:highlight w:val="none"/>
                      <w:lang w:bidi="ar"/>
                    </w:rPr>
                  </w:pPr>
                  <w:r>
                    <w:rPr>
                      <w:rFonts w:hint="eastAsia"/>
                      <w:color w:val="auto"/>
                      <w:kern w:val="0"/>
                      <w:szCs w:val="21"/>
                      <w:highlight w:val="none"/>
                      <w:lang w:bidi="ar"/>
                    </w:rPr>
                    <w:t>夜间</w:t>
                  </w:r>
                </w:p>
              </w:tc>
              <w:tc>
                <w:tcPr>
                  <w:tcW w:w="1089" w:type="pct"/>
                  <w:tcMar>
                    <w:top w:w="15" w:type="dxa"/>
                    <w:left w:w="15" w:type="dxa"/>
                    <w:right w:w="15" w:type="dxa"/>
                  </w:tcMar>
                  <w:vAlign w:val="center"/>
                </w:tcPr>
                <w:p w14:paraId="2F4CA93C">
                  <w:pPr>
                    <w:widowControl/>
                    <w:jc w:val="center"/>
                    <w:textAlignment w:val="center"/>
                    <w:rPr>
                      <w:color w:val="auto"/>
                      <w:highlight w:val="none"/>
                    </w:rPr>
                  </w:pPr>
                  <w:r>
                    <w:rPr>
                      <w:rFonts w:hint="eastAsia"/>
                      <w:color w:val="auto"/>
                      <w:highlight w:val="none"/>
                    </w:rPr>
                    <w:t>42.72</w:t>
                  </w:r>
                </w:p>
              </w:tc>
              <w:tc>
                <w:tcPr>
                  <w:tcW w:w="1832" w:type="dxa"/>
                  <w:tcMar>
                    <w:top w:w="15" w:type="dxa"/>
                    <w:left w:w="15" w:type="dxa"/>
                    <w:right w:w="15" w:type="dxa"/>
                  </w:tcMar>
                  <w:vAlign w:val="center"/>
                </w:tcPr>
                <w:p w14:paraId="2B0527BC">
                  <w:pPr>
                    <w:widowControl/>
                    <w:jc w:val="center"/>
                    <w:textAlignment w:val="center"/>
                    <w:rPr>
                      <w:color w:val="auto"/>
                      <w:kern w:val="0"/>
                      <w:szCs w:val="21"/>
                      <w:highlight w:val="none"/>
                      <w:lang w:bidi="ar"/>
                    </w:rPr>
                  </w:pPr>
                  <w:r>
                    <w:rPr>
                      <w:rFonts w:hint="eastAsia"/>
                      <w:color w:val="auto"/>
                      <w:kern w:val="0"/>
                      <w:szCs w:val="21"/>
                      <w:highlight w:val="none"/>
                      <w:lang w:bidi="ar"/>
                    </w:rPr>
                    <w:t>50</w:t>
                  </w:r>
                </w:p>
              </w:tc>
              <w:tc>
                <w:tcPr>
                  <w:tcW w:w="775" w:type="pct"/>
                  <w:tcMar>
                    <w:top w:w="15" w:type="dxa"/>
                    <w:left w:w="15" w:type="dxa"/>
                    <w:right w:w="15" w:type="dxa"/>
                  </w:tcMar>
                  <w:vAlign w:val="center"/>
                </w:tcPr>
                <w:p w14:paraId="7FD20EF7">
                  <w:pPr>
                    <w:widowControl/>
                    <w:jc w:val="center"/>
                    <w:textAlignment w:val="center"/>
                    <w:rPr>
                      <w:color w:val="auto"/>
                      <w:kern w:val="0"/>
                      <w:szCs w:val="21"/>
                      <w:highlight w:val="none"/>
                      <w:lang w:bidi="ar"/>
                    </w:rPr>
                  </w:pPr>
                  <w:r>
                    <w:rPr>
                      <w:color w:val="auto"/>
                      <w:kern w:val="0"/>
                      <w:szCs w:val="21"/>
                      <w:highlight w:val="none"/>
                      <w:lang w:bidi="ar"/>
                    </w:rPr>
                    <w:t>达标</w:t>
                  </w:r>
                </w:p>
              </w:tc>
            </w:tr>
          </w:tbl>
          <w:p w14:paraId="4AD45A5D">
            <w:pPr>
              <w:adjustRightInd w:val="0"/>
              <w:snapToGrid w:val="0"/>
              <w:spacing w:line="360" w:lineRule="auto"/>
              <w:ind w:firstLine="480" w:firstLineChars="200"/>
              <w:rPr>
                <w:color w:val="auto"/>
                <w:sz w:val="24"/>
                <w:highlight w:val="none"/>
              </w:rPr>
            </w:pPr>
          </w:p>
          <w:p w14:paraId="4F9B6C90">
            <w:pPr>
              <w:adjustRightInd w:val="0"/>
              <w:snapToGrid w:val="0"/>
              <w:spacing w:line="360" w:lineRule="auto"/>
              <w:ind w:firstLine="480" w:firstLineChars="200"/>
              <w:rPr>
                <w:color w:val="auto"/>
                <w:sz w:val="24"/>
                <w:highlight w:val="none"/>
              </w:rPr>
            </w:pPr>
            <w:r>
              <w:rPr>
                <w:color w:val="auto"/>
                <w:sz w:val="24"/>
                <w:highlight w:val="none"/>
              </w:rPr>
              <w:t>根据预测</w:t>
            </w:r>
            <w:r>
              <w:rPr>
                <w:rFonts w:hint="eastAsia"/>
                <w:color w:val="auto"/>
                <w:sz w:val="24"/>
                <w:highlight w:val="none"/>
              </w:rPr>
              <w:t>结果</w:t>
            </w:r>
            <w:r>
              <w:rPr>
                <w:color w:val="auto"/>
                <w:sz w:val="24"/>
                <w:highlight w:val="none"/>
              </w:rPr>
              <w:t>可知，运行期厂界四周昼间噪声贡献值满足《工业企业厂界环境噪声排放标准》（GB12348-2008）中</w:t>
            </w:r>
            <w:r>
              <w:rPr>
                <w:rFonts w:hint="eastAsia"/>
                <w:color w:val="auto"/>
                <w:sz w:val="24"/>
                <w:highlight w:val="none"/>
              </w:rPr>
              <w:t>2</w:t>
            </w:r>
            <w:r>
              <w:rPr>
                <w:color w:val="auto"/>
                <w:sz w:val="24"/>
                <w:highlight w:val="none"/>
              </w:rPr>
              <w:t>类标准限值。</w:t>
            </w:r>
          </w:p>
          <w:p w14:paraId="18A0B4CB">
            <w:pPr>
              <w:adjustRightInd w:val="0"/>
              <w:snapToGrid w:val="0"/>
              <w:spacing w:line="360" w:lineRule="auto"/>
              <w:ind w:firstLine="482" w:firstLineChars="200"/>
              <w:rPr>
                <w:b/>
                <w:color w:val="auto"/>
                <w:sz w:val="24"/>
                <w:highlight w:val="none"/>
              </w:rPr>
            </w:pPr>
            <w:r>
              <w:rPr>
                <w:b/>
                <w:color w:val="auto"/>
                <w:sz w:val="24"/>
                <w:highlight w:val="none"/>
              </w:rPr>
              <w:t>3.4监测计划</w:t>
            </w:r>
          </w:p>
          <w:p w14:paraId="68449979">
            <w:pPr>
              <w:spacing w:line="360" w:lineRule="auto"/>
              <w:ind w:firstLine="480" w:firstLineChars="200"/>
              <w:rPr>
                <w:color w:val="auto"/>
                <w:sz w:val="24"/>
                <w:szCs w:val="32"/>
                <w:highlight w:val="none"/>
              </w:rPr>
            </w:pPr>
            <w:r>
              <w:rPr>
                <w:color w:val="auto"/>
                <w:sz w:val="24"/>
                <w:szCs w:val="32"/>
                <w:highlight w:val="none"/>
              </w:rPr>
              <w:t>声环境监测计划</w:t>
            </w:r>
            <w:r>
              <w:rPr>
                <w:rFonts w:hint="eastAsia"/>
                <w:color w:val="auto"/>
                <w:sz w:val="24"/>
                <w:szCs w:val="32"/>
                <w:highlight w:val="none"/>
              </w:rPr>
              <w:t>见下表</w:t>
            </w:r>
            <w:r>
              <w:rPr>
                <w:color w:val="auto"/>
                <w:sz w:val="24"/>
                <w:szCs w:val="32"/>
                <w:highlight w:val="none"/>
              </w:rPr>
              <w:t>。</w:t>
            </w:r>
          </w:p>
          <w:p w14:paraId="2AC0ACF9">
            <w:pPr>
              <w:pStyle w:val="23"/>
              <w:ind w:left="0" w:leftChars="0"/>
              <w:jc w:val="center"/>
              <w:rPr>
                <w:color w:val="auto"/>
                <w:highlight w:val="none"/>
              </w:rPr>
            </w:pPr>
            <w:r>
              <w:rPr>
                <w:color w:val="auto"/>
                <w:kern w:val="0"/>
                <w:sz w:val="24"/>
                <w:highlight w:val="none"/>
                <w:lang w:bidi="zh-CN"/>
              </w:rPr>
              <w:t>表4-</w:t>
            </w:r>
            <w:r>
              <w:rPr>
                <w:rFonts w:hint="eastAsia"/>
                <w:color w:val="auto"/>
                <w:kern w:val="0"/>
                <w:sz w:val="24"/>
                <w:highlight w:val="none"/>
                <w:lang w:bidi="zh-CN"/>
              </w:rPr>
              <w:t>12</w:t>
            </w:r>
            <w:r>
              <w:rPr>
                <w:color w:val="auto"/>
                <w:kern w:val="0"/>
                <w:sz w:val="24"/>
                <w:highlight w:val="none"/>
                <w:lang w:bidi="zh-CN"/>
              </w:rPr>
              <w:t xml:space="preserve">  噪声监测计划一览表  </w:t>
            </w:r>
          </w:p>
          <w:tbl>
            <w:tblPr>
              <w:tblStyle w:val="28"/>
              <w:tblW w:w="847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85"/>
              <w:gridCol w:w="1189"/>
              <w:gridCol w:w="4496"/>
            </w:tblGrid>
            <w:tr w14:paraId="68D216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00" w:type="dxa"/>
                  <w:tcBorders>
                    <w:tl2br w:val="nil"/>
                    <w:tr2bl w:val="nil"/>
                  </w:tcBorders>
                  <w:vAlign w:val="center"/>
                </w:tcPr>
                <w:p w14:paraId="3CB88328">
                  <w:pPr>
                    <w:spacing w:line="240" w:lineRule="atLeast"/>
                    <w:ind w:left="-105" w:leftChars="-50" w:right="-105" w:rightChars="-50"/>
                    <w:jc w:val="center"/>
                    <w:rPr>
                      <w:color w:val="auto"/>
                      <w:szCs w:val="21"/>
                      <w:highlight w:val="none"/>
                    </w:rPr>
                  </w:pPr>
                  <w:r>
                    <w:rPr>
                      <w:color w:val="auto"/>
                      <w:szCs w:val="21"/>
                      <w:highlight w:val="none"/>
                    </w:rPr>
                    <w:t>监测点位</w:t>
                  </w:r>
                </w:p>
              </w:tc>
              <w:tc>
                <w:tcPr>
                  <w:tcW w:w="1485" w:type="dxa"/>
                  <w:tcBorders>
                    <w:tl2br w:val="nil"/>
                    <w:tr2bl w:val="nil"/>
                  </w:tcBorders>
                  <w:vAlign w:val="center"/>
                </w:tcPr>
                <w:p w14:paraId="0D8C5FF0">
                  <w:pPr>
                    <w:spacing w:line="240" w:lineRule="atLeast"/>
                    <w:ind w:left="-105" w:leftChars="-50" w:right="-105" w:rightChars="-50"/>
                    <w:jc w:val="center"/>
                    <w:rPr>
                      <w:color w:val="auto"/>
                      <w:szCs w:val="21"/>
                      <w:highlight w:val="none"/>
                    </w:rPr>
                  </w:pPr>
                  <w:r>
                    <w:rPr>
                      <w:color w:val="auto"/>
                      <w:szCs w:val="21"/>
                      <w:highlight w:val="none"/>
                    </w:rPr>
                    <w:t>监测项目</w:t>
                  </w:r>
                </w:p>
              </w:tc>
              <w:tc>
                <w:tcPr>
                  <w:tcW w:w="1189" w:type="dxa"/>
                  <w:tcBorders>
                    <w:tl2br w:val="nil"/>
                    <w:tr2bl w:val="nil"/>
                  </w:tcBorders>
                  <w:vAlign w:val="center"/>
                </w:tcPr>
                <w:p w14:paraId="5D493BD3">
                  <w:pPr>
                    <w:spacing w:line="240" w:lineRule="atLeast"/>
                    <w:ind w:left="-105" w:leftChars="-50" w:right="-105" w:rightChars="-50"/>
                    <w:jc w:val="center"/>
                    <w:rPr>
                      <w:color w:val="auto"/>
                      <w:szCs w:val="21"/>
                      <w:highlight w:val="none"/>
                    </w:rPr>
                  </w:pPr>
                  <w:r>
                    <w:rPr>
                      <w:color w:val="auto"/>
                      <w:szCs w:val="21"/>
                      <w:highlight w:val="none"/>
                    </w:rPr>
                    <w:t>监测频次</w:t>
                  </w:r>
                </w:p>
              </w:tc>
              <w:tc>
                <w:tcPr>
                  <w:tcW w:w="4496" w:type="dxa"/>
                  <w:tcBorders>
                    <w:tl2br w:val="nil"/>
                    <w:tr2bl w:val="nil"/>
                  </w:tcBorders>
                  <w:vAlign w:val="center"/>
                </w:tcPr>
                <w:p w14:paraId="5D88EBFC">
                  <w:pPr>
                    <w:spacing w:line="240" w:lineRule="atLeast"/>
                    <w:ind w:left="-105" w:leftChars="-50" w:right="-105" w:rightChars="-50"/>
                    <w:jc w:val="center"/>
                    <w:rPr>
                      <w:color w:val="auto"/>
                      <w:szCs w:val="21"/>
                      <w:highlight w:val="none"/>
                    </w:rPr>
                  </w:pPr>
                  <w:r>
                    <w:rPr>
                      <w:color w:val="auto"/>
                      <w:szCs w:val="21"/>
                      <w:highlight w:val="none"/>
                    </w:rPr>
                    <w:t>执行标准</w:t>
                  </w:r>
                </w:p>
              </w:tc>
            </w:tr>
            <w:tr w14:paraId="0F9B0C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0" w:type="dxa"/>
                  <w:tcBorders>
                    <w:tl2br w:val="nil"/>
                    <w:tr2bl w:val="nil"/>
                  </w:tcBorders>
                  <w:vAlign w:val="center"/>
                </w:tcPr>
                <w:p w14:paraId="5EBD263E">
                  <w:pPr>
                    <w:spacing w:line="240" w:lineRule="atLeast"/>
                    <w:ind w:left="-105" w:leftChars="-50" w:right="-105" w:rightChars="-50"/>
                    <w:jc w:val="center"/>
                    <w:rPr>
                      <w:color w:val="auto"/>
                      <w:szCs w:val="21"/>
                      <w:highlight w:val="none"/>
                    </w:rPr>
                  </w:pPr>
                  <w:r>
                    <w:rPr>
                      <w:color w:val="auto"/>
                      <w:szCs w:val="21"/>
                      <w:highlight w:val="none"/>
                    </w:rPr>
                    <w:t>厂界四周</w:t>
                  </w:r>
                </w:p>
              </w:tc>
              <w:tc>
                <w:tcPr>
                  <w:tcW w:w="1485" w:type="dxa"/>
                  <w:tcBorders>
                    <w:tl2br w:val="nil"/>
                    <w:tr2bl w:val="nil"/>
                  </w:tcBorders>
                  <w:vAlign w:val="center"/>
                </w:tcPr>
                <w:p w14:paraId="1970FD3B">
                  <w:pPr>
                    <w:spacing w:line="240" w:lineRule="atLeast"/>
                    <w:ind w:left="-105" w:leftChars="-50" w:right="-105" w:rightChars="-50"/>
                    <w:jc w:val="center"/>
                    <w:rPr>
                      <w:color w:val="auto"/>
                      <w:szCs w:val="21"/>
                      <w:highlight w:val="none"/>
                    </w:rPr>
                  </w:pPr>
                  <w:r>
                    <w:rPr>
                      <w:color w:val="auto"/>
                      <w:szCs w:val="21"/>
                      <w:highlight w:val="none"/>
                    </w:rPr>
                    <w:t>等效连续A声级</w:t>
                  </w:r>
                </w:p>
              </w:tc>
              <w:tc>
                <w:tcPr>
                  <w:tcW w:w="1189" w:type="dxa"/>
                  <w:tcBorders>
                    <w:tl2br w:val="nil"/>
                    <w:tr2bl w:val="nil"/>
                  </w:tcBorders>
                  <w:vAlign w:val="center"/>
                </w:tcPr>
                <w:p w14:paraId="1EAF78B5">
                  <w:pPr>
                    <w:spacing w:line="240" w:lineRule="atLeast"/>
                    <w:ind w:left="-105" w:leftChars="-50" w:right="-105" w:rightChars="-50"/>
                    <w:jc w:val="center"/>
                    <w:rPr>
                      <w:color w:val="auto"/>
                      <w:szCs w:val="21"/>
                      <w:highlight w:val="none"/>
                    </w:rPr>
                  </w:pPr>
                  <w:r>
                    <w:rPr>
                      <w:rFonts w:hint="eastAsia"/>
                      <w:color w:val="auto"/>
                      <w:szCs w:val="21"/>
                      <w:highlight w:val="none"/>
                    </w:rPr>
                    <w:t>1次/季度</w:t>
                  </w:r>
                  <w:r>
                    <w:rPr>
                      <w:color w:val="auto"/>
                      <w:szCs w:val="21"/>
                      <w:highlight w:val="none"/>
                    </w:rPr>
                    <w:t>（昼）</w:t>
                  </w:r>
                </w:p>
              </w:tc>
              <w:tc>
                <w:tcPr>
                  <w:tcW w:w="4496" w:type="dxa"/>
                  <w:tcBorders>
                    <w:tl2br w:val="nil"/>
                    <w:tr2bl w:val="nil"/>
                  </w:tcBorders>
                  <w:vAlign w:val="center"/>
                </w:tcPr>
                <w:p w14:paraId="4CB67B0A">
                  <w:pPr>
                    <w:jc w:val="center"/>
                    <w:rPr>
                      <w:snapToGrid w:val="0"/>
                      <w:color w:val="auto"/>
                      <w:szCs w:val="21"/>
                      <w:highlight w:val="none"/>
                    </w:rPr>
                  </w:pPr>
                  <w:r>
                    <w:rPr>
                      <w:rFonts w:hint="eastAsia"/>
                      <w:snapToGrid w:val="0"/>
                      <w:color w:val="auto"/>
                      <w:szCs w:val="21"/>
                      <w:highlight w:val="none"/>
                    </w:rPr>
                    <w:t>厂界执行《工业企业厂界环境噪声排放标准》（GB12348-2008）中2类区排放标准；</w:t>
                  </w:r>
                </w:p>
              </w:tc>
            </w:tr>
          </w:tbl>
          <w:p w14:paraId="4A479421">
            <w:pPr>
              <w:pStyle w:val="59"/>
              <w:snapToGrid w:val="0"/>
              <w:spacing w:beforeLines="0" w:afterLines="0" w:line="360" w:lineRule="auto"/>
              <w:ind w:firstLine="482" w:firstLineChars="200"/>
              <w:jc w:val="both"/>
              <w:rPr>
                <w:rFonts w:eastAsia="宋体"/>
                <w:b/>
                <w:color w:val="auto"/>
                <w:kern w:val="0"/>
                <w:highlight w:val="none"/>
              </w:rPr>
            </w:pPr>
          </w:p>
          <w:p w14:paraId="370A8689">
            <w:pPr>
              <w:pStyle w:val="59"/>
              <w:snapToGrid w:val="0"/>
              <w:spacing w:beforeLines="0" w:afterLines="0" w:line="360" w:lineRule="auto"/>
              <w:ind w:firstLine="482" w:firstLineChars="200"/>
              <w:jc w:val="both"/>
              <w:rPr>
                <w:rFonts w:eastAsia="宋体"/>
                <w:b/>
                <w:color w:val="auto"/>
                <w:kern w:val="0"/>
                <w:highlight w:val="none"/>
              </w:rPr>
            </w:pPr>
            <w:r>
              <w:rPr>
                <w:rFonts w:eastAsia="宋体"/>
                <w:b/>
                <w:color w:val="auto"/>
                <w:kern w:val="0"/>
                <w:highlight w:val="none"/>
              </w:rPr>
              <w:t>4</w:t>
            </w:r>
            <w:r>
              <w:rPr>
                <w:rFonts w:hint="eastAsia" w:eastAsia="宋体"/>
                <w:b/>
                <w:color w:val="auto"/>
                <w:kern w:val="0"/>
                <w:highlight w:val="none"/>
              </w:rPr>
              <w:t>、</w:t>
            </w:r>
            <w:r>
              <w:rPr>
                <w:rFonts w:eastAsia="宋体"/>
                <w:b/>
                <w:color w:val="auto"/>
                <w:kern w:val="0"/>
                <w:highlight w:val="none"/>
              </w:rPr>
              <w:t>固体废物</w:t>
            </w:r>
          </w:p>
          <w:p w14:paraId="29D819BA">
            <w:pPr>
              <w:pStyle w:val="59"/>
              <w:snapToGrid w:val="0"/>
              <w:spacing w:beforeLines="0" w:afterLines="0" w:line="360" w:lineRule="auto"/>
              <w:ind w:firstLine="482" w:firstLineChars="200"/>
              <w:rPr>
                <w:rFonts w:eastAsia="宋体"/>
                <w:color w:val="auto"/>
                <w:highlight w:val="none"/>
              </w:rPr>
            </w:pPr>
            <w:r>
              <w:rPr>
                <w:rFonts w:eastAsia="宋体"/>
                <w:b/>
                <w:bCs/>
                <w:color w:val="auto"/>
                <w:highlight w:val="none"/>
              </w:rPr>
              <w:t>4.1 固体废物产生及处置情况</w:t>
            </w:r>
          </w:p>
          <w:p w14:paraId="625FB3E2">
            <w:pPr>
              <w:spacing w:line="360" w:lineRule="auto"/>
              <w:ind w:firstLine="480" w:firstLineChars="200"/>
              <w:rPr>
                <w:color w:val="auto"/>
                <w:sz w:val="24"/>
                <w:highlight w:val="none"/>
              </w:rPr>
            </w:pPr>
            <w:r>
              <w:rPr>
                <w:color w:val="auto"/>
                <w:sz w:val="24"/>
                <w:highlight w:val="none"/>
              </w:rPr>
              <w:t>本项目固体废物主要为人员生活垃圾</w:t>
            </w:r>
            <w:r>
              <w:rPr>
                <w:rFonts w:hint="eastAsia"/>
                <w:color w:val="auto"/>
                <w:sz w:val="24"/>
                <w:highlight w:val="none"/>
              </w:rPr>
              <w:t>、餐厨垃圾及隔油池废油脂、废活性炭、一次性输液袋（瓶）</w:t>
            </w:r>
            <w:r>
              <w:rPr>
                <w:color w:val="auto"/>
                <w:sz w:val="24"/>
                <w:highlight w:val="none"/>
              </w:rPr>
              <w:t>、医疗废物</w:t>
            </w:r>
            <w:r>
              <w:rPr>
                <w:rFonts w:hint="eastAsia"/>
                <w:color w:val="auto"/>
                <w:sz w:val="24"/>
                <w:highlight w:val="none"/>
              </w:rPr>
              <w:t>、废活性炭</w:t>
            </w:r>
            <w:r>
              <w:rPr>
                <w:color w:val="auto"/>
                <w:sz w:val="24"/>
                <w:highlight w:val="none"/>
              </w:rPr>
              <w:t>和污水</w:t>
            </w:r>
            <w:r>
              <w:rPr>
                <w:rFonts w:hint="eastAsia"/>
                <w:color w:val="auto"/>
                <w:sz w:val="24"/>
                <w:highlight w:val="none"/>
              </w:rPr>
              <w:t>站</w:t>
            </w:r>
            <w:r>
              <w:rPr>
                <w:color w:val="auto"/>
                <w:sz w:val="24"/>
                <w:highlight w:val="none"/>
              </w:rPr>
              <w:t>污泥。</w:t>
            </w:r>
          </w:p>
          <w:p w14:paraId="0C84D19A">
            <w:pPr>
              <w:spacing w:line="360" w:lineRule="auto"/>
              <w:ind w:firstLine="480" w:firstLineChars="200"/>
              <w:rPr>
                <w:color w:val="auto"/>
                <w:sz w:val="24"/>
                <w:highlight w:val="none"/>
              </w:rPr>
            </w:pPr>
            <w:r>
              <w:rPr>
                <w:color w:val="auto"/>
                <w:sz w:val="24"/>
                <w:highlight w:val="none"/>
              </w:rPr>
              <w:t>（1）生活垃圾</w:t>
            </w:r>
          </w:p>
          <w:p w14:paraId="5E69B505">
            <w:pPr>
              <w:spacing w:line="360" w:lineRule="auto"/>
              <w:ind w:firstLine="480" w:firstLineChars="200"/>
              <w:rPr>
                <w:color w:val="auto"/>
                <w:sz w:val="24"/>
                <w:highlight w:val="none"/>
              </w:rPr>
            </w:pPr>
            <w:r>
              <w:rPr>
                <w:color w:val="auto"/>
                <w:sz w:val="24"/>
                <w:highlight w:val="none"/>
              </w:rPr>
              <w:t>本项目生活垃圾主要由</w:t>
            </w:r>
            <w:r>
              <w:rPr>
                <w:rFonts w:hint="eastAsia"/>
                <w:color w:val="auto"/>
                <w:sz w:val="24"/>
                <w:highlight w:val="none"/>
              </w:rPr>
              <w:t>门诊</w:t>
            </w:r>
            <w:r>
              <w:rPr>
                <w:color w:val="auto"/>
                <w:sz w:val="24"/>
                <w:highlight w:val="none"/>
              </w:rPr>
              <w:t>病人</w:t>
            </w:r>
            <w:r>
              <w:rPr>
                <w:rFonts w:hint="eastAsia"/>
                <w:color w:val="auto"/>
                <w:sz w:val="24"/>
                <w:highlight w:val="none"/>
              </w:rPr>
              <w:t>、住院病人以及医护人员</w:t>
            </w:r>
            <w:r>
              <w:rPr>
                <w:color w:val="auto"/>
                <w:sz w:val="24"/>
                <w:highlight w:val="none"/>
              </w:rPr>
              <w:t>产生。其中</w:t>
            </w:r>
            <w:r>
              <w:rPr>
                <w:rFonts w:hint="eastAsia"/>
                <w:color w:val="auto"/>
                <w:sz w:val="24"/>
                <w:highlight w:val="none"/>
              </w:rPr>
              <w:t>医护人员</w:t>
            </w:r>
            <w:r>
              <w:rPr>
                <w:color w:val="auto"/>
                <w:sz w:val="24"/>
                <w:highlight w:val="none"/>
              </w:rPr>
              <w:t>按每人每天产生0.5kg计算</w:t>
            </w:r>
            <w:r>
              <w:rPr>
                <w:rFonts w:hint="eastAsia"/>
                <w:color w:val="auto"/>
                <w:sz w:val="24"/>
                <w:highlight w:val="none"/>
              </w:rPr>
              <w:t>，医护人员35人</w:t>
            </w:r>
            <w:r>
              <w:rPr>
                <w:color w:val="auto"/>
                <w:sz w:val="24"/>
                <w:highlight w:val="none"/>
              </w:rPr>
              <w:t>，病人每</w:t>
            </w:r>
            <w:r>
              <w:rPr>
                <w:rFonts w:hint="eastAsia"/>
                <w:color w:val="auto"/>
                <w:sz w:val="24"/>
                <w:highlight w:val="none"/>
              </w:rPr>
              <w:t>人</w:t>
            </w:r>
            <w:r>
              <w:rPr>
                <w:color w:val="auto"/>
                <w:sz w:val="24"/>
                <w:highlight w:val="none"/>
              </w:rPr>
              <w:t>每天产生1.0kg计算</w:t>
            </w:r>
            <w:r>
              <w:rPr>
                <w:rFonts w:hint="eastAsia"/>
                <w:color w:val="auto"/>
                <w:sz w:val="24"/>
                <w:highlight w:val="none"/>
              </w:rPr>
              <w:t>，每天约接待门诊病人200人，住院病人按100人计，生活垃圾</w:t>
            </w:r>
            <w:r>
              <w:rPr>
                <w:color w:val="auto"/>
                <w:sz w:val="24"/>
                <w:highlight w:val="none"/>
              </w:rPr>
              <w:t>产生量约为</w:t>
            </w:r>
            <w:r>
              <w:rPr>
                <w:rFonts w:hint="eastAsia"/>
                <w:color w:val="auto"/>
                <w:sz w:val="24"/>
                <w:highlight w:val="none"/>
              </w:rPr>
              <w:t>115.89</w:t>
            </w:r>
            <w:r>
              <w:rPr>
                <w:color w:val="auto"/>
                <w:sz w:val="24"/>
                <w:highlight w:val="none"/>
              </w:rPr>
              <w:t>t/</w:t>
            </w:r>
            <w:r>
              <w:rPr>
                <w:rFonts w:hint="eastAsia"/>
                <w:color w:val="auto"/>
                <w:sz w:val="24"/>
                <w:highlight w:val="none"/>
              </w:rPr>
              <w:t>a</w:t>
            </w:r>
            <w:r>
              <w:rPr>
                <w:color w:val="auto"/>
                <w:sz w:val="24"/>
                <w:highlight w:val="none"/>
              </w:rPr>
              <w:t>；</w:t>
            </w:r>
            <w:r>
              <w:rPr>
                <w:rFonts w:hint="eastAsia"/>
                <w:color w:val="auto"/>
                <w:sz w:val="24"/>
                <w:highlight w:val="none"/>
              </w:rPr>
              <w:t>生活垃圾</w:t>
            </w:r>
            <w:r>
              <w:rPr>
                <w:color w:val="auto"/>
                <w:sz w:val="24"/>
                <w:highlight w:val="none"/>
              </w:rPr>
              <w:t>暂存于垃圾箱内，由环卫部门统一处理。</w:t>
            </w:r>
          </w:p>
          <w:p w14:paraId="185263E0">
            <w:pPr>
              <w:spacing w:line="360" w:lineRule="auto"/>
              <w:ind w:firstLine="480" w:firstLineChars="200"/>
              <w:rPr>
                <w:color w:val="auto"/>
                <w:sz w:val="24"/>
                <w:highlight w:val="none"/>
              </w:rPr>
            </w:pPr>
            <w:r>
              <w:rPr>
                <w:rFonts w:hint="eastAsia"/>
                <w:color w:val="auto"/>
                <w:sz w:val="24"/>
                <w:highlight w:val="none"/>
              </w:rPr>
              <w:t>（2）餐厨垃圾及隔油池废油脂</w:t>
            </w:r>
          </w:p>
          <w:p w14:paraId="2BCE40CC">
            <w:pPr>
              <w:spacing w:line="360" w:lineRule="auto"/>
              <w:ind w:firstLine="480" w:firstLineChars="200"/>
              <w:rPr>
                <w:color w:val="auto"/>
                <w:sz w:val="24"/>
                <w:highlight w:val="none"/>
              </w:rPr>
            </w:pPr>
            <w:r>
              <w:rPr>
                <w:rFonts w:hint="eastAsia"/>
                <w:color w:val="auto"/>
                <w:sz w:val="24"/>
                <w:highlight w:val="none"/>
              </w:rPr>
              <w:t>食堂餐厨垃圾产生量按0.1</w:t>
            </w:r>
            <w:r>
              <w:rPr>
                <w:color w:val="auto"/>
                <w:sz w:val="24"/>
                <w:highlight w:val="none"/>
              </w:rPr>
              <w:t>kg</w:t>
            </w:r>
            <w:r>
              <w:rPr>
                <w:rFonts w:hint="eastAsia"/>
                <w:color w:val="auto"/>
                <w:sz w:val="24"/>
                <w:highlight w:val="none"/>
              </w:rPr>
              <w:t>/人·次计，本项目食堂就餐人数35人，每日1餐，年工作365d，则餐厨垃圾产生量为1.28</w:t>
            </w:r>
            <w:r>
              <w:rPr>
                <w:color w:val="auto"/>
                <w:sz w:val="24"/>
                <w:highlight w:val="none"/>
              </w:rPr>
              <w:t>t/</w:t>
            </w:r>
            <w:r>
              <w:rPr>
                <w:rFonts w:hint="eastAsia"/>
                <w:color w:val="auto"/>
                <w:sz w:val="24"/>
                <w:highlight w:val="none"/>
              </w:rPr>
              <w:t>a，根据前文计算隔油池废油脂产生量为0.036</w:t>
            </w:r>
            <w:r>
              <w:rPr>
                <w:color w:val="auto"/>
                <w:sz w:val="24"/>
                <w:highlight w:val="none"/>
              </w:rPr>
              <w:t>t/</w:t>
            </w:r>
            <w:r>
              <w:rPr>
                <w:rFonts w:hint="eastAsia"/>
                <w:color w:val="auto"/>
                <w:sz w:val="24"/>
                <w:highlight w:val="none"/>
              </w:rPr>
              <w:t>a，餐厨垃圾及隔油池废油脂</w:t>
            </w:r>
            <w:r>
              <w:rPr>
                <w:rFonts w:hint="eastAsia"/>
                <w:color w:val="auto"/>
                <w:sz w:val="24"/>
                <w:highlight w:val="none"/>
                <w:lang w:eastAsia="zh-CN"/>
              </w:rPr>
              <w:t>委托有资质单位处理。</w:t>
            </w:r>
          </w:p>
          <w:p w14:paraId="2298A355">
            <w:pPr>
              <w:spacing w:line="360" w:lineRule="auto"/>
              <w:ind w:firstLine="480" w:firstLineChars="200"/>
              <w:rPr>
                <w:color w:val="auto"/>
                <w:sz w:val="24"/>
                <w:highlight w:val="none"/>
              </w:rPr>
            </w:pPr>
            <w:r>
              <w:rPr>
                <w:rFonts w:hint="eastAsia"/>
                <w:color w:val="auto"/>
                <w:sz w:val="24"/>
                <w:highlight w:val="none"/>
              </w:rPr>
              <w:t>（3）未感染的一次性输液袋</w:t>
            </w:r>
          </w:p>
          <w:p w14:paraId="54BEC9D2">
            <w:pPr>
              <w:spacing w:line="360" w:lineRule="auto"/>
              <w:ind w:firstLine="480" w:firstLineChars="200"/>
              <w:rPr>
                <w:color w:val="auto"/>
                <w:sz w:val="24"/>
                <w:highlight w:val="none"/>
              </w:rPr>
            </w:pPr>
            <w:r>
              <w:rPr>
                <w:rFonts w:hint="eastAsia"/>
                <w:color w:val="auto"/>
                <w:sz w:val="24"/>
                <w:highlight w:val="none"/>
              </w:rPr>
              <w:t>根据《关于明确医疗废物分类有关问题的通知》卫办医发【2005】292号，未被病人血液、体液、排泄物感染的使用后的一</w:t>
            </w:r>
            <w:r>
              <w:rPr>
                <w:rFonts w:hint="eastAsia"/>
                <w:color w:val="auto"/>
                <w:sz w:val="24"/>
                <w:highlight w:val="none"/>
                <w:lang w:eastAsia="zh-CN"/>
              </w:rPr>
              <w:t>次性</w:t>
            </w:r>
            <w:r>
              <w:rPr>
                <w:rFonts w:hint="eastAsia"/>
                <w:color w:val="auto"/>
                <w:sz w:val="24"/>
                <w:highlight w:val="none"/>
              </w:rPr>
              <w:t>塑料输液袋不属于医疗废物，不能混入医疗废物，本项目门诊患者产生的未被感染的一次</w:t>
            </w:r>
            <w:r>
              <w:rPr>
                <w:rFonts w:hint="eastAsia"/>
                <w:color w:val="auto"/>
                <w:sz w:val="24"/>
                <w:highlight w:val="none"/>
                <w:lang w:eastAsia="zh-CN"/>
              </w:rPr>
              <w:t>性</w:t>
            </w:r>
            <w:r>
              <w:rPr>
                <w:rFonts w:hint="eastAsia"/>
                <w:color w:val="auto"/>
                <w:sz w:val="24"/>
                <w:highlight w:val="none"/>
              </w:rPr>
              <w:t>输液袋按0.1kg/人·d计，住院病人</w:t>
            </w:r>
            <w:r>
              <w:rPr>
                <w:rFonts w:hint="eastAsia"/>
                <w:color w:val="auto"/>
                <w:sz w:val="24"/>
                <w:highlight w:val="none"/>
                <w:lang w:eastAsia="zh-CN"/>
              </w:rPr>
              <w:t>产生</w:t>
            </w:r>
            <w:r>
              <w:rPr>
                <w:rFonts w:hint="eastAsia"/>
                <w:color w:val="auto"/>
                <w:sz w:val="24"/>
                <w:highlight w:val="none"/>
              </w:rPr>
              <w:t>的未被感染的一次</w:t>
            </w:r>
            <w:r>
              <w:rPr>
                <w:rFonts w:hint="eastAsia"/>
                <w:color w:val="auto"/>
                <w:sz w:val="24"/>
                <w:highlight w:val="none"/>
                <w:lang w:eastAsia="zh-CN"/>
              </w:rPr>
              <w:t>性</w:t>
            </w:r>
            <w:r>
              <w:rPr>
                <w:rFonts w:hint="eastAsia"/>
                <w:color w:val="auto"/>
                <w:sz w:val="24"/>
                <w:highlight w:val="none"/>
              </w:rPr>
              <w:t>输液袋按0.2kg/人·d计，项目接诊门诊患者约为200人/d，住院病人按最大100人/d，则本项目产生的未感染的一次性输液袋为14.6t/a，外卖废品收购站。</w:t>
            </w:r>
          </w:p>
          <w:p w14:paraId="3651643E">
            <w:pPr>
              <w:spacing w:line="360" w:lineRule="auto"/>
              <w:ind w:firstLine="480" w:firstLineChars="200"/>
              <w:rPr>
                <w:color w:val="auto"/>
                <w:sz w:val="24"/>
                <w:highlight w:val="none"/>
              </w:rPr>
            </w:pPr>
            <w:r>
              <w:rPr>
                <w:rFonts w:hint="eastAsia"/>
                <w:color w:val="auto"/>
                <w:sz w:val="24"/>
                <w:highlight w:val="none"/>
              </w:rPr>
              <w:t>（4）中药渣</w:t>
            </w:r>
          </w:p>
          <w:p w14:paraId="6B7F6807">
            <w:pPr>
              <w:spacing w:line="360" w:lineRule="auto"/>
              <w:ind w:firstLine="480" w:firstLineChars="200"/>
              <w:rPr>
                <w:color w:val="auto"/>
                <w:sz w:val="24"/>
                <w:highlight w:val="none"/>
              </w:rPr>
            </w:pPr>
            <w:r>
              <w:rPr>
                <w:rFonts w:hint="eastAsia"/>
                <w:color w:val="auto"/>
                <w:sz w:val="24"/>
                <w:highlight w:val="none"/>
              </w:rPr>
              <w:t>中药渣产生量约为用量80%，本项目中药材用量约为2t/a，则中药渣产生量约为1.6t/a。集中收集后由环卫部门清运</w:t>
            </w:r>
          </w:p>
          <w:p w14:paraId="11C6B5A7">
            <w:pPr>
              <w:spacing w:line="360" w:lineRule="auto"/>
              <w:ind w:firstLine="480" w:firstLineChars="200"/>
              <w:rPr>
                <w:color w:val="auto"/>
                <w:sz w:val="24"/>
                <w:highlight w:val="none"/>
              </w:rPr>
            </w:pPr>
            <w:r>
              <w:rPr>
                <w:rFonts w:hint="eastAsia"/>
                <w:color w:val="auto"/>
                <w:sz w:val="24"/>
                <w:highlight w:val="none"/>
              </w:rPr>
              <w:t>（5）化粪池污泥</w:t>
            </w:r>
          </w:p>
          <w:p w14:paraId="0F338ABB">
            <w:pPr>
              <w:spacing w:line="360" w:lineRule="auto"/>
              <w:ind w:firstLine="480" w:firstLineChars="200"/>
              <w:rPr>
                <w:color w:val="auto"/>
                <w:sz w:val="24"/>
                <w:highlight w:val="none"/>
              </w:rPr>
            </w:pPr>
            <w:r>
              <w:rPr>
                <w:rFonts w:hint="eastAsia"/>
                <w:color w:val="auto"/>
                <w:sz w:val="24"/>
                <w:highlight w:val="none"/>
              </w:rPr>
              <w:t>根据《医疗污水处理技术指南》环发【2003】197号，每人每日的粪便量约为150g，本项目化粪池污泥主要以住院病人与陪护人员（陪护人员与住院病人按1:1计，共400人）</w:t>
            </w:r>
            <w:r>
              <w:rPr>
                <w:rFonts w:hint="eastAsia"/>
                <w:color w:val="auto"/>
                <w:sz w:val="24"/>
                <w:highlight w:val="none"/>
              </w:rPr>
              <w:t>和工作人员35人进行核算，粪便经化粪池处理后固体污泥以粪便量的</w:t>
            </w:r>
            <w:r>
              <w:rPr>
                <w:rFonts w:hint="eastAsia"/>
                <w:color w:val="auto"/>
                <w:sz w:val="24"/>
                <w:highlight w:val="none"/>
                <w:lang w:val="en-US" w:eastAsia="zh-CN"/>
              </w:rPr>
              <w:t>10</w:t>
            </w:r>
            <w:r>
              <w:rPr>
                <w:rFonts w:hint="eastAsia"/>
                <w:color w:val="auto"/>
                <w:sz w:val="24"/>
                <w:highlight w:val="none"/>
              </w:rPr>
              <w:t>%计算。则化粪池污泥产生量约为</w:t>
            </w:r>
            <w:r>
              <w:rPr>
                <w:rFonts w:hint="eastAsia"/>
                <w:color w:val="auto"/>
                <w:sz w:val="24"/>
                <w:highlight w:val="none"/>
                <w:lang w:val="en-US" w:eastAsia="zh-CN"/>
              </w:rPr>
              <w:t>2.4</w:t>
            </w:r>
            <w:r>
              <w:rPr>
                <w:rFonts w:hint="eastAsia"/>
                <w:color w:val="auto"/>
                <w:sz w:val="24"/>
                <w:highlight w:val="none"/>
              </w:rPr>
              <w:t>t/a，</w:t>
            </w:r>
            <w:r>
              <w:rPr>
                <w:rFonts w:hint="eastAsia"/>
                <w:color w:val="auto"/>
                <w:sz w:val="24"/>
                <w:highlight w:val="none"/>
                <w:lang w:eastAsia="zh-CN"/>
              </w:rPr>
              <w:t>化粪池污泥不进行脱水，</w:t>
            </w:r>
            <w:r>
              <w:rPr>
                <w:rFonts w:hint="eastAsia"/>
                <w:color w:val="auto"/>
                <w:sz w:val="24"/>
                <w:highlight w:val="none"/>
              </w:rPr>
              <w:t>每年清淘一次，委托有资质单位处理。</w:t>
            </w:r>
          </w:p>
          <w:p w14:paraId="475DF137">
            <w:pPr>
              <w:spacing w:line="360" w:lineRule="auto"/>
              <w:ind w:firstLine="480" w:firstLineChars="200"/>
              <w:rPr>
                <w:color w:val="auto"/>
                <w:sz w:val="24"/>
                <w:highlight w:val="none"/>
              </w:rPr>
            </w:pPr>
            <w:r>
              <w:rPr>
                <w:rFonts w:hint="eastAsia"/>
                <w:color w:val="auto"/>
                <w:sz w:val="24"/>
                <w:highlight w:val="none"/>
              </w:rPr>
              <w:t>（6）污水站污泥</w:t>
            </w:r>
          </w:p>
          <w:p w14:paraId="79FB972E">
            <w:pPr>
              <w:spacing w:line="360" w:lineRule="auto"/>
              <w:ind w:firstLine="480" w:firstLineChars="200"/>
              <w:rPr>
                <w:rFonts w:hint="eastAsia" w:eastAsia="宋体"/>
                <w:color w:val="auto"/>
                <w:sz w:val="24"/>
                <w:highlight w:val="none"/>
                <w:lang w:eastAsia="zh-CN"/>
              </w:rPr>
            </w:pPr>
            <w:r>
              <w:rPr>
                <w:rFonts w:hint="eastAsia"/>
                <w:color w:val="auto"/>
                <w:sz w:val="24"/>
                <w:highlight w:val="none"/>
              </w:rPr>
              <w:t>根据同类型工艺的医院污水处理站，污水处理过程污泥产生量约为每处理1500t污水产生</w:t>
            </w:r>
            <w:r>
              <w:rPr>
                <w:rFonts w:hint="eastAsia"/>
                <w:color w:val="auto"/>
                <w:sz w:val="24"/>
                <w:highlight w:val="none"/>
                <w:lang w:val="en-US" w:eastAsia="zh-CN"/>
              </w:rPr>
              <w:t>1</w:t>
            </w:r>
            <w:r>
              <w:rPr>
                <w:rFonts w:hint="eastAsia"/>
                <w:color w:val="auto"/>
                <w:sz w:val="24"/>
                <w:highlight w:val="none"/>
              </w:rPr>
              <w:t>t污泥，本项目污水处理站共处理污水5574.645t/a，则污水站污泥产生量为</w:t>
            </w:r>
            <w:r>
              <w:rPr>
                <w:rFonts w:hint="eastAsia"/>
                <w:color w:val="auto"/>
                <w:sz w:val="24"/>
                <w:highlight w:val="none"/>
                <w:lang w:val="en-US" w:eastAsia="zh-CN"/>
              </w:rPr>
              <w:t>3.7</w:t>
            </w:r>
            <w:r>
              <w:rPr>
                <w:rFonts w:hint="eastAsia"/>
                <w:color w:val="auto"/>
                <w:sz w:val="24"/>
                <w:highlight w:val="none"/>
              </w:rPr>
              <w:t>t/a，</w:t>
            </w:r>
            <w:r>
              <w:rPr>
                <w:rFonts w:hint="eastAsia"/>
                <w:color w:val="auto"/>
                <w:sz w:val="24"/>
                <w:highlight w:val="none"/>
                <w:lang w:eastAsia="zh-CN"/>
              </w:rPr>
              <w:t>污水站污泥不进行脱水，直接桶装收集后暂存于危废贮存点，委托有资质单位处理。</w:t>
            </w:r>
          </w:p>
          <w:p w14:paraId="43E3B580">
            <w:pPr>
              <w:spacing w:line="360" w:lineRule="auto"/>
              <w:ind w:firstLine="480" w:firstLineChars="200"/>
              <w:rPr>
                <w:color w:val="auto"/>
                <w:sz w:val="24"/>
                <w:highlight w:val="none"/>
              </w:rPr>
            </w:pPr>
            <w:r>
              <w:rPr>
                <w:rFonts w:hint="eastAsia"/>
                <w:color w:val="auto"/>
                <w:sz w:val="24"/>
                <w:highlight w:val="none"/>
              </w:rPr>
              <w:t>（7）废活性炭</w:t>
            </w:r>
          </w:p>
          <w:p w14:paraId="11B6B7A9">
            <w:pPr>
              <w:spacing w:line="360" w:lineRule="auto"/>
              <w:ind w:firstLine="480" w:firstLineChars="200"/>
              <w:rPr>
                <w:color w:val="auto"/>
                <w:sz w:val="24"/>
                <w:highlight w:val="none"/>
              </w:rPr>
            </w:pPr>
            <w:r>
              <w:rPr>
                <w:rFonts w:hint="eastAsia"/>
                <w:color w:val="auto"/>
                <w:sz w:val="24"/>
                <w:highlight w:val="none"/>
              </w:rPr>
              <w:t>污水处理站恶臭气体使用活性炭吸附装置进行处理，活性炭定期更换，</w:t>
            </w:r>
            <w:r>
              <w:rPr>
                <w:rFonts w:hint="eastAsia"/>
                <w:color w:val="auto"/>
                <w:sz w:val="24"/>
                <w:highlight w:val="none"/>
              </w:rPr>
              <w:t>产生量约为0.5t/a</w:t>
            </w:r>
            <w:r>
              <w:rPr>
                <w:rFonts w:hint="eastAsia"/>
                <w:color w:val="auto"/>
                <w:sz w:val="24"/>
                <w:highlight w:val="none"/>
              </w:rPr>
              <w:t>。暂存于危废贮存点，委托有资质单位处理。</w:t>
            </w:r>
          </w:p>
          <w:p w14:paraId="29B07ECD">
            <w:pPr>
              <w:spacing w:line="360" w:lineRule="auto"/>
              <w:ind w:firstLine="480" w:firstLineChars="200"/>
              <w:rPr>
                <w:color w:val="auto"/>
                <w:sz w:val="24"/>
                <w:highlight w:val="none"/>
              </w:rPr>
            </w:pPr>
            <w:r>
              <w:rPr>
                <w:rFonts w:hint="eastAsia"/>
                <w:color w:val="auto"/>
                <w:sz w:val="24"/>
                <w:highlight w:val="none"/>
              </w:rPr>
              <w:t>（8）医疗废物</w:t>
            </w:r>
          </w:p>
          <w:p w14:paraId="72FD3EFC">
            <w:pPr>
              <w:spacing w:line="360" w:lineRule="auto"/>
              <w:ind w:firstLine="480" w:firstLineChars="200"/>
              <w:rPr>
                <w:color w:val="auto"/>
                <w:sz w:val="24"/>
                <w:highlight w:val="none"/>
              </w:rPr>
            </w:pPr>
            <w:r>
              <w:rPr>
                <w:rFonts w:hint="eastAsia"/>
                <w:color w:val="auto"/>
                <w:sz w:val="24"/>
                <w:highlight w:val="none"/>
              </w:rPr>
              <w:t>根据《国家危险废物名录》（2021年版），医疗废物属于危险废物。结合本院医疗设施及特点，参考《医疗废物分类目录》（2021年版），对医疗废物具体分类详见下表</w:t>
            </w:r>
          </w:p>
          <w:p w14:paraId="78663272">
            <w:pPr>
              <w:autoSpaceDE w:val="0"/>
              <w:autoSpaceDN w:val="0"/>
              <w:jc w:val="center"/>
              <w:rPr>
                <w:b/>
                <w:bCs/>
                <w:color w:val="auto"/>
                <w:kern w:val="0"/>
                <w:sz w:val="24"/>
                <w:highlight w:val="none"/>
              </w:rPr>
            </w:pPr>
            <w:r>
              <w:rPr>
                <w:b/>
                <w:bCs/>
                <w:color w:val="auto"/>
                <w:kern w:val="0"/>
                <w:sz w:val="24"/>
                <w:highlight w:val="none"/>
              </w:rPr>
              <w:t>表4-</w:t>
            </w:r>
            <w:r>
              <w:rPr>
                <w:rFonts w:hint="eastAsia"/>
                <w:b/>
                <w:bCs/>
                <w:color w:val="auto"/>
                <w:kern w:val="0"/>
                <w:sz w:val="24"/>
                <w:highlight w:val="none"/>
              </w:rPr>
              <w:t>13</w:t>
            </w:r>
            <w:r>
              <w:rPr>
                <w:b/>
                <w:bCs/>
                <w:color w:val="auto"/>
                <w:kern w:val="0"/>
                <w:sz w:val="24"/>
                <w:highlight w:val="none"/>
              </w:rPr>
              <w:t xml:space="preserve"> 项目固体废物分析结果汇总一览表</w:t>
            </w:r>
          </w:p>
          <w:tbl>
            <w:tblPr>
              <w:tblStyle w:val="28"/>
              <w:tblW w:w="4997"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430"/>
              <w:gridCol w:w="2031"/>
              <w:gridCol w:w="5952"/>
            </w:tblGrid>
            <w:tr w14:paraId="0C638A9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462" w:type="pct"/>
                  <w:tcBorders>
                    <w:tl2br w:val="nil"/>
                    <w:tr2bl w:val="nil"/>
                  </w:tcBorders>
                  <w:noWrap/>
                  <w:tcMar>
                    <w:top w:w="15" w:type="dxa"/>
                    <w:left w:w="15" w:type="dxa"/>
                    <w:right w:w="15" w:type="dxa"/>
                  </w:tcMar>
                  <w:vAlign w:val="center"/>
                </w:tcPr>
                <w:p w14:paraId="03AA24A5">
                  <w:pPr>
                    <w:pStyle w:val="44"/>
                    <w:rPr>
                      <w:rFonts w:ascii="Times New Roman"/>
                      <w:color w:val="auto"/>
                      <w:szCs w:val="21"/>
                      <w:highlight w:val="none"/>
                    </w:rPr>
                  </w:pPr>
                  <w:r>
                    <w:rPr>
                      <w:rFonts w:hint="eastAsia" w:ascii="Times New Roman"/>
                      <w:color w:val="auto"/>
                      <w:szCs w:val="21"/>
                      <w:highlight w:val="none"/>
                    </w:rPr>
                    <w:t>类别</w:t>
                  </w:r>
                </w:p>
              </w:tc>
              <w:tc>
                <w:tcPr>
                  <w:tcW w:w="936" w:type="pct"/>
                  <w:tcBorders>
                    <w:tl2br w:val="nil"/>
                    <w:tr2bl w:val="nil"/>
                  </w:tcBorders>
                  <w:noWrap/>
                  <w:tcMar>
                    <w:top w:w="15" w:type="dxa"/>
                    <w:left w:w="15" w:type="dxa"/>
                    <w:right w:w="15" w:type="dxa"/>
                  </w:tcMar>
                  <w:vAlign w:val="center"/>
                </w:tcPr>
                <w:p w14:paraId="314C90B4">
                  <w:pPr>
                    <w:pStyle w:val="44"/>
                    <w:rPr>
                      <w:rFonts w:ascii="Times New Roman"/>
                      <w:color w:val="auto"/>
                      <w:szCs w:val="21"/>
                      <w:highlight w:val="none"/>
                    </w:rPr>
                  </w:pPr>
                  <w:r>
                    <w:rPr>
                      <w:rFonts w:hint="eastAsia" w:ascii="Times New Roman"/>
                      <w:color w:val="auto"/>
                      <w:szCs w:val="21"/>
                      <w:highlight w:val="none"/>
                    </w:rPr>
                    <w:t>特征</w:t>
                  </w:r>
                </w:p>
              </w:tc>
              <w:tc>
                <w:tcPr>
                  <w:tcW w:w="3600" w:type="pct"/>
                  <w:tcBorders>
                    <w:tl2br w:val="nil"/>
                    <w:tr2bl w:val="nil"/>
                  </w:tcBorders>
                  <w:noWrap/>
                  <w:tcMar>
                    <w:top w:w="15" w:type="dxa"/>
                    <w:left w:w="15" w:type="dxa"/>
                    <w:right w:w="15" w:type="dxa"/>
                  </w:tcMar>
                  <w:vAlign w:val="center"/>
                </w:tcPr>
                <w:p w14:paraId="61581D29">
                  <w:pPr>
                    <w:pStyle w:val="44"/>
                    <w:rPr>
                      <w:rFonts w:ascii="Times New Roman"/>
                      <w:color w:val="auto"/>
                      <w:szCs w:val="21"/>
                      <w:highlight w:val="none"/>
                    </w:rPr>
                  </w:pPr>
                  <w:r>
                    <w:rPr>
                      <w:rFonts w:hint="eastAsia" w:ascii="Times New Roman"/>
                      <w:color w:val="auto"/>
                      <w:szCs w:val="21"/>
                      <w:highlight w:val="none"/>
                    </w:rPr>
                    <w:t>常见组分或者废物名称</w:t>
                  </w:r>
                </w:p>
              </w:tc>
            </w:tr>
            <w:tr w14:paraId="3350FEE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462" w:type="pct"/>
                  <w:tcBorders>
                    <w:tl2br w:val="nil"/>
                    <w:tr2bl w:val="nil"/>
                  </w:tcBorders>
                  <w:noWrap/>
                  <w:tcMar>
                    <w:top w:w="15" w:type="dxa"/>
                    <w:left w:w="15" w:type="dxa"/>
                    <w:right w:w="15" w:type="dxa"/>
                  </w:tcMar>
                  <w:vAlign w:val="center"/>
                </w:tcPr>
                <w:p w14:paraId="61C8440D">
                  <w:pPr>
                    <w:pStyle w:val="44"/>
                    <w:rPr>
                      <w:rFonts w:ascii="Times New Roman"/>
                      <w:color w:val="auto"/>
                      <w:szCs w:val="21"/>
                      <w:highlight w:val="none"/>
                    </w:rPr>
                  </w:pPr>
                  <w:r>
                    <w:rPr>
                      <w:rFonts w:hint="eastAsia" w:ascii="Times New Roman"/>
                      <w:color w:val="auto"/>
                      <w:szCs w:val="21"/>
                      <w:highlight w:val="none"/>
                    </w:rPr>
                    <w:t>感染性废物</w:t>
                  </w:r>
                </w:p>
              </w:tc>
              <w:tc>
                <w:tcPr>
                  <w:tcW w:w="936" w:type="pct"/>
                  <w:tcBorders>
                    <w:tl2br w:val="nil"/>
                    <w:tr2bl w:val="nil"/>
                  </w:tcBorders>
                  <w:noWrap/>
                  <w:tcMar>
                    <w:top w:w="15" w:type="dxa"/>
                    <w:left w:w="15" w:type="dxa"/>
                    <w:right w:w="15" w:type="dxa"/>
                  </w:tcMar>
                  <w:vAlign w:val="center"/>
                </w:tcPr>
                <w:p w14:paraId="5AE7A354">
                  <w:pPr>
                    <w:pStyle w:val="44"/>
                    <w:rPr>
                      <w:rFonts w:ascii="Times New Roman"/>
                      <w:color w:val="auto"/>
                      <w:szCs w:val="21"/>
                      <w:highlight w:val="none"/>
                    </w:rPr>
                  </w:pPr>
                  <w:r>
                    <w:rPr>
                      <w:rFonts w:hint="eastAsia" w:ascii="Times New Roman"/>
                      <w:color w:val="auto"/>
                      <w:szCs w:val="21"/>
                      <w:highlight w:val="none"/>
                    </w:rPr>
                    <w:t>携带病原微生物具有引发感染性疾病传播危险的医疗废物</w:t>
                  </w:r>
                </w:p>
              </w:tc>
              <w:tc>
                <w:tcPr>
                  <w:tcW w:w="3600" w:type="pct"/>
                  <w:tcBorders>
                    <w:tl2br w:val="nil"/>
                    <w:tr2bl w:val="nil"/>
                  </w:tcBorders>
                  <w:noWrap/>
                  <w:tcMar>
                    <w:top w:w="15" w:type="dxa"/>
                    <w:left w:w="15" w:type="dxa"/>
                    <w:right w:w="15" w:type="dxa"/>
                  </w:tcMar>
                  <w:vAlign w:val="center"/>
                </w:tcPr>
                <w:p w14:paraId="0371A9FB">
                  <w:pPr>
                    <w:pStyle w:val="44"/>
                    <w:jc w:val="both"/>
                    <w:rPr>
                      <w:rFonts w:ascii="Times New Roman"/>
                      <w:color w:val="auto"/>
                      <w:szCs w:val="21"/>
                      <w:highlight w:val="none"/>
                    </w:rPr>
                  </w:pPr>
                  <w:r>
                    <w:rPr>
                      <w:rFonts w:hint="eastAsia" w:ascii="Times New Roman"/>
                      <w:color w:val="auto"/>
                      <w:szCs w:val="21"/>
                      <w:highlight w:val="none"/>
                    </w:rPr>
                    <w:t>1.被患者血液、体液、排泄物等污染的除锐器以外的废物；</w:t>
                  </w:r>
                </w:p>
                <w:p w14:paraId="3A92BB34">
                  <w:pPr>
                    <w:pStyle w:val="44"/>
                    <w:jc w:val="both"/>
                    <w:rPr>
                      <w:rFonts w:ascii="Times New Roman"/>
                      <w:color w:val="auto"/>
                      <w:szCs w:val="21"/>
                      <w:highlight w:val="none"/>
                    </w:rPr>
                  </w:pPr>
                  <w:r>
                    <w:rPr>
                      <w:rFonts w:hint="eastAsia" w:ascii="Times New Roman"/>
                      <w:color w:val="auto"/>
                      <w:szCs w:val="21"/>
                      <w:highlight w:val="none"/>
                    </w:rPr>
                    <w:t>2.使用后废弃的一次性使用医疗器械，如注射器、输液器、透析器等；</w:t>
                  </w:r>
                </w:p>
                <w:p w14:paraId="2A249C7F">
                  <w:pPr>
                    <w:pStyle w:val="44"/>
                    <w:jc w:val="both"/>
                    <w:rPr>
                      <w:rFonts w:ascii="Times New Roman"/>
                      <w:color w:val="auto"/>
                      <w:szCs w:val="21"/>
                      <w:highlight w:val="none"/>
                    </w:rPr>
                  </w:pPr>
                  <w:r>
                    <w:rPr>
                      <w:rFonts w:hint="eastAsia" w:ascii="Times New Roman"/>
                      <w:color w:val="auto"/>
                      <w:szCs w:val="21"/>
                      <w:highlight w:val="none"/>
                    </w:rPr>
                    <w:t>3.病原微生物实验室废弃的病原体培养基、标本，菌种和毒种保存液及其容器；其他实验室及科室废弃的血液、血清、分泌物等标本和容器；</w:t>
                  </w:r>
                </w:p>
                <w:p w14:paraId="59948F79">
                  <w:pPr>
                    <w:pStyle w:val="44"/>
                    <w:jc w:val="both"/>
                    <w:rPr>
                      <w:rFonts w:ascii="Times New Roman"/>
                      <w:color w:val="auto"/>
                      <w:szCs w:val="21"/>
                      <w:highlight w:val="none"/>
                    </w:rPr>
                  </w:pPr>
                  <w:r>
                    <w:rPr>
                      <w:rFonts w:hint="eastAsia" w:ascii="Times New Roman"/>
                      <w:color w:val="auto"/>
                      <w:szCs w:val="21"/>
                      <w:highlight w:val="none"/>
                    </w:rPr>
                    <w:t>4.隔离传染病患者或者疑似传染病患者产生的废弃物。</w:t>
                  </w:r>
                </w:p>
              </w:tc>
            </w:tr>
            <w:tr w14:paraId="6F297B6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462" w:type="pct"/>
                  <w:tcBorders>
                    <w:tl2br w:val="nil"/>
                    <w:tr2bl w:val="nil"/>
                  </w:tcBorders>
                  <w:shd w:val="clear" w:color="auto" w:fill="auto"/>
                  <w:noWrap/>
                  <w:tcMar>
                    <w:top w:w="15" w:type="dxa"/>
                    <w:left w:w="15" w:type="dxa"/>
                    <w:right w:w="15" w:type="dxa"/>
                  </w:tcMar>
                  <w:vAlign w:val="center"/>
                </w:tcPr>
                <w:p w14:paraId="454FDDFA">
                  <w:pPr>
                    <w:pStyle w:val="44"/>
                    <w:rPr>
                      <w:rFonts w:ascii="Times New Roman"/>
                      <w:color w:val="auto"/>
                      <w:szCs w:val="21"/>
                      <w:highlight w:val="none"/>
                    </w:rPr>
                  </w:pPr>
                  <w:r>
                    <w:rPr>
                      <w:rFonts w:hint="eastAsia" w:ascii="Times New Roman"/>
                      <w:color w:val="auto"/>
                      <w:szCs w:val="21"/>
                      <w:highlight w:val="none"/>
                    </w:rPr>
                    <w:t>损伤性废物</w:t>
                  </w:r>
                </w:p>
              </w:tc>
              <w:tc>
                <w:tcPr>
                  <w:tcW w:w="936" w:type="pct"/>
                  <w:tcBorders>
                    <w:tl2br w:val="nil"/>
                    <w:tr2bl w:val="nil"/>
                  </w:tcBorders>
                  <w:shd w:val="clear" w:color="auto" w:fill="auto"/>
                  <w:noWrap/>
                  <w:tcMar>
                    <w:top w:w="15" w:type="dxa"/>
                    <w:left w:w="15" w:type="dxa"/>
                    <w:right w:w="15" w:type="dxa"/>
                  </w:tcMar>
                  <w:vAlign w:val="center"/>
                </w:tcPr>
                <w:p w14:paraId="2403958A">
                  <w:pPr>
                    <w:pStyle w:val="44"/>
                    <w:rPr>
                      <w:rFonts w:ascii="Times New Roman"/>
                      <w:color w:val="auto"/>
                      <w:szCs w:val="21"/>
                      <w:highlight w:val="none"/>
                    </w:rPr>
                  </w:pPr>
                  <w:r>
                    <w:rPr>
                      <w:rFonts w:hint="eastAsia" w:ascii="Times New Roman"/>
                      <w:color w:val="auto"/>
                      <w:szCs w:val="21"/>
                      <w:highlight w:val="none"/>
                    </w:rPr>
                    <w:t>能够刺伤或者割伤人体的废弃的医用锐器。</w:t>
                  </w:r>
                </w:p>
              </w:tc>
              <w:tc>
                <w:tcPr>
                  <w:tcW w:w="3600" w:type="pct"/>
                  <w:tcBorders>
                    <w:tl2br w:val="nil"/>
                    <w:tr2bl w:val="nil"/>
                  </w:tcBorders>
                  <w:shd w:val="clear" w:color="auto" w:fill="auto"/>
                  <w:noWrap/>
                  <w:tcMar>
                    <w:top w:w="15" w:type="dxa"/>
                    <w:left w:w="15" w:type="dxa"/>
                    <w:right w:w="15" w:type="dxa"/>
                  </w:tcMar>
                  <w:vAlign w:val="center"/>
                </w:tcPr>
                <w:p w14:paraId="388CA12E">
                  <w:pPr>
                    <w:pStyle w:val="44"/>
                    <w:jc w:val="both"/>
                    <w:rPr>
                      <w:rFonts w:ascii="Times New Roman"/>
                      <w:color w:val="auto"/>
                      <w:szCs w:val="21"/>
                      <w:highlight w:val="none"/>
                    </w:rPr>
                  </w:pPr>
                  <w:r>
                    <w:rPr>
                      <w:rFonts w:hint="eastAsia" w:ascii="Times New Roman"/>
                      <w:color w:val="auto"/>
                      <w:szCs w:val="21"/>
                      <w:highlight w:val="none"/>
                    </w:rPr>
                    <w:t>1.废弃的金属类锐器，如针头、缝合针、针灸针、探针、穿刺针、解剖刀、手术刀、手术锯、备皮刀、钢钉和导丝等；</w:t>
                  </w:r>
                </w:p>
                <w:p w14:paraId="06103795">
                  <w:pPr>
                    <w:pStyle w:val="44"/>
                    <w:jc w:val="both"/>
                    <w:rPr>
                      <w:rFonts w:ascii="Times New Roman"/>
                      <w:color w:val="auto"/>
                      <w:szCs w:val="21"/>
                      <w:highlight w:val="none"/>
                    </w:rPr>
                  </w:pPr>
                  <w:r>
                    <w:rPr>
                      <w:rFonts w:hint="eastAsia" w:ascii="Times New Roman"/>
                      <w:color w:val="auto"/>
                      <w:szCs w:val="21"/>
                      <w:highlight w:val="none"/>
                    </w:rPr>
                    <w:t>2.废弃的玻璃类锐器，如盖玻片、载玻片、玻璃安瓿等；</w:t>
                  </w:r>
                </w:p>
                <w:p w14:paraId="373108C0">
                  <w:pPr>
                    <w:pStyle w:val="44"/>
                    <w:jc w:val="both"/>
                    <w:rPr>
                      <w:rFonts w:ascii="Times New Roman"/>
                      <w:color w:val="auto"/>
                      <w:szCs w:val="21"/>
                      <w:highlight w:val="none"/>
                    </w:rPr>
                  </w:pPr>
                  <w:r>
                    <w:rPr>
                      <w:rFonts w:hint="eastAsia" w:ascii="Times New Roman"/>
                      <w:color w:val="auto"/>
                      <w:szCs w:val="21"/>
                      <w:highlight w:val="none"/>
                    </w:rPr>
                    <w:t>3.废弃的其他材质类锐器。</w:t>
                  </w:r>
                </w:p>
              </w:tc>
            </w:tr>
            <w:tr w14:paraId="45FDE17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462" w:type="pct"/>
                  <w:tcBorders>
                    <w:tl2br w:val="nil"/>
                    <w:tr2bl w:val="nil"/>
                  </w:tcBorders>
                  <w:shd w:val="clear" w:color="auto" w:fill="auto"/>
                  <w:noWrap/>
                  <w:tcMar>
                    <w:top w:w="15" w:type="dxa"/>
                    <w:left w:w="15" w:type="dxa"/>
                    <w:right w:w="15" w:type="dxa"/>
                  </w:tcMar>
                  <w:vAlign w:val="center"/>
                </w:tcPr>
                <w:p w14:paraId="256EF29C">
                  <w:pPr>
                    <w:pStyle w:val="44"/>
                    <w:rPr>
                      <w:rFonts w:ascii="Times New Roman"/>
                      <w:color w:val="auto"/>
                      <w:szCs w:val="21"/>
                      <w:highlight w:val="none"/>
                    </w:rPr>
                  </w:pPr>
                  <w:r>
                    <w:rPr>
                      <w:rFonts w:hint="eastAsia" w:ascii="Times New Roman"/>
                      <w:color w:val="auto"/>
                      <w:szCs w:val="21"/>
                      <w:highlight w:val="none"/>
                    </w:rPr>
                    <w:t>病理性废物</w:t>
                  </w:r>
                </w:p>
              </w:tc>
              <w:tc>
                <w:tcPr>
                  <w:tcW w:w="936" w:type="pct"/>
                  <w:tcBorders>
                    <w:tl2br w:val="nil"/>
                    <w:tr2bl w:val="nil"/>
                  </w:tcBorders>
                  <w:shd w:val="clear" w:color="auto" w:fill="auto"/>
                  <w:noWrap/>
                  <w:tcMar>
                    <w:top w:w="15" w:type="dxa"/>
                    <w:left w:w="15" w:type="dxa"/>
                    <w:right w:w="15" w:type="dxa"/>
                  </w:tcMar>
                  <w:vAlign w:val="center"/>
                </w:tcPr>
                <w:p w14:paraId="2C5E1155">
                  <w:pPr>
                    <w:pStyle w:val="44"/>
                    <w:rPr>
                      <w:rFonts w:ascii="Times New Roman"/>
                      <w:color w:val="auto"/>
                      <w:szCs w:val="21"/>
                      <w:highlight w:val="none"/>
                    </w:rPr>
                  </w:pPr>
                  <w:r>
                    <w:rPr>
                      <w:rFonts w:hint="eastAsia" w:ascii="Times New Roman"/>
                      <w:color w:val="auto"/>
                      <w:szCs w:val="21"/>
                      <w:highlight w:val="none"/>
                    </w:rPr>
                    <w:t>诊疗过程中产生的人体废弃物和医学实验动物尸体等。</w:t>
                  </w:r>
                </w:p>
              </w:tc>
              <w:tc>
                <w:tcPr>
                  <w:tcW w:w="3600" w:type="pct"/>
                  <w:tcBorders>
                    <w:tl2br w:val="nil"/>
                    <w:tr2bl w:val="nil"/>
                  </w:tcBorders>
                  <w:shd w:val="clear" w:color="auto" w:fill="auto"/>
                  <w:noWrap/>
                  <w:tcMar>
                    <w:top w:w="15" w:type="dxa"/>
                    <w:left w:w="15" w:type="dxa"/>
                    <w:right w:w="15" w:type="dxa"/>
                  </w:tcMar>
                  <w:vAlign w:val="center"/>
                </w:tcPr>
                <w:p w14:paraId="2FCBA85F">
                  <w:pPr>
                    <w:pStyle w:val="44"/>
                    <w:jc w:val="both"/>
                    <w:rPr>
                      <w:rFonts w:ascii="Times New Roman"/>
                      <w:color w:val="auto"/>
                      <w:szCs w:val="21"/>
                      <w:highlight w:val="none"/>
                    </w:rPr>
                  </w:pPr>
                  <w:r>
                    <w:rPr>
                      <w:rFonts w:hint="eastAsia" w:ascii="Times New Roman"/>
                      <w:color w:val="auto"/>
                      <w:szCs w:val="21"/>
                      <w:highlight w:val="none"/>
                    </w:rPr>
                    <w:t>1.手术及其他医学服务过程中产生的废弃的人体组织、器官；</w:t>
                  </w:r>
                </w:p>
                <w:p w14:paraId="33070AB8">
                  <w:pPr>
                    <w:pStyle w:val="44"/>
                    <w:jc w:val="both"/>
                    <w:rPr>
                      <w:rFonts w:ascii="Times New Roman"/>
                      <w:color w:val="auto"/>
                      <w:szCs w:val="21"/>
                      <w:highlight w:val="none"/>
                    </w:rPr>
                  </w:pPr>
                  <w:r>
                    <w:rPr>
                      <w:rFonts w:hint="eastAsia" w:ascii="Times New Roman"/>
                      <w:color w:val="auto"/>
                      <w:szCs w:val="21"/>
                      <w:highlight w:val="none"/>
                    </w:rPr>
                    <w:t>2.病理切片后废弃的人体组织、病理蜡块；</w:t>
                  </w:r>
                </w:p>
                <w:p w14:paraId="30331640">
                  <w:pPr>
                    <w:pStyle w:val="44"/>
                    <w:jc w:val="both"/>
                    <w:rPr>
                      <w:rFonts w:ascii="Times New Roman"/>
                      <w:color w:val="auto"/>
                      <w:szCs w:val="21"/>
                      <w:highlight w:val="none"/>
                    </w:rPr>
                  </w:pPr>
                  <w:r>
                    <w:rPr>
                      <w:rFonts w:hint="eastAsia" w:ascii="Times New Roman"/>
                      <w:color w:val="auto"/>
                      <w:szCs w:val="21"/>
                      <w:highlight w:val="none"/>
                    </w:rPr>
                    <w:t>3.废弃的医学实验动物的组织和尸体；</w:t>
                  </w:r>
                </w:p>
                <w:p w14:paraId="32E9742F">
                  <w:pPr>
                    <w:pStyle w:val="44"/>
                    <w:jc w:val="both"/>
                    <w:rPr>
                      <w:rFonts w:ascii="Times New Roman"/>
                      <w:color w:val="auto"/>
                      <w:szCs w:val="21"/>
                      <w:highlight w:val="none"/>
                    </w:rPr>
                  </w:pPr>
                  <w:r>
                    <w:rPr>
                      <w:rFonts w:hint="eastAsia" w:ascii="Times New Roman"/>
                      <w:color w:val="auto"/>
                      <w:szCs w:val="21"/>
                      <w:highlight w:val="none"/>
                    </w:rPr>
                    <w:t>4.16周胎龄以下或重量不足500克的胚胎组织等；</w:t>
                  </w:r>
                </w:p>
                <w:p w14:paraId="411B0E3C">
                  <w:pPr>
                    <w:pStyle w:val="44"/>
                    <w:jc w:val="both"/>
                    <w:rPr>
                      <w:rFonts w:ascii="Times New Roman"/>
                      <w:color w:val="auto"/>
                      <w:szCs w:val="21"/>
                      <w:highlight w:val="none"/>
                    </w:rPr>
                  </w:pPr>
                  <w:r>
                    <w:rPr>
                      <w:rFonts w:hint="eastAsia" w:ascii="Times New Roman"/>
                      <w:color w:val="auto"/>
                      <w:szCs w:val="21"/>
                      <w:highlight w:val="none"/>
                    </w:rPr>
                    <w:t>5.确诊、疑似传染病或携带传染病病原体的产妇的胎盘。</w:t>
                  </w:r>
                </w:p>
              </w:tc>
            </w:tr>
            <w:tr w14:paraId="25CDF36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462" w:type="pct"/>
                  <w:tcBorders>
                    <w:tl2br w:val="nil"/>
                    <w:tr2bl w:val="nil"/>
                  </w:tcBorders>
                  <w:shd w:val="clear" w:color="auto" w:fill="auto"/>
                  <w:noWrap/>
                  <w:tcMar>
                    <w:top w:w="15" w:type="dxa"/>
                    <w:left w:w="15" w:type="dxa"/>
                    <w:right w:w="15" w:type="dxa"/>
                  </w:tcMar>
                  <w:vAlign w:val="center"/>
                </w:tcPr>
                <w:p w14:paraId="37C0ACD7">
                  <w:pPr>
                    <w:pStyle w:val="44"/>
                    <w:rPr>
                      <w:rFonts w:ascii="Times New Roman"/>
                      <w:color w:val="auto"/>
                      <w:szCs w:val="21"/>
                      <w:highlight w:val="none"/>
                    </w:rPr>
                  </w:pPr>
                  <w:r>
                    <w:rPr>
                      <w:rFonts w:hint="eastAsia" w:ascii="Times New Roman"/>
                      <w:color w:val="auto"/>
                      <w:szCs w:val="21"/>
                      <w:highlight w:val="none"/>
                    </w:rPr>
                    <w:t>药物性废物</w:t>
                  </w:r>
                </w:p>
              </w:tc>
              <w:tc>
                <w:tcPr>
                  <w:tcW w:w="936" w:type="pct"/>
                  <w:tcBorders>
                    <w:tl2br w:val="nil"/>
                    <w:tr2bl w:val="nil"/>
                  </w:tcBorders>
                  <w:shd w:val="clear" w:color="auto" w:fill="auto"/>
                  <w:noWrap/>
                  <w:tcMar>
                    <w:top w:w="15" w:type="dxa"/>
                    <w:left w:w="15" w:type="dxa"/>
                    <w:right w:w="15" w:type="dxa"/>
                  </w:tcMar>
                  <w:vAlign w:val="center"/>
                </w:tcPr>
                <w:p w14:paraId="75B37690">
                  <w:pPr>
                    <w:pStyle w:val="44"/>
                    <w:rPr>
                      <w:rFonts w:ascii="Times New Roman"/>
                      <w:color w:val="auto"/>
                      <w:szCs w:val="21"/>
                      <w:highlight w:val="none"/>
                    </w:rPr>
                  </w:pPr>
                  <w:r>
                    <w:rPr>
                      <w:rFonts w:hint="eastAsia" w:ascii="Times New Roman"/>
                      <w:color w:val="auto"/>
                      <w:szCs w:val="21"/>
                      <w:highlight w:val="none"/>
                    </w:rPr>
                    <w:t>过期、淘汰、变质或者被污染的废弃的药物。</w:t>
                  </w:r>
                </w:p>
              </w:tc>
              <w:tc>
                <w:tcPr>
                  <w:tcW w:w="3600" w:type="pct"/>
                  <w:tcBorders>
                    <w:tl2br w:val="nil"/>
                    <w:tr2bl w:val="nil"/>
                  </w:tcBorders>
                  <w:shd w:val="clear" w:color="auto" w:fill="auto"/>
                  <w:noWrap/>
                  <w:tcMar>
                    <w:top w:w="15" w:type="dxa"/>
                    <w:left w:w="15" w:type="dxa"/>
                    <w:right w:w="15" w:type="dxa"/>
                  </w:tcMar>
                  <w:vAlign w:val="center"/>
                </w:tcPr>
                <w:p w14:paraId="00D876F1">
                  <w:pPr>
                    <w:pStyle w:val="44"/>
                    <w:jc w:val="both"/>
                    <w:rPr>
                      <w:rFonts w:ascii="Times New Roman"/>
                      <w:color w:val="auto"/>
                      <w:szCs w:val="21"/>
                      <w:highlight w:val="none"/>
                    </w:rPr>
                  </w:pPr>
                  <w:r>
                    <w:rPr>
                      <w:rFonts w:hint="eastAsia" w:ascii="Times New Roman"/>
                      <w:color w:val="auto"/>
                      <w:szCs w:val="21"/>
                      <w:highlight w:val="none"/>
                    </w:rPr>
                    <w:t>1.废弃的一般性药物；</w:t>
                  </w:r>
                </w:p>
                <w:p w14:paraId="0B579C26">
                  <w:pPr>
                    <w:pStyle w:val="44"/>
                    <w:jc w:val="both"/>
                    <w:rPr>
                      <w:rFonts w:ascii="Times New Roman"/>
                      <w:color w:val="auto"/>
                      <w:szCs w:val="21"/>
                      <w:highlight w:val="none"/>
                    </w:rPr>
                  </w:pPr>
                  <w:r>
                    <w:rPr>
                      <w:rFonts w:hint="eastAsia" w:ascii="Times New Roman"/>
                      <w:color w:val="auto"/>
                      <w:szCs w:val="21"/>
                      <w:highlight w:val="none"/>
                    </w:rPr>
                    <w:t>2.废弃的细胞毒性药物和遗传毒性药物；</w:t>
                  </w:r>
                </w:p>
                <w:p w14:paraId="3B0E11CF">
                  <w:pPr>
                    <w:pStyle w:val="44"/>
                    <w:jc w:val="both"/>
                    <w:rPr>
                      <w:rFonts w:ascii="Times New Roman"/>
                      <w:color w:val="auto"/>
                      <w:szCs w:val="21"/>
                      <w:highlight w:val="none"/>
                    </w:rPr>
                  </w:pPr>
                  <w:r>
                    <w:rPr>
                      <w:rFonts w:hint="eastAsia" w:ascii="Times New Roman"/>
                      <w:color w:val="auto"/>
                      <w:szCs w:val="21"/>
                      <w:highlight w:val="none"/>
                    </w:rPr>
                    <w:t>3.废弃的疫苗及血液制品。</w:t>
                  </w:r>
                </w:p>
              </w:tc>
            </w:tr>
            <w:tr w14:paraId="1AE5F44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462" w:type="pct"/>
                  <w:tcBorders>
                    <w:tl2br w:val="nil"/>
                    <w:tr2bl w:val="nil"/>
                  </w:tcBorders>
                  <w:shd w:val="clear" w:color="auto" w:fill="auto"/>
                  <w:noWrap/>
                  <w:tcMar>
                    <w:top w:w="15" w:type="dxa"/>
                    <w:left w:w="15" w:type="dxa"/>
                    <w:right w:w="15" w:type="dxa"/>
                  </w:tcMar>
                  <w:vAlign w:val="center"/>
                </w:tcPr>
                <w:p w14:paraId="690067D3">
                  <w:pPr>
                    <w:pStyle w:val="44"/>
                    <w:rPr>
                      <w:rFonts w:ascii="Times New Roman"/>
                      <w:color w:val="auto"/>
                      <w:szCs w:val="21"/>
                      <w:highlight w:val="none"/>
                    </w:rPr>
                  </w:pPr>
                  <w:r>
                    <w:rPr>
                      <w:rFonts w:hint="eastAsia" w:ascii="Times New Roman"/>
                      <w:color w:val="auto"/>
                      <w:szCs w:val="21"/>
                      <w:highlight w:val="none"/>
                    </w:rPr>
                    <w:t>化学性废物</w:t>
                  </w:r>
                </w:p>
              </w:tc>
              <w:tc>
                <w:tcPr>
                  <w:tcW w:w="936" w:type="pct"/>
                  <w:tcBorders>
                    <w:tl2br w:val="nil"/>
                    <w:tr2bl w:val="nil"/>
                  </w:tcBorders>
                  <w:shd w:val="clear" w:color="auto" w:fill="auto"/>
                  <w:noWrap/>
                  <w:tcMar>
                    <w:top w:w="15" w:type="dxa"/>
                    <w:left w:w="15" w:type="dxa"/>
                    <w:right w:w="15" w:type="dxa"/>
                  </w:tcMar>
                  <w:vAlign w:val="center"/>
                </w:tcPr>
                <w:p w14:paraId="4F9BF194">
                  <w:pPr>
                    <w:pStyle w:val="44"/>
                    <w:rPr>
                      <w:rFonts w:ascii="Times New Roman"/>
                      <w:color w:val="auto"/>
                      <w:szCs w:val="21"/>
                      <w:highlight w:val="none"/>
                    </w:rPr>
                  </w:pPr>
                  <w:r>
                    <w:rPr>
                      <w:rFonts w:hint="eastAsia" w:ascii="Times New Roman"/>
                      <w:color w:val="auto"/>
                      <w:szCs w:val="21"/>
                      <w:highlight w:val="none"/>
                    </w:rPr>
                    <w:t>具有毒性、腐蚀性、易燃性、反应性的废弃的化学物品。</w:t>
                  </w:r>
                </w:p>
              </w:tc>
              <w:tc>
                <w:tcPr>
                  <w:tcW w:w="3600" w:type="pct"/>
                  <w:tcBorders>
                    <w:tl2br w:val="nil"/>
                    <w:tr2bl w:val="nil"/>
                  </w:tcBorders>
                  <w:shd w:val="clear" w:color="auto" w:fill="auto"/>
                  <w:noWrap/>
                  <w:tcMar>
                    <w:top w:w="15" w:type="dxa"/>
                    <w:left w:w="15" w:type="dxa"/>
                    <w:right w:w="15" w:type="dxa"/>
                  </w:tcMar>
                  <w:vAlign w:val="center"/>
                </w:tcPr>
                <w:p w14:paraId="2C8F9222">
                  <w:pPr>
                    <w:pStyle w:val="44"/>
                    <w:jc w:val="both"/>
                    <w:rPr>
                      <w:rFonts w:ascii="Times New Roman"/>
                      <w:color w:val="auto"/>
                      <w:szCs w:val="21"/>
                      <w:highlight w:val="none"/>
                    </w:rPr>
                  </w:pPr>
                  <w:r>
                    <w:rPr>
                      <w:rFonts w:hint="eastAsia" w:ascii="Times New Roman"/>
                      <w:color w:val="auto"/>
                      <w:szCs w:val="21"/>
                      <w:highlight w:val="none"/>
                    </w:rPr>
                    <w:t>列入《国家危险废物名录》中的废弃危险化学品，如甲醛、二甲苯等；非特定行业来源的危险废物，如含汞血压计、含汞体温计，废弃的牙科汞合金材料及其残余物等。</w:t>
                  </w:r>
                </w:p>
              </w:tc>
            </w:tr>
          </w:tbl>
          <w:p w14:paraId="33FEE3F0">
            <w:pPr>
              <w:spacing w:line="360" w:lineRule="auto"/>
              <w:ind w:firstLine="480" w:firstLineChars="200"/>
              <w:rPr>
                <w:color w:val="auto"/>
                <w:sz w:val="24"/>
                <w:highlight w:val="none"/>
              </w:rPr>
            </w:pPr>
            <w:r>
              <w:rPr>
                <w:rFonts w:hint="eastAsia"/>
                <w:color w:val="auto"/>
                <w:sz w:val="24"/>
                <w:highlight w:val="none"/>
              </w:rPr>
              <w:t>我国市级以上总医院医疗废物产生量为2.1~4.2kg/d·床，各医院医疗废物的发生量与其所在地的医疗水平、医院规模相关，本项目设置床位较少，我国市级以上总医院医疗废物发生量为2.1~4.2kg/d·床，为保证数据合理性，本项目类比计算时排放系数相应下调，医疗废物产生量按1.0kg/d·床计，其中感染性废物产生量按0.5kg/d·床计，病理性废物产生量按0.2kg/d·床计，损伤性废物产生量按0.1kg/d·床计，化学性废物按0.1kg/d·床计，药物性废物按0.1kg/d·床计，本项目床位100张，则医疗废物产量为3.65t/a，其中感染性废物产生量为1.825t/a，病理性废物产生量为0.73t/a，损伤性废物产生量为0.365t/a，化学性废物为0.365t/a。药物性废物为0.365t/a。医疗废物由各楼层专用桶临时收集后，暂存于医疗废物暂存间，定期由有资质单位清运处理。</w:t>
            </w:r>
          </w:p>
          <w:p w14:paraId="547B3B11">
            <w:pPr>
              <w:snapToGrid w:val="0"/>
              <w:spacing w:line="360" w:lineRule="auto"/>
              <w:ind w:firstLine="480" w:firstLineChars="200"/>
              <w:rPr>
                <w:bCs/>
                <w:iCs/>
                <w:color w:val="auto"/>
                <w:sz w:val="24"/>
                <w:highlight w:val="none"/>
                <w:lang w:val="zh-CN"/>
              </w:rPr>
            </w:pPr>
            <w:r>
              <w:rPr>
                <w:rFonts w:hint="eastAsia"/>
                <w:bCs/>
                <w:iCs/>
                <w:color w:val="auto"/>
                <w:sz w:val="24"/>
                <w:highlight w:val="none"/>
                <w:lang w:val="zh-CN"/>
              </w:rPr>
              <w:t>根据《固体废物分类与代码目录》（公告</w:t>
            </w:r>
            <w:r>
              <w:rPr>
                <w:rFonts w:hint="eastAsia"/>
                <w:bCs/>
                <w:iCs/>
                <w:color w:val="auto"/>
                <w:sz w:val="24"/>
                <w:highlight w:val="none"/>
              </w:rPr>
              <w:t>2024年第4号</w:t>
            </w:r>
            <w:r>
              <w:rPr>
                <w:rFonts w:hint="eastAsia"/>
                <w:bCs/>
                <w:iCs/>
                <w:color w:val="auto"/>
                <w:sz w:val="24"/>
                <w:highlight w:val="none"/>
                <w:lang w:val="zh-CN"/>
              </w:rPr>
              <w:t>）本项目一般固体废物代码详见下表。</w:t>
            </w:r>
          </w:p>
          <w:p w14:paraId="1695D398">
            <w:pPr>
              <w:pStyle w:val="58"/>
              <w:numPr>
                <w:ilvl w:val="0"/>
                <w:numId w:val="0"/>
              </w:numPr>
              <w:adjustRightInd/>
              <w:snapToGrid/>
              <w:spacing w:line="240" w:lineRule="auto"/>
              <w:rPr>
                <w:b/>
                <w:color w:val="auto"/>
                <w:highlight w:val="none"/>
                <w:lang w:bidi="zh-CN"/>
              </w:rPr>
            </w:pPr>
            <w:r>
              <w:rPr>
                <w:b/>
                <w:color w:val="auto"/>
                <w:highlight w:val="none"/>
                <w:lang w:bidi="zh-CN"/>
              </w:rPr>
              <w:t>表4-</w:t>
            </w:r>
            <w:r>
              <w:rPr>
                <w:rFonts w:hint="eastAsia"/>
                <w:b/>
                <w:color w:val="auto"/>
                <w:highlight w:val="none"/>
                <w:lang w:bidi="zh-CN"/>
              </w:rPr>
              <w:t>14</w:t>
            </w:r>
            <w:r>
              <w:rPr>
                <w:b/>
                <w:color w:val="auto"/>
                <w:highlight w:val="none"/>
                <w:lang w:bidi="zh-CN"/>
              </w:rPr>
              <w:t xml:space="preserve"> </w:t>
            </w:r>
            <w:r>
              <w:rPr>
                <w:rFonts w:hint="eastAsia"/>
                <w:b/>
                <w:color w:val="auto"/>
                <w:highlight w:val="none"/>
                <w:lang w:bidi="zh-CN"/>
              </w:rPr>
              <w:t xml:space="preserve"> </w:t>
            </w:r>
            <w:r>
              <w:rPr>
                <w:b/>
                <w:color w:val="auto"/>
                <w:highlight w:val="none"/>
                <w:lang w:bidi="zh-CN"/>
              </w:rPr>
              <w:t>本项目</w:t>
            </w:r>
            <w:r>
              <w:rPr>
                <w:rFonts w:hint="eastAsia"/>
                <w:b/>
                <w:color w:val="auto"/>
                <w:highlight w:val="none"/>
                <w:lang w:bidi="zh-CN"/>
              </w:rPr>
              <w:t>一般</w:t>
            </w:r>
            <w:r>
              <w:rPr>
                <w:b/>
                <w:color w:val="auto"/>
                <w:highlight w:val="none"/>
                <w:lang w:bidi="zh-CN"/>
              </w:rPr>
              <w:t>固体废物产生情况汇总表</w:t>
            </w:r>
          </w:p>
          <w:tbl>
            <w:tblPr>
              <w:tblStyle w:val="28"/>
              <w:tblW w:w="844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56"/>
              <w:gridCol w:w="1546"/>
              <w:gridCol w:w="1114"/>
              <w:gridCol w:w="1177"/>
              <w:gridCol w:w="1483"/>
              <w:gridCol w:w="2567"/>
            </w:tblGrid>
            <w:tr w14:paraId="3E043C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556" w:type="dxa"/>
                  <w:vAlign w:val="center"/>
                </w:tcPr>
                <w:p w14:paraId="0CE32E96">
                  <w:pPr>
                    <w:jc w:val="center"/>
                    <w:rPr>
                      <w:color w:val="auto"/>
                      <w:kern w:val="0"/>
                      <w:szCs w:val="21"/>
                      <w:highlight w:val="none"/>
                    </w:rPr>
                  </w:pPr>
                  <w:r>
                    <w:rPr>
                      <w:color w:val="auto"/>
                      <w:kern w:val="0"/>
                      <w:szCs w:val="21"/>
                      <w:highlight w:val="none"/>
                    </w:rPr>
                    <w:t>序号</w:t>
                  </w:r>
                </w:p>
              </w:tc>
              <w:tc>
                <w:tcPr>
                  <w:tcW w:w="1546" w:type="dxa"/>
                  <w:vAlign w:val="center"/>
                </w:tcPr>
                <w:p w14:paraId="027EE519">
                  <w:pPr>
                    <w:jc w:val="center"/>
                    <w:rPr>
                      <w:color w:val="auto"/>
                      <w:kern w:val="0"/>
                      <w:szCs w:val="21"/>
                      <w:highlight w:val="none"/>
                    </w:rPr>
                  </w:pPr>
                  <w:r>
                    <w:rPr>
                      <w:color w:val="auto"/>
                      <w:kern w:val="0"/>
                      <w:szCs w:val="21"/>
                      <w:highlight w:val="none"/>
                    </w:rPr>
                    <w:t>固废名称</w:t>
                  </w:r>
                </w:p>
              </w:tc>
              <w:tc>
                <w:tcPr>
                  <w:tcW w:w="1114" w:type="dxa"/>
                  <w:vAlign w:val="center"/>
                </w:tcPr>
                <w:p w14:paraId="592790D3">
                  <w:pPr>
                    <w:autoSpaceDE w:val="0"/>
                    <w:autoSpaceDN w:val="0"/>
                    <w:adjustRightInd w:val="0"/>
                    <w:jc w:val="center"/>
                    <w:rPr>
                      <w:color w:val="auto"/>
                      <w:kern w:val="0"/>
                      <w:szCs w:val="21"/>
                      <w:highlight w:val="none"/>
                    </w:rPr>
                  </w:pPr>
                  <w:r>
                    <w:rPr>
                      <w:color w:val="auto"/>
                      <w:kern w:val="0"/>
                      <w:szCs w:val="21"/>
                      <w:highlight w:val="none"/>
                    </w:rPr>
                    <w:t>产生量</w:t>
                  </w:r>
                </w:p>
                <w:p w14:paraId="5DEBD6F4">
                  <w:pPr>
                    <w:autoSpaceDE w:val="0"/>
                    <w:autoSpaceDN w:val="0"/>
                    <w:adjustRightInd w:val="0"/>
                    <w:jc w:val="center"/>
                    <w:rPr>
                      <w:color w:val="auto"/>
                      <w:kern w:val="0"/>
                      <w:szCs w:val="21"/>
                      <w:highlight w:val="none"/>
                    </w:rPr>
                  </w:pPr>
                  <w:r>
                    <w:rPr>
                      <w:rFonts w:hint="eastAsia"/>
                      <w:color w:val="auto"/>
                      <w:kern w:val="0"/>
                      <w:szCs w:val="21"/>
                      <w:highlight w:val="none"/>
                    </w:rPr>
                    <w:t>（</w:t>
                  </w:r>
                  <w:r>
                    <w:rPr>
                      <w:color w:val="auto"/>
                      <w:kern w:val="0"/>
                      <w:szCs w:val="21"/>
                      <w:highlight w:val="none"/>
                    </w:rPr>
                    <w:t>吨/年）</w:t>
                  </w:r>
                </w:p>
              </w:tc>
              <w:tc>
                <w:tcPr>
                  <w:tcW w:w="1177" w:type="dxa"/>
                  <w:vAlign w:val="center"/>
                </w:tcPr>
                <w:p w14:paraId="3BA2397D">
                  <w:pPr>
                    <w:jc w:val="center"/>
                    <w:rPr>
                      <w:color w:val="auto"/>
                      <w:kern w:val="0"/>
                      <w:szCs w:val="21"/>
                      <w:highlight w:val="none"/>
                    </w:rPr>
                  </w:pPr>
                  <w:r>
                    <w:rPr>
                      <w:color w:val="auto"/>
                      <w:kern w:val="0"/>
                      <w:szCs w:val="21"/>
                      <w:highlight w:val="none"/>
                    </w:rPr>
                    <w:t>性质</w:t>
                  </w:r>
                </w:p>
              </w:tc>
              <w:tc>
                <w:tcPr>
                  <w:tcW w:w="1483" w:type="dxa"/>
                  <w:vAlign w:val="center"/>
                </w:tcPr>
                <w:p w14:paraId="59844AFF">
                  <w:pPr>
                    <w:jc w:val="center"/>
                    <w:rPr>
                      <w:color w:val="auto"/>
                      <w:kern w:val="0"/>
                      <w:szCs w:val="21"/>
                      <w:highlight w:val="none"/>
                    </w:rPr>
                  </w:pPr>
                  <w:r>
                    <w:rPr>
                      <w:color w:val="auto"/>
                      <w:kern w:val="0"/>
                      <w:szCs w:val="21"/>
                      <w:highlight w:val="none"/>
                    </w:rPr>
                    <w:t>代码</w:t>
                  </w:r>
                </w:p>
              </w:tc>
              <w:tc>
                <w:tcPr>
                  <w:tcW w:w="2567" w:type="dxa"/>
                  <w:vAlign w:val="center"/>
                </w:tcPr>
                <w:p w14:paraId="433E09A1">
                  <w:pPr>
                    <w:jc w:val="center"/>
                    <w:rPr>
                      <w:color w:val="auto"/>
                      <w:kern w:val="0"/>
                      <w:szCs w:val="21"/>
                      <w:highlight w:val="none"/>
                    </w:rPr>
                  </w:pPr>
                  <w:r>
                    <w:rPr>
                      <w:color w:val="auto"/>
                      <w:kern w:val="0"/>
                      <w:szCs w:val="21"/>
                      <w:highlight w:val="none"/>
                    </w:rPr>
                    <w:t>处理方式</w:t>
                  </w:r>
                </w:p>
              </w:tc>
            </w:tr>
            <w:tr w14:paraId="6568FC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vAlign w:val="center"/>
                </w:tcPr>
                <w:p w14:paraId="437FD0E1">
                  <w:pPr>
                    <w:jc w:val="center"/>
                    <w:rPr>
                      <w:color w:val="auto"/>
                      <w:kern w:val="0"/>
                      <w:szCs w:val="21"/>
                      <w:highlight w:val="none"/>
                    </w:rPr>
                  </w:pPr>
                  <w:r>
                    <w:rPr>
                      <w:color w:val="auto"/>
                      <w:kern w:val="0"/>
                      <w:szCs w:val="21"/>
                      <w:highlight w:val="none"/>
                    </w:rPr>
                    <w:t>1</w:t>
                  </w:r>
                </w:p>
              </w:tc>
              <w:tc>
                <w:tcPr>
                  <w:tcW w:w="1546" w:type="dxa"/>
                  <w:vAlign w:val="center"/>
                </w:tcPr>
                <w:p w14:paraId="197D16A4">
                  <w:pPr>
                    <w:jc w:val="center"/>
                    <w:rPr>
                      <w:color w:val="auto"/>
                      <w:kern w:val="0"/>
                      <w:szCs w:val="21"/>
                      <w:highlight w:val="none"/>
                    </w:rPr>
                  </w:pPr>
                  <w:r>
                    <w:rPr>
                      <w:color w:val="auto"/>
                      <w:kern w:val="0"/>
                      <w:szCs w:val="21"/>
                      <w:highlight w:val="none"/>
                    </w:rPr>
                    <w:t>生活垃圾</w:t>
                  </w:r>
                </w:p>
              </w:tc>
              <w:tc>
                <w:tcPr>
                  <w:tcW w:w="1114" w:type="dxa"/>
                  <w:vAlign w:val="center"/>
                </w:tcPr>
                <w:p w14:paraId="6EDA4F51">
                  <w:pPr>
                    <w:jc w:val="center"/>
                    <w:rPr>
                      <w:color w:val="auto"/>
                      <w:kern w:val="0"/>
                      <w:szCs w:val="21"/>
                      <w:highlight w:val="none"/>
                    </w:rPr>
                  </w:pPr>
                  <w:r>
                    <w:rPr>
                      <w:rFonts w:hint="eastAsia"/>
                      <w:color w:val="auto"/>
                      <w:kern w:val="0"/>
                      <w:szCs w:val="21"/>
                      <w:highlight w:val="none"/>
                    </w:rPr>
                    <w:t>115.89</w:t>
                  </w:r>
                </w:p>
              </w:tc>
              <w:tc>
                <w:tcPr>
                  <w:tcW w:w="1177" w:type="dxa"/>
                  <w:vAlign w:val="center"/>
                </w:tcPr>
                <w:p w14:paraId="4821CA0A">
                  <w:pPr>
                    <w:jc w:val="center"/>
                    <w:rPr>
                      <w:color w:val="auto"/>
                      <w:kern w:val="0"/>
                      <w:szCs w:val="21"/>
                      <w:highlight w:val="none"/>
                    </w:rPr>
                  </w:pPr>
                  <w:r>
                    <w:rPr>
                      <w:color w:val="auto"/>
                      <w:kern w:val="0"/>
                      <w:szCs w:val="21"/>
                      <w:highlight w:val="none"/>
                    </w:rPr>
                    <w:t>-</w:t>
                  </w:r>
                </w:p>
              </w:tc>
              <w:tc>
                <w:tcPr>
                  <w:tcW w:w="1483" w:type="dxa"/>
                  <w:tcBorders>
                    <w:bottom w:val="single" w:color="auto" w:sz="4" w:space="0"/>
                  </w:tcBorders>
                  <w:vAlign w:val="center"/>
                </w:tcPr>
                <w:p w14:paraId="5350C5F6">
                  <w:pPr>
                    <w:jc w:val="center"/>
                    <w:rPr>
                      <w:color w:val="auto"/>
                      <w:kern w:val="0"/>
                      <w:szCs w:val="21"/>
                      <w:highlight w:val="none"/>
                    </w:rPr>
                  </w:pPr>
                  <w:r>
                    <w:rPr>
                      <w:rFonts w:hint="eastAsia"/>
                      <w:color w:val="auto"/>
                      <w:kern w:val="0"/>
                      <w:szCs w:val="21"/>
                      <w:highlight w:val="none"/>
                    </w:rPr>
                    <w:t>900-099-S64</w:t>
                  </w:r>
                </w:p>
              </w:tc>
              <w:tc>
                <w:tcPr>
                  <w:tcW w:w="2567" w:type="dxa"/>
                  <w:vAlign w:val="center"/>
                </w:tcPr>
                <w:p w14:paraId="5CC75086">
                  <w:pPr>
                    <w:jc w:val="center"/>
                    <w:rPr>
                      <w:color w:val="auto"/>
                      <w:kern w:val="0"/>
                      <w:szCs w:val="21"/>
                      <w:highlight w:val="none"/>
                    </w:rPr>
                  </w:pPr>
                  <w:r>
                    <w:rPr>
                      <w:color w:val="auto"/>
                      <w:kern w:val="0"/>
                      <w:szCs w:val="21"/>
                      <w:highlight w:val="none"/>
                    </w:rPr>
                    <w:t>交环卫部门</w:t>
                  </w:r>
                  <w:r>
                    <w:rPr>
                      <w:rFonts w:hint="eastAsia"/>
                      <w:color w:val="auto"/>
                      <w:kern w:val="0"/>
                      <w:szCs w:val="21"/>
                      <w:highlight w:val="none"/>
                    </w:rPr>
                    <w:t>处理</w:t>
                  </w:r>
                </w:p>
              </w:tc>
            </w:tr>
            <w:tr w14:paraId="020089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vAlign w:val="center"/>
                </w:tcPr>
                <w:p w14:paraId="07AE495B">
                  <w:pPr>
                    <w:jc w:val="center"/>
                    <w:rPr>
                      <w:color w:val="auto"/>
                      <w:kern w:val="0"/>
                      <w:szCs w:val="21"/>
                      <w:highlight w:val="none"/>
                    </w:rPr>
                  </w:pPr>
                  <w:r>
                    <w:rPr>
                      <w:color w:val="auto"/>
                      <w:kern w:val="0"/>
                      <w:szCs w:val="21"/>
                      <w:highlight w:val="none"/>
                    </w:rPr>
                    <w:t>2</w:t>
                  </w:r>
                </w:p>
              </w:tc>
              <w:tc>
                <w:tcPr>
                  <w:tcW w:w="1546" w:type="dxa"/>
                  <w:vAlign w:val="center"/>
                </w:tcPr>
                <w:p w14:paraId="4440D324">
                  <w:pPr>
                    <w:jc w:val="center"/>
                    <w:rPr>
                      <w:color w:val="auto"/>
                      <w:kern w:val="0"/>
                      <w:szCs w:val="21"/>
                      <w:highlight w:val="none"/>
                    </w:rPr>
                  </w:pPr>
                  <w:r>
                    <w:rPr>
                      <w:rFonts w:hint="eastAsia"/>
                      <w:color w:val="auto"/>
                      <w:kern w:val="0"/>
                      <w:szCs w:val="21"/>
                      <w:highlight w:val="none"/>
                    </w:rPr>
                    <w:t>餐厨垃圾及隔油池废油脂</w:t>
                  </w:r>
                </w:p>
              </w:tc>
              <w:tc>
                <w:tcPr>
                  <w:tcW w:w="1114" w:type="dxa"/>
                  <w:vAlign w:val="center"/>
                </w:tcPr>
                <w:p w14:paraId="05F0F6EE">
                  <w:pPr>
                    <w:jc w:val="center"/>
                    <w:rPr>
                      <w:color w:val="auto"/>
                      <w:kern w:val="0"/>
                      <w:szCs w:val="21"/>
                      <w:highlight w:val="none"/>
                    </w:rPr>
                  </w:pPr>
                  <w:r>
                    <w:rPr>
                      <w:rFonts w:hint="eastAsia"/>
                      <w:color w:val="auto"/>
                      <w:kern w:val="0"/>
                      <w:szCs w:val="21"/>
                      <w:highlight w:val="none"/>
                    </w:rPr>
                    <w:t>1.316</w:t>
                  </w:r>
                </w:p>
              </w:tc>
              <w:tc>
                <w:tcPr>
                  <w:tcW w:w="1177" w:type="dxa"/>
                  <w:vAlign w:val="center"/>
                </w:tcPr>
                <w:p w14:paraId="083DBCB1">
                  <w:pPr>
                    <w:jc w:val="center"/>
                    <w:rPr>
                      <w:color w:val="auto"/>
                      <w:kern w:val="0"/>
                      <w:szCs w:val="21"/>
                      <w:highlight w:val="none"/>
                    </w:rPr>
                  </w:pPr>
                  <w:r>
                    <w:rPr>
                      <w:color w:val="auto"/>
                      <w:kern w:val="0"/>
                      <w:szCs w:val="21"/>
                      <w:highlight w:val="none"/>
                    </w:rPr>
                    <w:t>一般固废</w:t>
                  </w:r>
                </w:p>
              </w:tc>
              <w:tc>
                <w:tcPr>
                  <w:tcW w:w="1483" w:type="dxa"/>
                  <w:tcBorders>
                    <w:top w:val="single" w:color="auto" w:sz="4" w:space="0"/>
                    <w:bottom w:val="single" w:color="auto" w:sz="4" w:space="0"/>
                  </w:tcBorders>
                  <w:vAlign w:val="center"/>
                </w:tcPr>
                <w:p w14:paraId="437C7691">
                  <w:pPr>
                    <w:jc w:val="center"/>
                    <w:rPr>
                      <w:color w:val="auto"/>
                      <w:kern w:val="0"/>
                      <w:szCs w:val="21"/>
                      <w:highlight w:val="none"/>
                    </w:rPr>
                  </w:pPr>
                  <w:r>
                    <w:rPr>
                      <w:rFonts w:hint="eastAsia"/>
                      <w:color w:val="auto"/>
                      <w:kern w:val="0"/>
                      <w:szCs w:val="21"/>
                      <w:highlight w:val="none"/>
                    </w:rPr>
                    <w:t>900</w:t>
                  </w:r>
                  <w:r>
                    <w:rPr>
                      <w:color w:val="auto"/>
                      <w:kern w:val="0"/>
                      <w:szCs w:val="21"/>
                      <w:highlight w:val="none"/>
                    </w:rPr>
                    <w:t>-</w:t>
                  </w:r>
                  <w:r>
                    <w:rPr>
                      <w:rFonts w:hint="eastAsia"/>
                      <w:color w:val="auto"/>
                      <w:kern w:val="0"/>
                      <w:szCs w:val="21"/>
                      <w:highlight w:val="none"/>
                    </w:rPr>
                    <w:t>002</w:t>
                  </w:r>
                  <w:r>
                    <w:rPr>
                      <w:color w:val="auto"/>
                      <w:kern w:val="0"/>
                      <w:szCs w:val="21"/>
                      <w:highlight w:val="none"/>
                    </w:rPr>
                    <w:t>-</w:t>
                  </w:r>
                  <w:r>
                    <w:rPr>
                      <w:rFonts w:hint="eastAsia"/>
                      <w:color w:val="auto"/>
                      <w:kern w:val="0"/>
                      <w:szCs w:val="21"/>
                      <w:highlight w:val="none"/>
                    </w:rPr>
                    <w:t>S61</w:t>
                  </w:r>
                </w:p>
              </w:tc>
              <w:tc>
                <w:tcPr>
                  <w:tcW w:w="2567" w:type="dxa"/>
                  <w:vAlign w:val="center"/>
                </w:tcPr>
                <w:p w14:paraId="18DD6F38">
                  <w:pPr>
                    <w:jc w:val="center"/>
                    <w:rPr>
                      <w:color w:val="auto"/>
                      <w:kern w:val="0"/>
                      <w:szCs w:val="21"/>
                      <w:highlight w:val="none"/>
                    </w:rPr>
                  </w:pPr>
                  <w:r>
                    <w:rPr>
                      <w:rFonts w:hint="eastAsia" w:ascii="Times New Roman"/>
                      <w:color w:val="auto"/>
                      <w:szCs w:val="21"/>
                      <w:highlight w:val="none"/>
                      <w:lang w:eastAsia="zh-CN"/>
                    </w:rPr>
                    <w:t>委托有资质单位处理</w:t>
                  </w:r>
                </w:p>
              </w:tc>
            </w:tr>
            <w:tr w14:paraId="78BDF0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556" w:type="dxa"/>
                  <w:vAlign w:val="center"/>
                </w:tcPr>
                <w:p w14:paraId="69A0B753">
                  <w:pPr>
                    <w:jc w:val="center"/>
                    <w:rPr>
                      <w:color w:val="auto"/>
                      <w:kern w:val="0"/>
                      <w:szCs w:val="21"/>
                      <w:highlight w:val="none"/>
                    </w:rPr>
                  </w:pPr>
                  <w:r>
                    <w:rPr>
                      <w:rFonts w:hint="eastAsia"/>
                      <w:color w:val="auto"/>
                      <w:kern w:val="0"/>
                      <w:szCs w:val="21"/>
                      <w:highlight w:val="none"/>
                    </w:rPr>
                    <w:t>3</w:t>
                  </w:r>
                </w:p>
              </w:tc>
              <w:tc>
                <w:tcPr>
                  <w:tcW w:w="1546" w:type="dxa"/>
                  <w:vAlign w:val="center"/>
                </w:tcPr>
                <w:p w14:paraId="55A5CF42">
                  <w:pPr>
                    <w:jc w:val="center"/>
                    <w:rPr>
                      <w:color w:val="auto"/>
                      <w:kern w:val="0"/>
                      <w:szCs w:val="21"/>
                      <w:highlight w:val="none"/>
                    </w:rPr>
                  </w:pPr>
                  <w:r>
                    <w:rPr>
                      <w:rFonts w:hint="eastAsia"/>
                      <w:color w:val="auto"/>
                      <w:kern w:val="0"/>
                      <w:szCs w:val="21"/>
                      <w:highlight w:val="none"/>
                    </w:rPr>
                    <w:t>未感染的一次性输液袋</w:t>
                  </w:r>
                </w:p>
              </w:tc>
              <w:tc>
                <w:tcPr>
                  <w:tcW w:w="1114" w:type="dxa"/>
                  <w:vAlign w:val="center"/>
                </w:tcPr>
                <w:p w14:paraId="550CFB3B">
                  <w:pPr>
                    <w:jc w:val="center"/>
                    <w:rPr>
                      <w:color w:val="auto"/>
                      <w:kern w:val="0"/>
                      <w:szCs w:val="21"/>
                      <w:highlight w:val="none"/>
                    </w:rPr>
                  </w:pPr>
                  <w:r>
                    <w:rPr>
                      <w:rFonts w:hint="eastAsia"/>
                      <w:color w:val="auto"/>
                      <w:kern w:val="0"/>
                      <w:szCs w:val="21"/>
                      <w:highlight w:val="none"/>
                    </w:rPr>
                    <w:t>14.6</w:t>
                  </w:r>
                </w:p>
              </w:tc>
              <w:tc>
                <w:tcPr>
                  <w:tcW w:w="1177" w:type="dxa"/>
                  <w:vAlign w:val="center"/>
                </w:tcPr>
                <w:p w14:paraId="6E0EE19E">
                  <w:pPr>
                    <w:jc w:val="center"/>
                    <w:rPr>
                      <w:color w:val="auto"/>
                      <w:kern w:val="0"/>
                      <w:szCs w:val="21"/>
                      <w:highlight w:val="none"/>
                    </w:rPr>
                  </w:pPr>
                  <w:r>
                    <w:rPr>
                      <w:color w:val="auto"/>
                      <w:kern w:val="0"/>
                      <w:szCs w:val="21"/>
                      <w:highlight w:val="none"/>
                    </w:rPr>
                    <w:t>一般固废</w:t>
                  </w:r>
                </w:p>
              </w:tc>
              <w:tc>
                <w:tcPr>
                  <w:tcW w:w="1483" w:type="dxa"/>
                  <w:vAlign w:val="center"/>
                </w:tcPr>
                <w:p w14:paraId="4BF26CC6">
                  <w:pPr>
                    <w:jc w:val="center"/>
                    <w:rPr>
                      <w:color w:val="auto"/>
                      <w:kern w:val="0"/>
                      <w:szCs w:val="21"/>
                      <w:highlight w:val="none"/>
                    </w:rPr>
                  </w:pPr>
                  <w:r>
                    <w:rPr>
                      <w:rFonts w:hint="eastAsia"/>
                      <w:color w:val="auto"/>
                      <w:szCs w:val="21"/>
                      <w:highlight w:val="none"/>
                    </w:rPr>
                    <w:t>900-099-S59</w:t>
                  </w:r>
                </w:p>
              </w:tc>
              <w:tc>
                <w:tcPr>
                  <w:tcW w:w="2567" w:type="dxa"/>
                  <w:vAlign w:val="center"/>
                </w:tcPr>
                <w:p w14:paraId="2E43C3DE">
                  <w:pPr>
                    <w:jc w:val="center"/>
                    <w:rPr>
                      <w:color w:val="auto"/>
                      <w:kern w:val="0"/>
                      <w:szCs w:val="21"/>
                      <w:highlight w:val="none"/>
                    </w:rPr>
                  </w:pPr>
                  <w:r>
                    <w:rPr>
                      <w:rFonts w:hint="eastAsia"/>
                      <w:color w:val="auto"/>
                      <w:kern w:val="0"/>
                      <w:szCs w:val="21"/>
                      <w:highlight w:val="none"/>
                    </w:rPr>
                    <w:t>外卖废品收购站</w:t>
                  </w:r>
                </w:p>
              </w:tc>
            </w:tr>
            <w:tr w14:paraId="4B78A8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vAlign w:val="center"/>
                </w:tcPr>
                <w:p w14:paraId="29C4B67D">
                  <w:pPr>
                    <w:jc w:val="center"/>
                    <w:rPr>
                      <w:color w:val="auto"/>
                      <w:kern w:val="0"/>
                      <w:szCs w:val="21"/>
                      <w:highlight w:val="none"/>
                    </w:rPr>
                  </w:pPr>
                  <w:r>
                    <w:rPr>
                      <w:rFonts w:hint="eastAsia"/>
                      <w:color w:val="auto"/>
                      <w:kern w:val="0"/>
                      <w:szCs w:val="21"/>
                      <w:highlight w:val="none"/>
                    </w:rPr>
                    <w:t>4</w:t>
                  </w:r>
                </w:p>
              </w:tc>
              <w:tc>
                <w:tcPr>
                  <w:tcW w:w="1546" w:type="dxa"/>
                  <w:vAlign w:val="center"/>
                </w:tcPr>
                <w:p w14:paraId="7A99B232">
                  <w:pPr>
                    <w:jc w:val="center"/>
                    <w:rPr>
                      <w:color w:val="auto"/>
                      <w:kern w:val="0"/>
                      <w:szCs w:val="21"/>
                      <w:highlight w:val="none"/>
                    </w:rPr>
                  </w:pPr>
                  <w:r>
                    <w:rPr>
                      <w:rFonts w:hint="eastAsia"/>
                      <w:color w:val="auto"/>
                      <w:kern w:val="0"/>
                      <w:szCs w:val="21"/>
                      <w:highlight w:val="none"/>
                    </w:rPr>
                    <w:t>中药渣</w:t>
                  </w:r>
                </w:p>
              </w:tc>
              <w:tc>
                <w:tcPr>
                  <w:tcW w:w="1114" w:type="dxa"/>
                  <w:vAlign w:val="center"/>
                </w:tcPr>
                <w:p w14:paraId="755631BB">
                  <w:pPr>
                    <w:jc w:val="center"/>
                    <w:rPr>
                      <w:color w:val="auto"/>
                      <w:kern w:val="0"/>
                      <w:szCs w:val="21"/>
                      <w:highlight w:val="none"/>
                    </w:rPr>
                  </w:pPr>
                  <w:r>
                    <w:rPr>
                      <w:rFonts w:hint="eastAsia"/>
                      <w:color w:val="auto"/>
                      <w:kern w:val="0"/>
                      <w:szCs w:val="21"/>
                      <w:highlight w:val="none"/>
                    </w:rPr>
                    <w:t>1.6</w:t>
                  </w:r>
                </w:p>
              </w:tc>
              <w:tc>
                <w:tcPr>
                  <w:tcW w:w="1177" w:type="dxa"/>
                  <w:vAlign w:val="center"/>
                </w:tcPr>
                <w:p w14:paraId="06BEBFA9">
                  <w:pPr>
                    <w:jc w:val="center"/>
                    <w:rPr>
                      <w:color w:val="auto"/>
                      <w:kern w:val="0"/>
                      <w:szCs w:val="21"/>
                      <w:highlight w:val="none"/>
                    </w:rPr>
                  </w:pPr>
                  <w:r>
                    <w:rPr>
                      <w:color w:val="auto"/>
                      <w:kern w:val="0"/>
                      <w:szCs w:val="21"/>
                      <w:highlight w:val="none"/>
                    </w:rPr>
                    <w:t>一般固废</w:t>
                  </w:r>
                </w:p>
              </w:tc>
              <w:tc>
                <w:tcPr>
                  <w:tcW w:w="1483" w:type="dxa"/>
                  <w:vAlign w:val="center"/>
                </w:tcPr>
                <w:p w14:paraId="5ECB5916">
                  <w:pPr>
                    <w:jc w:val="center"/>
                    <w:rPr>
                      <w:color w:val="auto"/>
                      <w:szCs w:val="21"/>
                      <w:highlight w:val="none"/>
                    </w:rPr>
                  </w:pPr>
                  <w:r>
                    <w:rPr>
                      <w:rFonts w:hint="eastAsia"/>
                      <w:color w:val="auto"/>
                      <w:szCs w:val="21"/>
                      <w:highlight w:val="none"/>
                    </w:rPr>
                    <w:t>900-099-S59</w:t>
                  </w:r>
                </w:p>
              </w:tc>
              <w:tc>
                <w:tcPr>
                  <w:tcW w:w="2567" w:type="dxa"/>
                  <w:vAlign w:val="center"/>
                </w:tcPr>
                <w:p w14:paraId="3A257EA7">
                  <w:pPr>
                    <w:jc w:val="center"/>
                    <w:rPr>
                      <w:color w:val="auto"/>
                      <w:kern w:val="0"/>
                      <w:szCs w:val="21"/>
                      <w:highlight w:val="none"/>
                    </w:rPr>
                  </w:pPr>
                  <w:r>
                    <w:rPr>
                      <w:color w:val="auto"/>
                      <w:kern w:val="0"/>
                      <w:szCs w:val="21"/>
                      <w:highlight w:val="none"/>
                    </w:rPr>
                    <w:t>交环卫部门</w:t>
                  </w:r>
                  <w:r>
                    <w:rPr>
                      <w:rFonts w:hint="eastAsia"/>
                      <w:color w:val="auto"/>
                      <w:kern w:val="0"/>
                      <w:szCs w:val="21"/>
                      <w:highlight w:val="none"/>
                    </w:rPr>
                    <w:t>处理</w:t>
                  </w:r>
                </w:p>
              </w:tc>
            </w:tr>
          </w:tbl>
          <w:p w14:paraId="6EE35789">
            <w:pPr>
              <w:pStyle w:val="18"/>
              <w:spacing w:line="240" w:lineRule="auto"/>
              <w:ind w:left="0" w:leftChars="0" w:firstLine="480" w:firstLineChars="200"/>
              <w:rPr>
                <w:color w:val="auto"/>
                <w:kern w:val="0"/>
                <w:sz w:val="24"/>
                <w:szCs w:val="21"/>
                <w:highlight w:val="none"/>
              </w:rPr>
            </w:pPr>
          </w:p>
          <w:p w14:paraId="22A2041A">
            <w:pPr>
              <w:pStyle w:val="18"/>
              <w:spacing w:line="240" w:lineRule="auto"/>
              <w:ind w:left="0" w:leftChars="0" w:firstLine="480" w:firstLineChars="200"/>
              <w:rPr>
                <w:color w:val="auto"/>
                <w:kern w:val="0"/>
                <w:sz w:val="24"/>
                <w:szCs w:val="21"/>
                <w:highlight w:val="none"/>
              </w:rPr>
            </w:pPr>
            <w:r>
              <w:rPr>
                <w:color w:val="auto"/>
                <w:kern w:val="0"/>
                <w:sz w:val="24"/>
                <w:szCs w:val="21"/>
                <w:highlight w:val="none"/>
              </w:rPr>
              <w:t>本项目危险废物</w:t>
            </w:r>
            <w:r>
              <w:rPr>
                <w:rFonts w:hint="eastAsia"/>
                <w:color w:val="auto"/>
                <w:kern w:val="0"/>
                <w:sz w:val="24"/>
                <w:szCs w:val="21"/>
                <w:highlight w:val="none"/>
              </w:rPr>
              <w:t>产生情况</w:t>
            </w:r>
            <w:r>
              <w:rPr>
                <w:color w:val="auto"/>
                <w:kern w:val="0"/>
                <w:sz w:val="24"/>
                <w:szCs w:val="21"/>
                <w:highlight w:val="none"/>
              </w:rPr>
              <w:t>汇总见下表。</w:t>
            </w:r>
          </w:p>
          <w:p w14:paraId="3C84317D">
            <w:pPr>
              <w:pStyle w:val="5"/>
              <w:keepNext w:val="0"/>
              <w:keepLines w:val="0"/>
              <w:autoSpaceDE w:val="0"/>
              <w:autoSpaceDN w:val="0"/>
              <w:adjustRightInd w:val="0"/>
              <w:snapToGrid w:val="0"/>
              <w:spacing w:before="0" w:after="0" w:line="240" w:lineRule="auto"/>
              <w:jc w:val="center"/>
              <w:textAlignment w:val="baseline"/>
              <w:rPr>
                <w:rFonts w:ascii="Times New Roman" w:hAnsi="Times New Roman" w:eastAsia="宋体"/>
                <w:color w:val="auto"/>
                <w:sz w:val="24"/>
                <w:szCs w:val="21"/>
                <w:highlight w:val="none"/>
                <w:lang w:bidi="zh-CN"/>
              </w:rPr>
            </w:pPr>
            <w:r>
              <w:rPr>
                <w:rFonts w:ascii="Times New Roman" w:hAnsi="Times New Roman" w:eastAsia="宋体"/>
                <w:color w:val="auto"/>
                <w:sz w:val="24"/>
                <w:szCs w:val="21"/>
                <w:highlight w:val="none"/>
                <w:lang w:bidi="zh-CN"/>
              </w:rPr>
              <w:t>表4-</w:t>
            </w:r>
            <w:r>
              <w:rPr>
                <w:rFonts w:hint="eastAsia" w:ascii="Times New Roman" w:hAnsi="Times New Roman" w:eastAsia="宋体"/>
                <w:color w:val="auto"/>
                <w:sz w:val="24"/>
                <w:szCs w:val="21"/>
                <w:highlight w:val="none"/>
                <w:lang w:bidi="zh-CN"/>
              </w:rPr>
              <w:t>15</w:t>
            </w:r>
            <w:r>
              <w:rPr>
                <w:rFonts w:ascii="Times New Roman" w:hAnsi="Times New Roman" w:eastAsia="宋体"/>
                <w:color w:val="auto"/>
                <w:sz w:val="24"/>
                <w:szCs w:val="21"/>
                <w:highlight w:val="none"/>
                <w:lang w:bidi="zh-CN"/>
              </w:rPr>
              <w:t xml:space="preserve">  危险废物汇总表</w:t>
            </w:r>
          </w:p>
          <w:tbl>
            <w:tblPr>
              <w:tblStyle w:val="28"/>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76"/>
              <w:gridCol w:w="1196"/>
              <w:gridCol w:w="751"/>
              <w:gridCol w:w="737"/>
              <w:gridCol w:w="570"/>
              <w:gridCol w:w="692"/>
              <w:gridCol w:w="742"/>
              <w:gridCol w:w="491"/>
              <w:gridCol w:w="747"/>
              <w:gridCol w:w="822"/>
            </w:tblGrid>
            <w:tr w14:paraId="679A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1" w:type="dxa"/>
                  <w:tcBorders>
                    <w:top w:val="single" w:color="auto" w:sz="12" w:space="0"/>
                    <w:left w:val="nil"/>
                    <w:bottom w:val="single" w:color="auto" w:sz="4" w:space="0"/>
                  </w:tcBorders>
                  <w:vAlign w:val="center"/>
                </w:tcPr>
                <w:p w14:paraId="366B4C4C">
                  <w:pPr>
                    <w:jc w:val="center"/>
                    <w:rPr>
                      <w:i/>
                      <w:iCs w:val="0"/>
                      <w:color w:val="auto"/>
                      <w:kern w:val="0"/>
                      <w:szCs w:val="21"/>
                      <w:highlight w:val="none"/>
                      <w:u w:val="single"/>
                    </w:rPr>
                  </w:pPr>
                  <w:r>
                    <w:rPr>
                      <w:rFonts w:hint="eastAsia"/>
                      <w:i/>
                      <w:iCs w:val="0"/>
                      <w:color w:val="auto"/>
                      <w:kern w:val="0"/>
                      <w:szCs w:val="21"/>
                      <w:highlight w:val="none"/>
                      <w:u w:val="single"/>
                    </w:rPr>
                    <w:t>危险废物名称</w:t>
                  </w:r>
                </w:p>
              </w:tc>
              <w:tc>
                <w:tcPr>
                  <w:tcW w:w="776" w:type="dxa"/>
                  <w:tcBorders>
                    <w:top w:val="single" w:color="auto" w:sz="12" w:space="0"/>
                    <w:bottom w:val="single" w:color="auto" w:sz="4" w:space="0"/>
                  </w:tcBorders>
                  <w:vAlign w:val="center"/>
                </w:tcPr>
                <w:p w14:paraId="4D5AC8D0">
                  <w:pPr>
                    <w:jc w:val="center"/>
                    <w:rPr>
                      <w:i/>
                      <w:iCs w:val="0"/>
                      <w:color w:val="auto"/>
                      <w:kern w:val="0"/>
                      <w:szCs w:val="21"/>
                      <w:highlight w:val="none"/>
                      <w:u w:val="single"/>
                    </w:rPr>
                  </w:pPr>
                  <w:r>
                    <w:rPr>
                      <w:rFonts w:hint="eastAsia"/>
                      <w:i/>
                      <w:iCs w:val="0"/>
                      <w:color w:val="auto"/>
                      <w:kern w:val="0"/>
                      <w:szCs w:val="21"/>
                      <w:highlight w:val="none"/>
                      <w:u w:val="single"/>
                    </w:rPr>
                    <w:t>危险废物类别</w:t>
                  </w:r>
                </w:p>
              </w:tc>
              <w:tc>
                <w:tcPr>
                  <w:tcW w:w="1196" w:type="dxa"/>
                  <w:tcBorders>
                    <w:top w:val="single" w:color="auto" w:sz="12" w:space="0"/>
                    <w:bottom w:val="single" w:color="auto" w:sz="4" w:space="0"/>
                  </w:tcBorders>
                  <w:vAlign w:val="center"/>
                </w:tcPr>
                <w:p w14:paraId="2ED6BF29">
                  <w:pPr>
                    <w:jc w:val="center"/>
                    <w:rPr>
                      <w:i/>
                      <w:iCs w:val="0"/>
                      <w:color w:val="auto"/>
                      <w:kern w:val="0"/>
                      <w:szCs w:val="21"/>
                      <w:highlight w:val="none"/>
                      <w:u w:val="single"/>
                    </w:rPr>
                  </w:pPr>
                  <w:r>
                    <w:rPr>
                      <w:rFonts w:hint="eastAsia"/>
                      <w:i/>
                      <w:iCs w:val="0"/>
                      <w:color w:val="auto"/>
                      <w:kern w:val="0"/>
                      <w:szCs w:val="21"/>
                      <w:highlight w:val="none"/>
                      <w:u w:val="single"/>
                    </w:rPr>
                    <w:t>危险废物代码</w:t>
                  </w:r>
                </w:p>
              </w:tc>
              <w:tc>
                <w:tcPr>
                  <w:tcW w:w="751" w:type="dxa"/>
                  <w:tcBorders>
                    <w:top w:val="single" w:color="auto" w:sz="12" w:space="0"/>
                    <w:bottom w:val="single" w:color="auto" w:sz="4" w:space="0"/>
                  </w:tcBorders>
                  <w:vAlign w:val="center"/>
                </w:tcPr>
                <w:p w14:paraId="7F705B70">
                  <w:pPr>
                    <w:jc w:val="center"/>
                    <w:rPr>
                      <w:i/>
                      <w:iCs w:val="0"/>
                      <w:color w:val="auto"/>
                      <w:kern w:val="0"/>
                      <w:szCs w:val="21"/>
                      <w:highlight w:val="none"/>
                      <w:u w:val="single"/>
                    </w:rPr>
                  </w:pPr>
                  <w:r>
                    <w:rPr>
                      <w:rFonts w:hint="eastAsia"/>
                      <w:i/>
                      <w:iCs w:val="0"/>
                      <w:color w:val="auto"/>
                      <w:kern w:val="0"/>
                      <w:szCs w:val="21"/>
                      <w:highlight w:val="none"/>
                      <w:u w:val="single"/>
                    </w:rPr>
                    <w:t>产生量（t/a）</w:t>
                  </w:r>
                </w:p>
              </w:tc>
              <w:tc>
                <w:tcPr>
                  <w:tcW w:w="737" w:type="dxa"/>
                  <w:tcBorders>
                    <w:top w:val="single" w:color="auto" w:sz="12" w:space="0"/>
                    <w:bottom w:val="single" w:color="auto" w:sz="4" w:space="0"/>
                  </w:tcBorders>
                  <w:vAlign w:val="center"/>
                </w:tcPr>
                <w:p w14:paraId="1470C5D6">
                  <w:pPr>
                    <w:jc w:val="center"/>
                    <w:rPr>
                      <w:i/>
                      <w:iCs w:val="0"/>
                      <w:color w:val="auto"/>
                      <w:kern w:val="0"/>
                      <w:szCs w:val="21"/>
                      <w:highlight w:val="none"/>
                      <w:u w:val="single"/>
                    </w:rPr>
                  </w:pPr>
                  <w:r>
                    <w:rPr>
                      <w:rFonts w:hint="eastAsia"/>
                      <w:i/>
                      <w:iCs w:val="0"/>
                      <w:color w:val="auto"/>
                      <w:kern w:val="0"/>
                      <w:szCs w:val="21"/>
                      <w:highlight w:val="none"/>
                      <w:u w:val="single"/>
                    </w:rPr>
                    <w:t>产生工序及装置</w:t>
                  </w:r>
                </w:p>
              </w:tc>
              <w:tc>
                <w:tcPr>
                  <w:tcW w:w="570" w:type="dxa"/>
                  <w:tcBorders>
                    <w:top w:val="single" w:color="auto" w:sz="12" w:space="0"/>
                    <w:bottom w:val="single" w:color="auto" w:sz="4" w:space="0"/>
                  </w:tcBorders>
                  <w:vAlign w:val="center"/>
                </w:tcPr>
                <w:p w14:paraId="456256D1">
                  <w:pPr>
                    <w:jc w:val="center"/>
                    <w:rPr>
                      <w:i/>
                      <w:iCs w:val="0"/>
                      <w:color w:val="auto"/>
                      <w:kern w:val="0"/>
                      <w:szCs w:val="21"/>
                      <w:highlight w:val="none"/>
                      <w:u w:val="single"/>
                    </w:rPr>
                  </w:pPr>
                  <w:r>
                    <w:rPr>
                      <w:rFonts w:hint="eastAsia"/>
                      <w:i/>
                      <w:iCs w:val="0"/>
                      <w:color w:val="auto"/>
                      <w:kern w:val="0"/>
                      <w:szCs w:val="21"/>
                      <w:highlight w:val="none"/>
                      <w:u w:val="single"/>
                    </w:rPr>
                    <w:t>形态</w:t>
                  </w:r>
                </w:p>
              </w:tc>
              <w:tc>
                <w:tcPr>
                  <w:tcW w:w="692" w:type="dxa"/>
                  <w:tcBorders>
                    <w:top w:val="single" w:color="auto" w:sz="12" w:space="0"/>
                    <w:bottom w:val="single" w:color="auto" w:sz="4" w:space="0"/>
                  </w:tcBorders>
                  <w:vAlign w:val="center"/>
                </w:tcPr>
                <w:p w14:paraId="68A972FB">
                  <w:pPr>
                    <w:jc w:val="center"/>
                    <w:rPr>
                      <w:i/>
                      <w:iCs w:val="0"/>
                      <w:color w:val="auto"/>
                      <w:kern w:val="0"/>
                      <w:szCs w:val="21"/>
                      <w:highlight w:val="none"/>
                      <w:u w:val="single"/>
                    </w:rPr>
                  </w:pPr>
                  <w:r>
                    <w:rPr>
                      <w:rFonts w:hint="eastAsia"/>
                      <w:i/>
                      <w:iCs w:val="0"/>
                      <w:color w:val="auto"/>
                      <w:kern w:val="0"/>
                      <w:szCs w:val="21"/>
                      <w:highlight w:val="none"/>
                      <w:u w:val="single"/>
                    </w:rPr>
                    <w:t>主要</w:t>
                  </w:r>
                </w:p>
                <w:p w14:paraId="47ACE5F8">
                  <w:pPr>
                    <w:jc w:val="center"/>
                    <w:rPr>
                      <w:i/>
                      <w:iCs w:val="0"/>
                      <w:color w:val="auto"/>
                      <w:kern w:val="0"/>
                      <w:szCs w:val="21"/>
                      <w:highlight w:val="none"/>
                      <w:u w:val="single"/>
                    </w:rPr>
                  </w:pPr>
                  <w:r>
                    <w:rPr>
                      <w:rFonts w:hint="eastAsia"/>
                      <w:i/>
                      <w:iCs w:val="0"/>
                      <w:color w:val="auto"/>
                      <w:kern w:val="0"/>
                      <w:szCs w:val="21"/>
                      <w:highlight w:val="none"/>
                      <w:u w:val="single"/>
                    </w:rPr>
                    <w:t>成分</w:t>
                  </w:r>
                </w:p>
              </w:tc>
              <w:tc>
                <w:tcPr>
                  <w:tcW w:w="742" w:type="dxa"/>
                  <w:tcBorders>
                    <w:top w:val="single" w:color="auto" w:sz="12" w:space="0"/>
                    <w:bottom w:val="single" w:color="auto" w:sz="4" w:space="0"/>
                  </w:tcBorders>
                  <w:vAlign w:val="center"/>
                </w:tcPr>
                <w:p w14:paraId="4EFF2C51">
                  <w:pPr>
                    <w:jc w:val="center"/>
                    <w:rPr>
                      <w:i/>
                      <w:iCs w:val="0"/>
                      <w:color w:val="auto"/>
                      <w:kern w:val="0"/>
                      <w:szCs w:val="21"/>
                      <w:highlight w:val="none"/>
                      <w:u w:val="single"/>
                    </w:rPr>
                  </w:pPr>
                  <w:r>
                    <w:rPr>
                      <w:rFonts w:hint="eastAsia"/>
                      <w:i/>
                      <w:iCs w:val="0"/>
                      <w:color w:val="auto"/>
                      <w:kern w:val="0"/>
                      <w:szCs w:val="21"/>
                      <w:highlight w:val="none"/>
                      <w:u w:val="single"/>
                    </w:rPr>
                    <w:t>有害</w:t>
                  </w:r>
                </w:p>
                <w:p w14:paraId="2E53F55F">
                  <w:pPr>
                    <w:jc w:val="center"/>
                    <w:rPr>
                      <w:i/>
                      <w:iCs w:val="0"/>
                      <w:color w:val="auto"/>
                      <w:kern w:val="0"/>
                      <w:szCs w:val="21"/>
                      <w:highlight w:val="none"/>
                      <w:u w:val="single"/>
                    </w:rPr>
                  </w:pPr>
                  <w:r>
                    <w:rPr>
                      <w:rFonts w:hint="eastAsia"/>
                      <w:i/>
                      <w:iCs w:val="0"/>
                      <w:color w:val="auto"/>
                      <w:kern w:val="0"/>
                      <w:szCs w:val="21"/>
                      <w:highlight w:val="none"/>
                      <w:u w:val="single"/>
                    </w:rPr>
                    <w:t>成分</w:t>
                  </w:r>
                </w:p>
              </w:tc>
              <w:tc>
                <w:tcPr>
                  <w:tcW w:w="491" w:type="dxa"/>
                  <w:tcBorders>
                    <w:top w:val="single" w:color="auto" w:sz="12" w:space="0"/>
                    <w:bottom w:val="single" w:color="auto" w:sz="4" w:space="0"/>
                  </w:tcBorders>
                  <w:vAlign w:val="center"/>
                </w:tcPr>
                <w:p w14:paraId="65F8FE19">
                  <w:pPr>
                    <w:jc w:val="center"/>
                    <w:rPr>
                      <w:i/>
                      <w:iCs w:val="0"/>
                      <w:color w:val="auto"/>
                      <w:kern w:val="0"/>
                      <w:szCs w:val="21"/>
                      <w:highlight w:val="none"/>
                      <w:u w:val="single"/>
                    </w:rPr>
                  </w:pPr>
                  <w:r>
                    <w:rPr>
                      <w:rFonts w:hint="eastAsia"/>
                      <w:i/>
                      <w:iCs w:val="0"/>
                      <w:color w:val="auto"/>
                      <w:kern w:val="0"/>
                      <w:szCs w:val="21"/>
                      <w:highlight w:val="none"/>
                      <w:u w:val="single"/>
                    </w:rPr>
                    <w:t>产废</w:t>
                  </w:r>
                </w:p>
                <w:p w14:paraId="1C38F4F4">
                  <w:pPr>
                    <w:jc w:val="center"/>
                    <w:rPr>
                      <w:i/>
                      <w:iCs w:val="0"/>
                      <w:color w:val="auto"/>
                      <w:kern w:val="0"/>
                      <w:szCs w:val="21"/>
                      <w:highlight w:val="none"/>
                      <w:u w:val="single"/>
                    </w:rPr>
                  </w:pPr>
                  <w:r>
                    <w:rPr>
                      <w:rFonts w:hint="eastAsia"/>
                      <w:i/>
                      <w:iCs w:val="0"/>
                      <w:color w:val="auto"/>
                      <w:kern w:val="0"/>
                      <w:szCs w:val="21"/>
                      <w:highlight w:val="none"/>
                      <w:u w:val="single"/>
                    </w:rPr>
                    <w:t>周期</w:t>
                  </w:r>
                </w:p>
              </w:tc>
              <w:tc>
                <w:tcPr>
                  <w:tcW w:w="747" w:type="dxa"/>
                  <w:tcBorders>
                    <w:top w:val="single" w:color="auto" w:sz="12" w:space="0"/>
                    <w:bottom w:val="single" w:color="auto" w:sz="4" w:space="0"/>
                    <w:right w:val="nil"/>
                  </w:tcBorders>
                  <w:vAlign w:val="center"/>
                </w:tcPr>
                <w:p w14:paraId="5019EF62">
                  <w:pPr>
                    <w:jc w:val="center"/>
                    <w:rPr>
                      <w:i/>
                      <w:iCs w:val="0"/>
                      <w:color w:val="auto"/>
                      <w:kern w:val="0"/>
                      <w:szCs w:val="21"/>
                      <w:highlight w:val="none"/>
                      <w:u w:val="single"/>
                    </w:rPr>
                  </w:pPr>
                  <w:r>
                    <w:rPr>
                      <w:rFonts w:hint="eastAsia"/>
                      <w:i/>
                      <w:iCs w:val="0"/>
                      <w:color w:val="auto"/>
                      <w:kern w:val="0"/>
                      <w:szCs w:val="21"/>
                      <w:highlight w:val="none"/>
                      <w:u w:val="single"/>
                    </w:rPr>
                    <w:t>危险特性</w:t>
                  </w:r>
                </w:p>
              </w:tc>
              <w:tc>
                <w:tcPr>
                  <w:tcW w:w="822" w:type="dxa"/>
                  <w:tcBorders>
                    <w:top w:val="single" w:color="auto" w:sz="12" w:space="0"/>
                    <w:bottom w:val="single" w:color="auto" w:sz="4" w:space="0"/>
                    <w:right w:val="nil"/>
                  </w:tcBorders>
                  <w:vAlign w:val="center"/>
                </w:tcPr>
                <w:p w14:paraId="0E016C07">
                  <w:pPr>
                    <w:jc w:val="center"/>
                    <w:rPr>
                      <w:i/>
                      <w:iCs w:val="0"/>
                      <w:color w:val="auto"/>
                      <w:kern w:val="0"/>
                      <w:szCs w:val="21"/>
                      <w:highlight w:val="none"/>
                      <w:u w:val="single"/>
                    </w:rPr>
                  </w:pPr>
                  <w:r>
                    <w:rPr>
                      <w:rFonts w:hint="eastAsia"/>
                      <w:i/>
                      <w:iCs w:val="0"/>
                      <w:color w:val="auto"/>
                      <w:kern w:val="0"/>
                      <w:szCs w:val="21"/>
                      <w:highlight w:val="none"/>
                      <w:u w:val="single"/>
                    </w:rPr>
                    <w:t>污染防治措施</w:t>
                  </w:r>
                </w:p>
              </w:tc>
            </w:tr>
            <w:tr w14:paraId="28CE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1" w:type="dxa"/>
                  <w:tcBorders>
                    <w:left w:val="nil"/>
                  </w:tcBorders>
                  <w:vAlign w:val="center"/>
                </w:tcPr>
                <w:p w14:paraId="1CAA97DB">
                  <w:pPr>
                    <w:jc w:val="center"/>
                    <w:rPr>
                      <w:i/>
                      <w:iCs w:val="0"/>
                      <w:color w:val="auto"/>
                      <w:kern w:val="0"/>
                      <w:szCs w:val="21"/>
                      <w:highlight w:val="none"/>
                      <w:u w:val="single"/>
                    </w:rPr>
                  </w:pPr>
                  <w:r>
                    <w:rPr>
                      <w:rFonts w:hint="eastAsia"/>
                      <w:i/>
                      <w:iCs w:val="0"/>
                      <w:color w:val="auto"/>
                      <w:kern w:val="0"/>
                      <w:szCs w:val="21"/>
                      <w:highlight w:val="none"/>
                      <w:u w:val="single"/>
                    </w:rPr>
                    <w:t>化粪池污泥</w:t>
                  </w:r>
                </w:p>
              </w:tc>
              <w:tc>
                <w:tcPr>
                  <w:tcW w:w="776" w:type="dxa"/>
                  <w:vAlign w:val="center"/>
                </w:tcPr>
                <w:p w14:paraId="57907BFB">
                  <w:pPr>
                    <w:jc w:val="center"/>
                    <w:rPr>
                      <w:i/>
                      <w:iCs w:val="0"/>
                      <w:color w:val="auto"/>
                      <w:kern w:val="0"/>
                      <w:szCs w:val="21"/>
                      <w:highlight w:val="none"/>
                      <w:u w:val="single"/>
                    </w:rPr>
                  </w:pPr>
                  <w:r>
                    <w:rPr>
                      <w:rFonts w:hint="eastAsia"/>
                      <w:i/>
                      <w:iCs w:val="0"/>
                      <w:color w:val="auto"/>
                      <w:kern w:val="0"/>
                      <w:szCs w:val="21"/>
                      <w:highlight w:val="none"/>
                      <w:u w:val="single"/>
                    </w:rPr>
                    <w:t>HW01</w:t>
                  </w:r>
                </w:p>
              </w:tc>
              <w:tc>
                <w:tcPr>
                  <w:tcW w:w="1196" w:type="dxa"/>
                  <w:vAlign w:val="center"/>
                </w:tcPr>
                <w:p w14:paraId="5CF13AB4">
                  <w:pPr>
                    <w:jc w:val="center"/>
                    <w:rPr>
                      <w:i/>
                      <w:iCs w:val="0"/>
                      <w:color w:val="auto"/>
                      <w:kern w:val="0"/>
                      <w:szCs w:val="21"/>
                      <w:highlight w:val="none"/>
                      <w:u w:val="single"/>
                    </w:rPr>
                  </w:pPr>
                  <w:r>
                    <w:rPr>
                      <w:rFonts w:hint="eastAsia"/>
                      <w:i/>
                      <w:iCs w:val="0"/>
                      <w:color w:val="auto"/>
                      <w:kern w:val="0"/>
                      <w:szCs w:val="21"/>
                      <w:highlight w:val="none"/>
                      <w:u w:val="single"/>
                    </w:rPr>
                    <w:t>841-001-01</w:t>
                  </w:r>
                </w:p>
              </w:tc>
              <w:tc>
                <w:tcPr>
                  <w:tcW w:w="751" w:type="dxa"/>
                  <w:vAlign w:val="center"/>
                </w:tcPr>
                <w:p w14:paraId="2D65E229">
                  <w:pPr>
                    <w:jc w:val="center"/>
                    <w:rPr>
                      <w:rFonts w:hint="default" w:eastAsia="宋体"/>
                      <w:i/>
                      <w:iCs w:val="0"/>
                      <w:color w:val="auto"/>
                      <w:kern w:val="0"/>
                      <w:szCs w:val="21"/>
                      <w:highlight w:val="none"/>
                      <w:u w:val="single"/>
                      <w:lang w:val="en-US" w:eastAsia="zh-CN"/>
                    </w:rPr>
                  </w:pPr>
                  <w:r>
                    <w:rPr>
                      <w:rFonts w:hint="eastAsia"/>
                      <w:i/>
                      <w:iCs w:val="0"/>
                      <w:color w:val="auto"/>
                      <w:kern w:val="0"/>
                      <w:szCs w:val="21"/>
                      <w:highlight w:val="none"/>
                      <w:u w:val="single"/>
                      <w:lang w:val="en-US" w:eastAsia="zh-CN"/>
                    </w:rPr>
                    <w:t>2.4</w:t>
                  </w:r>
                </w:p>
              </w:tc>
              <w:tc>
                <w:tcPr>
                  <w:tcW w:w="737" w:type="dxa"/>
                  <w:vAlign w:val="center"/>
                </w:tcPr>
                <w:p w14:paraId="38A1FF69">
                  <w:pPr>
                    <w:jc w:val="center"/>
                    <w:rPr>
                      <w:i/>
                      <w:iCs w:val="0"/>
                      <w:color w:val="auto"/>
                      <w:kern w:val="0"/>
                      <w:szCs w:val="21"/>
                      <w:highlight w:val="none"/>
                      <w:u w:val="single"/>
                    </w:rPr>
                  </w:pPr>
                  <w:r>
                    <w:rPr>
                      <w:rFonts w:hint="eastAsia"/>
                      <w:i/>
                      <w:iCs w:val="0"/>
                      <w:color w:val="auto"/>
                      <w:kern w:val="0"/>
                      <w:szCs w:val="21"/>
                      <w:highlight w:val="none"/>
                      <w:u w:val="single"/>
                    </w:rPr>
                    <w:t>化粪池</w:t>
                  </w:r>
                </w:p>
              </w:tc>
              <w:tc>
                <w:tcPr>
                  <w:tcW w:w="570" w:type="dxa"/>
                  <w:vAlign w:val="center"/>
                </w:tcPr>
                <w:p w14:paraId="39D021AE">
                  <w:pPr>
                    <w:jc w:val="center"/>
                    <w:rPr>
                      <w:i/>
                      <w:iCs w:val="0"/>
                      <w:color w:val="auto"/>
                      <w:kern w:val="0"/>
                      <w:szCs w:val="21"/>
                      <w:highlight w:val="none"/>
                      <w:u w:val="single"/>
                    </w:rPr>
                  </w:pPr>
                  <w:r>
                    <w:rPr>
                      <w:rFonts w:hint="eastAsia"/>
                      <w:i/>
                      <w:iCs w:val="0"/>
                      <w:color w:val="auto"/>
                      <w:kern w:val="0"/>
                      <w:szCs w:val="21"/>
                      <w:highlight w:val="none"/>
                      <w:u w:val="single"/>
                    </w:rPr>
                    <w:t>固/液态</w:t>
                  </w:r>
                </w:p>
              </w:tc>
              <w:tc>
                <w:tcPr>
                  <w:tcW w:w="692" w:type="dxa"/>
                  <w:vAlign w:val="center"/>
                </w:tcPr>
                <w:p w14:paraId="00A8F571">
                  <w:pPr>
                    <w:jc w:val="center"/>
                    <w:rPr>
                      <w:i/>
                      <w:iCs w:val="0"/>
                      <w:color w:val="auto"/>
                      <w:kern w:val="0"/>
                      <w:szCs w:val="21"/>
                      <w:highlight w:val="none"/>
                      <w:u w:val="single"/>
                    </w:rPr>
                  </w:pPr>
                  <w:r>
                    <w:rPr>
                      <w:rFonts w:hint="eastAsia"/>
                      <w:i/>
                      <w:iCs w:val="0"/>
                      <w:color w:val="auto"/>
                      <w:kern w:val="0"/>
                      <w:szCs w:val="21"/>
                      <w:highlight w:val="none"/>
                      <w:u w:val="single"/>
                    </w:rPr>
                    <w:t>有机污染物</w:t>
                  </w:r>
                </w:p>
              </w:tc>
              <w:tc>
                <w:tcPr>
                  <w:tcW w:w="742" w:type="dxa"/>
                  <w:vAlign w:val="center"/>
                </w:tcPr>
                <w:p w14:paraId="6CDCB2BC">
                  <w:pPr>
                    <w:jc w:val="center"/>
                    <w:rPr>
                      <w:i/>
                      <w:iCs w:val="0"/>
                      <w:color w:val="auto"/>
                      <w:kern w:val="0"/>
                      <w:szCs w:val="21"/>
                      <w:highlight w:val="none"/>
                      <w:u w:val="single"/>
                    </w:rPr>
                  </w:pPr>
                  <w:r>
                    <w:rPr>
                      <w:rFonts w:hint="eastAsia"/>
                      <w:i/>
                      <w:iCs w:val="0"/>
                      <w:color w:val="auto"/>
                      <w:kern w:val="0"/>
                      <w:szCs w:val="21"/>
                      <w:highlight w:val="none"/>
                      <w:u w:val="single"/>
                    </w:rPr>
                    <w:t>有机污染物</w:t>
                  </w:r>
                </w:p>
              </w:tc>
              <w:tc>
                <w:tcPr>
                  <w:tcW w:w="491" w:type="dxa"/>
                  <w:vAlign w:val="center"/>
                </w:tcPr>
                <w:p w14:paraId="69C1C976">
                  <w:pPr>
                    <w:jc w:val="center"/>
                    <w:rPr>
                      <w:i/>
                      <w:iCs w:val="0"/>
                      <w:color w:val="auto"/>
                      <w:kern w:val="0"/>
                      <w:szCs w:val="21"/>
                      <w:highlight w:val="none"/>
                      <w:u w:val="single"/>
                    </w:rPr>
                  </w:pPr>
                  <w:r>
                    <w:rPr>
                      <w:rFonts w:hint="eastAsia"/>
                      <w:i/>
                      <w:iCs w:val="0"/>
                      <w:color w:val="auto"/>
                      <w:kern w:val="0"/>
                      <w:szCs w:val="21"/>
                      <w:highlight w:val="none"/>
                      <w:u w:val="single"/>
                    </w:rPr>
                    <w:t>年</w:t>
                  </w:r>
                </w:p>
              </w:tc>
              <w:tc>
                <w:tcPr>
                  <w:tcW w:w="747" w:type="dxa"/>
                  <w:tcBorders>
                    <w:right w:val="nil"/>
                  </w:tcBorders>
                  <w:vAlign w:val="center"/>
                </w:tcPr>
                <w:p w14:paraId="4A5AA04A">
                  <w:pPr>
                    <w:jc w:val="center"/>
                    <w:rPr>
                      <w:i/>
                      <w:iCs w:val="0"/>
                      <w:color w:val="auto"/>
                      <w:kern w:val="0"/>
                      <w:szCs w:val="21"/>
                      <w:highlight w:val="none"/>
                      <w:u w:val="single"/>
                    </w:rPr>
                  </w:pPr>
                  <w:r>
                    <w:rPr>
                      <w:rFonts w:hint="eastAsia"/>
                      <w:i/>
                      <w:iCs w:val="0"/>
                      <w:color w:val="auto"/>
                      <w:kern w:val="0"/>
                      <w:szCs w:val="21"/>
                      <w:highlight w:val="none"/>
                      <w:u w:val="single"/>
                    </w:rPr>
                    <w:t>In</w:t>
                  </w:r>
                </w:p>
              </w:tc>
              <w:tc>
                <w:tcPr>
                  <w:tcW w:w="822" w:type="dxa"/>
                  <w:tcBorders>
                    <w:right w:val="nil"/>
                  </w:tcBorders>
                  <w:vAlign w:val="center"/>
                </w:tcPr>
                <w:p w14:paraId="11C40A5B">
                  <w:pPr>
                    <w:jc w:val="center"/>
                    <w:rPr>
                      <w:i/>
                      <w:iCs w:val="0"/>
                      <w:color w:val="auto"/>
                      <w:kern w:val="0"/>
                      <w:szCs w:val="21"/>
                      <w:highlight w:val="none"/>
                      <w:u w:val="single"/>
                    </w:rPr>
                  </w:pPr>
                  <w:r>
                    <w:rPr>
                      <w:rFonts w:hint="eastAsia"/>
                      <w:i/>
                      <w:iCs w:val="0"/>
                      <w:color w:val="auto"/>
                      <w:kern w:val="0"/>
                      <w:szCs w:val="21"/>
                      <w:highlight w:val="none"/>
                      <w:u w:val="single"/>
                    </w:rPr>
                    <w:t>定期清淘，委托资质单位处置</w:t>
                  </w:r>
                </w:p>
              </w:tc>
            </w:tr>
            <w:tr w14:paraId="28A7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41" w:type="dxa"/>
                  <w:tcBorders>
                    <w:left w:val="nil"/>
                  </w:tcBorders>
                  <w:vAlign w:val="center"/>
                </w:tcPr>
                <w:p w14:paraId="02C41A6D">
                  <w:pPr>
                    <w:jc w:val="center"/>
                    <w:rPr>
                      <w:i/>
                      <w:iCs w:val="0"/>
                      <w:color w:val="auto"/>
                      <w:kern w:val="0"/>
                      <w:szCs w:val="21"/>
                      <w:highlight w:val="none"/>
                      <w:u w:val="single"/>
                    </w:rPr>
                  </w:pPr>
                  <w:r>
                    <w:rPr>
                      <w:rFonts w:hint="eastAsia"/>
                      <w:i/>
                      <w:iCs w:val="0"/>
                      <w:color w:val="auto"/>
                      <w:kern w:val="0"/>
                      <w:szCs w:val="21"/>
                      <w:highlight w:val="none"/>
                      <w:u w:val="single"/>
                    </w:rPr>
                    <w:t>污水站污泥</w:t>
                  </w:r>
                </w:p>
              </w:tc>
              <w:tc>
                <w:tcPr>
                  <w:tcW w:w="776" w:type="dxa"/>
                  <w:shd w:val="clear" w:color="auto" w:fill="auto"/>
                  <w:vAlign w:val="center"/>
                </w:tcPr>
                <w:p w14:paraId="383675FB">
                  <w:pPr>
                    <w:jc w:val="center"/>
                    <w:rPr>
                      <w:i/>
                      <w:iCs w:val="0"/>
                      <w:color w:val="auto"/>
                      <w:kern w:val="0"/>
                      <w:szCs w:val="21"/>
                      <w:highlight w:val="none"/>
                      <w:u w:val="single"/>
                    </w:rPr>
                  </w:pPr>
                  <w:r>
                    <w:rPr>
                      <w:rFonts w:hint="eastAsia"/>
                      <w:i/>
                      <w:iCs w:val="0"/>
                      <w:color w:val="auto"/>
                      <w:kern w:val="0"/>
                      <w:szCs w:val="21"/>
                      <w:highlight w:val="none"/>
                      <w:u w:val="single"/>
                    </w:rPr>
                    <w:t>HW01</w:t>
                  </w:r>
                </w:p>
              </w:tc>
              <w:tc>
                <w:tcPr>
                  <w:tcW w:w="1196" w:type="dxa"/>
                  <w:shd w:val="clear" w:color="auto" w:fill="auto"/>
                  <w:vAlign w:val="center"/>
                </w:tcPr>
                <w:p w14:paraId="1C58E260">
                  <w:pPr>
                    <w:jc w:val="center"/>
                    <w:rPr>
                      <w:i/>
                      <w:iCs w:val="0"/>
                      <w:color w:val="auto"/>
                      <w:kern w:val="0"/>
                      <w:szCs w:val="21"/>
                      <w:highlight w:val="none"/>
                      <w:u w:val="single"/>
                    </w:rPr>
                  </w:pPr>
                  <w:r>
                    <w:rPr>
                      <w:rFonts w:hint="eastAsia"/>
                      <w:i/>
                      <w:iCs w:val="0"/>
                      <w:color w:val="auto"/>
                      <w:kern w:val="0"/>
                      <w:szCs w:val="21"/>
                      <w:highlight w:val="none"/>
                      <w:u w:val="single"/>
                    </w:rPr>
                    <w:t>841-001-01</w:t>
                  </w:r>
                </w:p>
              </w:tc>
              <w:tc>
                <w:tcPr>
                  <w:tcW w:w="751" w:type="dxa"/>
                  <w:vAlign w:val="center"/>
                </w:tcPr>
                <w:p w14:paraId="18F12C3B">
                  <w:pPr>
                    <w:jc w:val="center"/>
                    <w:rPr>
                      <w:rFonts w:hint="default" w:eastAsia="宋体"/>
                      <w:i/>
                      <w:iCs w:val="0"/>
                      <w:color w:val="auto"/>
                      <w:kern w:val="0"/>
                      <w:szCs w:val="21"/>
                      <w:highlight w:val="none"/>
                      <w:u w:val="single"/>
                      <w:lang w:val="en-US" w:eastAsia="zh-CN"/>
                    </w:rPr>
                  </w:pPr>
                  <w:r>
                    <w:rPr>
                      <w:rFonts w:hint="eastAsia"/>
                      <w:i/>
                      <w:iCs w:val="0"/>
                      <w:color w:val="auto"/>
                      <w:kern w:val="0"/>
                      <w:szCs w:val="21"/>
                      <w:highlight w:val="none"/>
                      <w:u w:val="single"/>
                      <w:lang w:val="en-US" w:eastAsia="zh-CN"/>
                    </w:rPr>
                    <w:t>3.7</w:t>
                  </w:r>
                </w:p>
              </w:tc>
              <w:tc>
                <w:tcPr>
                  <w:tcW w:w="737" w:type="dxa"/>
                  <w:vAlign w:val="center"/>
                </w:tcPr>
                <w:p w14:paraId="773AA57A">
                  <w:pPr>
                    <w:jc w:val="center"/>
                    <w:rPr>
                      <w:i/>
                      <w:iCs w:val="0"/>
                      <w:color w:val="auto"/>
                      <w:kern w:val="0"/>
                      <w:szCs w:val="21"/>
                      <w:highlight w:val="none"/>
                      <w:u w:val="single"/>
                    </w:rPr>
                  </w:pPr>
                  <w:r>
                    <w:rPr>
                      <w:rFonts w:hint="eastAsia"/>
                      <w:i/>
                      <w:iCs w:val="0"/>
                      <w:color w:val="auto"/>
                      <w:kern w:val="0"/>
                      <w:szCs w:val="21"/>
                      <w:highlight w:val="none"/>
                      <w:u w:val="single"/>
                    </w:rPr>
                    <w:t>污水站</w:t>
                  </w:r>
                </w:p>
              </w:tc>
              <w:tc>
                <w:tcPr>
                  <w:tcW w:w="570" w:type="dxa"/>
                  <w:vAlign w:val="center"/>
                </w:tcPr>
                <w:p w14:paraId="1FEB358E">
                  <w:pPr>
                    <w:jc w:val="center"/>
                    <w:rPr>
                      <w:i/>
                      <w:iCs w:val="0"/>
                      <w:color w:val="auto"/>
                      <w:kern w:val="0"/>
                      <w:szCs w:val="21"/>
                      <w:highlight w:val="none"/>
                      <w:u w:val="single"/>
                    </w:rPr>
                  </w:pPr>
                  <w:r>
                    <w:rPr>
                      <w:rFonts w:hint="eastAsia"/>
                      <w:i/>
                      <w:iCs w:val="0"/>
                      <w:color w:val="auto"/>
                      <w:kern w:val="0"/>
                      <w:szCs w:val="21"/>
                      <w:highlight w:val="none"/>
                      <w:u w:val="single"/>
                    </w:rPr>
                    <w:t>固/液态</w:t>
                  </w:r>
                </w:p>
              </w:tc>
              <w:tc>
                <w:tcPr>
                  <w:tcW w:w="692" w:type="dxa"/>
                  <w:vAlign w:val="center"/>
                </w:tcPr>
                <w:p w14:paraId="1D72425C">
                  <w:pPr>
                    <w:jc w:val="center"/>
                    <w:rPr>
                      <w:i/>
                      <w:iCs w:val="0"/>
                      <w:color w:val="auto"/>
                      <w:kern w:val="0"/>
                      <w:szCs w:val="21"/>
                      <w:highlight w:val="none"/>
                      <w:u w:val="single"/>
                    </w:rPr>
                  </w:pPr>
                  <w:r>
                    <w:rPr>
                      <w:rFonts w:hint="eastAsia"/>
                      <w:i/>
                      <w:iCs w:val="0"/>
                      <w:color w:val="auto"/>
                      <w:kern w:val="0"/>
                      <w:szCs w:val="21"/>
                      <w:highlight w:val="none"/>
                      <w:u w:val="single"/>
                    </w:rPr>
                    <w:t>有机污染物</w:t>
                  </w:r>
                </w:p>
              </w:tc>
              <w:tc>
                <w:tcPr>
                  <w:tcW w:w="742" w:type="dxa"/>
                  <w:vAlign w:val="center"/>
                </w:tcPr>
                <w:p w14:paraId="4368789F">
                  <w:pPr>
                    <w:jc w:val="center"/>
                    <w:rPr>
                      <w:i/>
                      <w:iCs w:val="0"/>
                      <w:color w:val="auto"/>
                      <w:kern w:val="0"/>
                      <w:szCs w:val="21"/>
                      <w:highlight w:val="none"/>
                      <w:u w:val="single"/>
                    </w:rPr>
                  </w:pPr>
                  <w:r>
                    <w:rPr>
                      <w:rFonts w:hint="eastAsia"/>
                      <w:i/>
                      <w:iCs w:val="0"/>
                      <w:color w:val="auto"/>
                      <w:kern w:val="0"/>
                      <w:szCs w:val="21"/>
                      <w:highlight w:val="none"/>
                      <w:u w:val="single"/>
                    </w:rPr>
                    <w:t>有机污染物</w:t>
                  </w:r>
                </w:p>
              </w:tc>
              <w:tc>
                <w:tcPr>
                  <w:tcW w:w="491" w:type="dxa"/>
                  <w:vAlign w:val="center"/>
                </w:tcPr>
                <w:p w14:paraId="19E84441">
                  <w:pPr>
                    <w:jc w:val="center"/>
                    <w:rPr>
                      <w:i/>
                      <w:iCs w:val="0"/>
                      <w:color w:val="auto"/>
                      <w:kern w:val="0"/>
                      <w:szCs w:val="21"/>
                      <w:highlight w:val="none"/>
                      <w:u w:val="single"/>
                    </w:rPr>
                  </w:pPr>
                  <w:r>
                    <w:rPr>
                      <w:rFonts w:hint="eastAsia"/>
                      <w:i/>
                      <w:iCs w:val="0"/>
                      <w:color w:val="auto"/>
                      <w:kern w:val="0"/>
                      <w:szCs w:val="21"/>
                      <w:highlight w:val="none"/>
                      <w:u w:val="single"/>
                    </w:rPr>
                    <w:t>年</w:t>
                  </w:r>
                </w:p>
              </w:tc>
              <w:tc>
                <w:tcPr>
                  <w:tcW w:w="747" w:type="dxa"/>
                  <w:tcBorders>
                    <w:right w:val="nil"/>
                  </w:tcBorders>
                  <w:vAlign w:val="center"/>
                </w:tcPr>
                <w:p w14:paraId="7E8F38F1">
                  <w:pPr>
                    <w:jc w:val="center"/>
                    <w:rPr>
                      <w:i/>
                      <w:iCs w:val="0"/>
                      <w:color w:val="auto"/>
                      <w:kern w:val="0"/>
                      <w:szCs w:val="21"/>
                      <w:highlight w:val="none"/>
                      <w:u w:val="single"/>
                    </w:rPr>
                  </w:pPr>
                  <w:r>
                    <w:rPr>
                      <w:rFonts w:hint="eastAsia"/>
                      <w:i/>
                      <w:iCs w:val="0"/>
                      <w:color w:val="auto"/>
                      <w:kern w:val="0"/>
                      <w:szCs w:val="21"/>
                      <w:highlight w:val="none"/>
                      <w:u w:val="single"/>
                    </w:rPr>
                    <w:t>In</w:t>
                  </w:r>
                </w:p>
              </w:tc>
              <w:tc>
                <w:tcPr>
                  <w:tcW w:w="822" w:type="dxa"/>
                  <w:tcBorders>
                    <w:right w:val="nil"/>
                  </w:tcBorders>
                  <w:vAlign w:val="center"/>
                </w:tcPr>
                <w:p w14:paraId="578872C1">
                  <w:pPr>
                    <w:jc w:val="center"/>
                    <w:rPr>
                      <w:i/>
                      <w:iCs w:val="0"/>
                      <w:color w:val="auto"/>
                      <w:kern w:val="0"/>
                      <w:szCs w:val="21"/>
                      <w:highlight w:val="none"/>
                      <w:u w:val="single"/>
                    </w:rPr>
                  </w:pPr>
                </w:p>
              </w:tc>
            </w:tr>
          </w:tbl>
          <w:p w14:paraId="73BDABB7">
            <w:pPr>
              <w:pStyle w:val="5"/>
              <w:keepNext w:val="0"/>
              <w:keepLines w:val="0"/>
              <w:autoSpaceDE w:val="0"/>
              <w:autoSpaceDN w:val="0"/>
              <w:adjustRightInd w:val="0"/>
              <w:snapToGrid w:val="0"/>
              <w:spacing w:before="0" w:after="0" w:line="240" w:lineRule="auto"/>
              <w:jc w:val="center"/>
              <w:textAlignment w:val="baseline"/>
              <w:rPr>
                <w:rFonts w:ascii="Times New Roman" w:hAnsi="Times New Roman" w:eastAsia="宋体"/>
                <w:color w:val="auto"/>
                <w:sz w:val="24"/>
                <w:szCs w:val="21"/>
                <w:highlight w:val="none"/>
                <w:lang w:bidi="zh-CN"/>
              </w:rPr>
            </w:pPr>
            <w:r>
              <w:rPr>
                <w:rFonts w:hint="eastAsia" w:ascii="Times New Roman" w:hAnsi="Times New Roman" w:eastAsia="宋体"/>
                <w:color w:val="auto"/>
                <w:sz w:val="24"/>
                <w:szCs w:val="21"/>
                <w:highlight w:val="none"/>
                <w:lang w:bidi="zh-CN"/>
              </w:rPr>
              <w:t>（续）</w:t>
            </w:r>
            <w:r>
              <w:rPr>
                <w:rFonts w:ascii="Times New Roman" w:hAnsi="Times New Roman" w:eastAsia="宋体"/>
                <w:color w:val="auto"/>
                <w:sz w:val="24"/>
                <w:szCs w:val="21"/>
                <w:highlight w:val="none"/>
                <w:lang w:bidi="zh-CN"/>
              </w:rPr>
              <w:t>表4-</w:t>
            </w:r>
            <w:r>
              <w:rPr>
                <w:rFonts w:hint="eastAsia" w:ascii="Times New Roman" w:hAnsi="Times New Roman" w:eastAsia="宋体"/>
                <w:color w:val="auto"/>
                <w:sz w:val="24"/>
                <w:szCs w:val="21"/>
                <w:highlight w:val="none"/>
                <w:lang w:bidi="zh-CN"/>
              </w:rPr>
              <w:t>15</w:t>
            </w:r>
            <w:r>
              <w:rPr>
                <w:rFonts w:ascii="Times New Roman" w:hAnsi="Times New Roman" w:eastAsia="宋体"/>
                <w:color w:val="auto"/>
                <w:sz w:val="24"/>
                <w:szCs w:val="21"/>
                <w:highlight w:val="none"/>
                <w:lang w:bidi="zh-CN"/>
              </w:rPr>
              <w:t xml:space="preserve">  危险废物汇总表</w:t>
            </w:r>
          </w:p>
          <w:tbl>
            <w:tblPr>
              <w:tblStyle w:val="28"/>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471"/>
              <w:gridCol w:w="776"/>
              <w:gridCol w:w="1196"/>
              <w:gridCol w:w="851"/>
              <w:gridCol w:w="778"/>
              <w:gridCol w:w="429"/>
              <w:gridCol w:w="692"/>
              <w:gridCol w:w="563"/>
              <w:gridCol w:w="547"/>
              <w:gridCol w:w="870"/>
              <w:gridCol w:w="822"/>
            </w:tblGrid>
            <w:tr w14:paraId="5C59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41" w:type="dxa"/>
                  <w:gridSpan w:val="2"/>
                  <w:tcBorders>
                    <w:top w:val="single" w:color="auto" w:sz="12" w:space="0"/>
                    <w:left w:val="nil"/>
                    <w:bottom w:val="single" w:color="auto" w:sz="4" w:space="0"/>
                  </w:tcBorders>
                  <w:vAlign w:val="center"/>
                </w:tcPr>
                <w:p w14:paraId="4E718503">
                  <w:pPr>
                    <w:jc w:val="center"/>
                    <w:rPr>
                      <w:i/>
                      <w:iCs w:val="0"/>
                      <w:color w:val="auto"/>
                      <w:kern w:val="0"/>
                      <w:szCs w:val="21"/>
                      <w:highlight w:val="none"/>
                      <w:u w:val="single"/>
                    </w:rPr>
                  </w:pPr>
                  <w:r>
                    <w:rPr>
                      <w:rFonts w:hint="eastAsia"/>
                      <w:i/>
                      <w:iCs w:val="0"/>
                      <w:color w:val="auto"/>
                      <w:kern w:val="0"/>
                      <w:szCs w:val="21"/>
                      <w:highlight w:val="none"/>
                      <w:u w:val="single"/>
                    </w:rPr>
                    <w:t>危险废物名称</w:t>
                  </w:r>
                </w:p>
              </w:tc>
              <w:tc>
                <w:tcPr>
                  <w:tcW w:w="776" w:type="dxa"/>
                  <w:tcBorders>
                    <w:top w:val="single" w:color="auto" w:sz="12" w:space="0"/>
                    <w:bottom w:val="single" w:color="auto" w:sz="4" w:space="0"/>
                  </w:tcBorders>
                  <w:vAlign w:val="center"/>
                </w:tcPr>
                <w:p w14:paraId="7408B5E7">
                  <w:pPr>
                    <w:jc w:val="center"/>
                    <w:rPr>
                      <w:i/>
                      <w:iCs w:val="0"/>
                      <w:color w:val="auto"/>
                      <w:kern w:val="0"/>
                      <w:szCs w:val="21"/>
                      <w:highlight w:val="none"/>
                      <w:u w:val="single"/>
                    </w:rPr>
                  </w:pPr>
                  <w:r>
                    <w:rPr>
                      <w:rFonts w:hint="eastAsia"/>
                      <w:i/>
                      <w:iCs w:val="0"/>
                      <w:color w:val="auto"/>
                      <w:kern w:val="0"/>
                      <w:szCs w:val="21"/>
                      <w:highlight w:val="none"/>
                      <w:u w:val="single"/>
                    </w:rPr>
                    <w:t>危险废物类别</w:t>
                  </w:r>
                </w:p>
              </w:tc>
              <w:tc>
                <w:tcPr>
                  <w:tcW w:w="1196" w:type="dxa"/>
                  <w:tcBorders>
                    <w:top w:val="single" w:color="auto" w:sz="12" w:space="0"/>
                    <w:bottom w:val="single" w:color="auto" w:sz="4" w:space="0"/>
                  </w:tcBorders>
                  <w:vAlign w:val="center"/>
                </w:tcPr>
                <w:p w14:paraId="0D375BC0">
                  <w:pPr>
                    <w:jc w:val="center"/>
                    <w:rPr>
                      <w:i/>
                      <w:iCs w:val="0"/>
                      <w:color w:val="auto"/>
                      <w:kern w:val="0"/>
                      <w:szCs w:val="21"/>
                      <w:highlight w:val="none"/>
                      <w:u w:val="single"/>
                    </w:rPr>
                  </w:pPr>
                  <w:r>
                    <w:rPr>
                      <w:rFonts w:hint="eastAsia"/>
                      <w:i/>
                      <w:iCs w:val="0"/>
                      <w:color w:val="auto"/>
                      <w:kern w:val="0"/>
                      <w:szCs w:val="21"/>
                      <w:highlight w:val="none"/>
                      <w:u w:val="single"/>
                    </w:rPr>
                    <w:t>危险废物代码</w:t>
                  </w:r>
                </w:p>
              </w:tc>
              <w:tc>
                <w:tcPr>
                  <w:tcW w:w="851" w:type="dxa"/>
                  <w:tcBorders>
                    <w:top w:val="single" w:color="auto" w:sz="12" w:space="0"/>
                    <w:bottom w:val="single" w:color="auto" w:sz="4" w:space="0"/>
                  </w:tcBorders>
                  <w:vAlign w:val="center"/>
                </w:tcPr>
                <w:p w14:paraId="1FC79FE8">
                  <w:pPr>
                    <w:jc w:val="center"/>
                    <w:rPr>
                      <w:i/>
                      <w:iCs w:val="0"/>
                      <w:color w:val="auto"/>
                      <w:kern w:val="0"/>
                      <w:szCs w:val="21"/>
                      <w:highlight w:val="none"/>
                      <w:u w:val="single"/>
                    </w:rPr>
                  </w:pPr>
                  <w:r>
                    <w:rPr>
                      <w:rFonts w:hint="eastAsia"/>
                      <w:i/>
                      <w:iCs w:val="0"/>
                      <w:color w:val="auto"/>
                      <w:kern w:val="0"/>
                      <w:szCs w:val="21"/>
                      <w:highlight w:val="none"/>
                      <w:u w:val="single"/>
                    </w:rPr>
                    <w:t>产生量（t/a）</w:t>
                  </w:r>
                </w:p>
              </w:tc>
              <w:tc>
                <w:tcPr>
                  <w:tcW w:w="778" w:type="dxa"/>
                  <w:tcBorders>
                    <w:top w:val="single" w:color="auto" w:sz="12" w:space="0"/>
                    <w:bottom w:val="single" w:color="auto" w:sz="4" w:space="0"/>
                  </w:tcBorders>
                  <w:vAlign w:val="center"/>
                </w:tcPr>
                <w:p w14:paraId="484E41E0">
                  <w:pPr>
                    <w:jc w:val="center"/>
                    <w:rPr>
                      <w:i/>
                      <w:iCs w:val="0"/>
                      <w:color w:val="auto"/>
                      <w:kern w:val="0"/>
                      <w:szCs w:val="21"/>
                      <w:highlight w:val="none"/>
                      <w:u w:val="single"/>
                    </w:rPr>
                  </w:pPr>
                  <w:r>
                    <w:rPr>
                      <w:rFonts w:hint="eastAsia"/>
                      <w:i/>
                      <w:iCs w:val="0"/>
                      <w:color w:val="auto"/>
                      <w:kern w:val="0"/>
                      <w:szCs w:val="21"/>
                      <w:highlight w:val="none"/>
                      <w:u w:val="single"/>
                    </w:rPr>
                    <w:t>产生工序及装置</w:t>
                  </w:r>
                </w:p>
              </w:tc>
              <w:tc>
                <w:tcPr>
                  <w:tcW w:w="429" w:type="dxa"/>
                  <w:tcBorders>
                    <w:top w:val="single" w:color="auto" w:sz="12" w:space="0"/>
                    <w:bottom w:val="single" w:color="auto" w:sz="4" w:space="0"/>
                  </w:tcBorders>
                  <w:vAlign w:val="center"/>
                </w:tcPr>
                <w:p w14:paraId="7D4209DC">
                  <w:pPr>
                    <w:jc w:val="center"/>
                    <w:rPr>
                      <w:i/>
                      <w:iCs w:val="0"/>
                      <w:color w:val="auto"/>
                      <w:kern w:val="0"/>
                      <w:szCs w:val="21"/>
                      <w:highlight w:val="none"/>
                      <w:u w:val="single"/>
                    </w:rPr>
                  </w:pPr>
                  <w:r>
                    <w:rPr>
                      <w:rFonts w:hint="eastAsia"/>
                      <w:i/>
                      <w:iCs w:val="0"/>
                      <w:color w:val="auto"/>
                      <w:kern w:val="0"/>
                      <w:szCs w:val="21"/>
                      <w:highlight w:val="none"/>
                      <w:u w:val="single"/>
                    </w:rPr>
                    <w:t>形态</w:t>
                  </w:r>
                </w:p>
              </w:tc>
              <w:tc>
                <w:tcPr>
                  <w:tcW w:w="692" w:type="dxa"/>
                  <w:tcBorders>
                    <w:top w:val="single" w:color="auto" w:sz="12" w:space="0"/>
                    <w:bottom w:val="single" w:color="auto" w:sz="4" w:space="0"/>
                  </w:tcBorders>
                  <w:vAlign w:val="center"/>
                </w:tcPr>
                <w:p w14:paraId="698134CE">
                  <w:pPr>
                    <w:jc w:val="center"/>
                    <w:rPr>
                      <w:i/>
                      <w:iCs w:val="0"/>
                      <w:color w:val="auto"/>
                      <w:kern w:val="0"/>
                      <w:szCs w:val="21"/>
                      <w:highlight w:val="none"/>
                      <w:u w:val="single"/>
                    </w:rPr>
                  </w:pPr>
                  <w:r>
                    <w:rPr>
                      <w:rFonts w:hint="eastAsia"/>
                      <w:i/>
                      <w:iCs w:val="0"/>
                      <w:color w:val="auto"/>
                      <w:kern w:val="0"/>
                      <w:szCs w:val="21"/>
                      <w:highlight w:val="none"/>
                      <w:u w:val="single"/>
                    </w:rPr>
                    <w:t>主要</w:t>
                  </w:r>
                </w:p>
                <w:p w14:paraId="1CD3B4A8">
                  <w:pPr>
                    <w:jc w:val="center"/>
                    <w:rPr>
                      <w:i/>
                      <w:iCs w:val="0"/>
                      <w:color w:val="auto"/>
                      <w:kern w:val="0"/>
                      <w:szCs w:val="21"/>
                      <w:highlight w:val="none"/>
                      <w:u w:val="single"/>
                    </w:rPr>
                  </w:pPr>
                  <w:r>
                    <w:rPr>
                      <w:rFonts w:hint="eastAsia"/>
                      <w:i/>
                      <w:iCs w:val="0"/>
                      <w:color w:val="auto"/>
                      <w:kern w:val="0"/>
                      <w:szCs w:val="21"/>
                      <w:highlight w:val="none"/>
                      <w:u w:val="single"/>
                    </w:rPr>
                    <w:t>成分</w:t>
                  </w:r>
                </w:p>
              </w:tc>
              <w:tc>
                <w:tcPr>
                  <w:tcW w:w="563" w:type="dxa"/>
                  <w:tcBorders>
                    <w:top w:val="single" w:color="auto" w:sz="12" w:space="0"/>
                    <w:bottom w:val="single" w:color="auto" w:sz="4" w:space="0"/>
                  </w:tcBorders>
                  <w:vAlign w:val="center"/>
                </w:tcPr>
                <w:p w14:paraId="00C64124">
                  <w:pPr>
                    <w:jc w:val="center"/>
                    <w:rPr>
                      <w:i/>
                      <w:iCs w:val="0"/>
                      <w:color w:val="auto"/>
                      <w:kern w:val="0"/>
                      <w:szCs w:val="21"/>
                      <w:highlight w:val="none"/>
                      <w:u w:val="single"/>
                    </w:rPr>
                  </w:pPr>
                  <w:r>
                    <w:rPr>
                      <w:rFonts w:hint="eastAsia"/>
                      <w:i/>
                      <w:iCs w:val="0"/>
                      <w:color w:val="auto"/>
                      <w:kern w:val="0"/>
                      <w:szCs w:val="21"/>
                      <w:highlight w:val="none"/>
                      <w:u w:val="single"/>
                    </w:rPr>
                    <w:t>有害</w:t>
                  </w:r>
                </w:p>
                <w:p w14:paraId="50BDA6B8">
                  <w:pPr>
                    <w:jc w:val="center"/>
                    <w:rPr>
                      <w:i/>
                      <w:iCs w:val="0"/>
                      <w:color w:val="auto"/>
                      <w:kern w:val="0"/>
                      <w:szCs w:val="21"/>
                      <w:highlight w:val="none"/>
                      <w:u w:val="single"/>
                    </w:rPr>
                  </w:pPr>
                  <w:r>
                    <w:rPr>
                      <w:rFonts w:hint="eastAsia"/>
                      <w:i/>
                      <w:iCs w:val="0"/>
                      <w:color w:val="auto"/>
                      <w:kern w:val="0"/>
                      <w:szCs w:val="21"/>
                      <w:highlight w:val="none"/>
                      <w:u w:val="single"/>
                    </w:rPr>
                    <w:t>成分</w:t>
                  </w:r>
                </w:p>
              </w:tc>
              <w:tc>
                <w:tcPr>
                  <w:tcW w:w="547" w:type="dxa"/>
                  <w:tcBorders>
                    <w:top w:val="single" w:color="auto" w:sz="12" w:space="0"/>
                    <w:bottom w:val="single" w:color="auto" w:sz="4" w:space="0"/>
                  </w:tcBorders>
                  <w:vAlign w:val="center"/>
                </w:tcPr>
                <w:p w14:paraId="16B1B3DE">
                  <w:pPr>
                    <w:jc w:val="center"/>
                    <w:rPr>
                      <w:i/>
                      <w:iCs w:val="0"/>
                      <w:color w:val="auto"/>
                      <w:kern w:val="0"/>
                      <w:szCs w:val="21"/>
                      <w:highlight w:val="none"/>
                      <w:u w:val="single"/>
                    </w:rPr>
                  </w:pPr>
                  <w:r>
                    <w:rPr>
                      <w:rFonts w:hint="eastAsia"/>
                      <w:i/>
                      <w:iCs w:val="0"/>
                      <w:color w:val="auto"/>
                      <w:kern w:val="0"/>
                      <w:szCs w:val="21"/>
                      <w:highlight w:val="none"/>
                      <w:u w:val="single"/>
                    </w:rPr>
                    <w:t>产废</w:t>
                  </w:r>
                </w:p>
                <w:p w14:paraId="3A4E147B">
                  <w:pPr>
                    <w:jc w:val="center"/>
                    <w:rPr>
                      <w:i/>
                      <w:iCs w:val="0"/>
                      <w:color w:val="auto"/>
                      <w:kern w:val="0"/>
                      <w:szCs w:val="21"/>
                      <w:highlight w:val="none"/>
                      <w:u w:val="single"/>
                    </w:rPr>
                  </w:pPr>
                  <w:r>
                    <w:rPr>
                      <w:rFonts w:hint="eastAsia"/>
                      <w:i/>
                      <w:iCs w:val="0"/>
                      <w:color w:val="auto"/>
                      <w:kern w:val="0"/>
                      <w:szCs w:val="21"/>
                      <w:highlight w:val="none"/>
                      <w:u w:val="single"/>
                    </w:rPr>
                    <w:t>周期</w:t>
                  </w:r>
                </w:p>
              </w:tc>
              <w:tc>
                <w:tcPr>
                  <w:tcW w:w="870" w:type="dxa"/>
                  <w:tcBorders>
                    <w:top w:val="single" w:color="auto" w:sz="12" w:space="0"/>
                    <w:bottom w:val="single" w:color="auto" w:sz="4" w:space="0"/>
                    <w:right w:val="nil"/>
                  </w:tcBorders>
                  <w:vAlign w:val="center"/>
                </w:tcPr>
                <w:p w14:paraId="60747B70">
                  <w:pPr>
                    <w:jc w:val="center"/>
                    <w:rPr>
                      <w:i/>
                      <w:iCs w:val="0"/>
                      <w:color w:val="auto"/>
                      <w:kern w:val="0"/>
                      <w:szCs w:val="21"/>
                      <w:highlight w:val="none"/>
                      <w:u w:val="single"/>
                    </w:rPr>
                  </w:pPr>
                  <w:r>
                    <w:rPr>
                      <w:rFonts w:hint="eastAsia"/>
                      <w:i/>
                      <w:iCs w:val="0"/>
                      <w:color w:val="auto"/>
                      <w:kern w:val="0"/>
                      <w:szCs w:val="21"/>
                      <w:highlight w:val="none"/>
                      <w:u w:val="single"/>
                    </w:rPr>
                    <w:t>危险特性</w:t>
                  </w:r>
                </w:p>
              </w:tc>
              <w:tc>
                <w:tcPr>
                  <w:tcW w:w="822" w:type="dxa"/>
                  <w:tcBorders>
                    <w:top w:val="single" w:color="auto" w:sz="12" w:space="0"/>
                    <w:bottom w:val="single" w:color="auto" w:sz="4" w:space="0"/>
                    <w:right w:val="nil"/>
                  </w:tcBorders>
                  <w:vAlign w:val="center"/>
                </w:tcPr>
                <w:p w14:paraId="6FB05FD6">
                  <w:pPr>
                    <w:jc w:val="center"/>
                    <w:rPr>
                      <w:i/>
                      <w:iCs w:val="0"/>
                      <w:color w:val="auto"/>
                      <w:kern w:val="0"/>
                      <w:szCs w:val="21"/>
                      <w:highlight w:val="none"/>
                      <w:u w:val="single"/>
                    </w:rPr>
                  </w:pPr>
                  <w:r>
                    <w:rPr>
                      <w:rFonts w:hint="eastAsia"/>
                      <w:i/>
                      <w:iCs w:val="0"/>
                      <w:color w:val="auto"/>
                      <w:kern w:val="0"/>
                      <w:szCs w:val="21"/>
                      <w:highlight w:val="none"/>
                      <w:u w:val="single"/>
                    </w:rPr>
                    <w:t>污染防治措施</w:t>
                  </w:r>
                </w:p>
              </w:tc>
            </w:tr>
            <w:tr w14:paraId="109A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41" w:type="dxa"/>
                  <w:gridSpan w:val="2"/>
                  <w:tcBorders>
                    <w:top w:val="single" w:color="auto" w:sz="12" w:space="0"/>
                    <w:left w:val="nil"/>
                    <w:bottom w:val="single" w:color="auto" w:sz="4" w:space="0"/>
                  </w:tcBorders>
                  <w:shd w:val="clear" w:color="auto" w:fill="auto"/>
                  <w:vAlign w:val="center"/>
                </w:tcPr>
                <w:p w14:paraId="36EB27CB">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废活性炭</w:t>
                  </w:r>
                </w:p>
              </w:tc>
              <w:tc>
                <w:tcPr>
                  <w:tcW w:w="776" w:type="dxa"/>
                  <w:tcBorders>
                    <w:top w:val="single" w:color="auto" w:sz="12" w:space="0"/>
                    <w:bottom w:val="single" w:color="auto" w:sz="4" w:space="0"/>
                  </w:tcBorders>
                  <w:shd w:val="clear" w:color="auto" w:fill="auto"/>
                  <w:vAlign w:val="center"/>
                </w:tcPr>
                <w:p w14:paraId="4C13DEA6">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HW49</w:t>
                  </w:r>
                </w:p>
              </w:tc>
              <w:tc>
                <w:tcPr>
                  <w:tcW w:w="1196" w:type="dxa"/>
                  <w:tcBorders>
                    <w:top w:val="single" w:color="auto" w:sz="12" w:space="0"/>
                    <w:bottom w:val="single" w:color="auto" w:sz="4" w:space="0"/>
                  </w:tcBorders>
                  <w:shd w:val="clear" w:color="auto" w:fill="auto"/>
                  <w:vAlign w:val="center"/>
                </w:tcPr>
                <w:p w14:paraId="5AAE3C52">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i/>
                      <w:iCs w:val="0"/>
                      <w:color w:val="auto"/>
                      <w:kern w:val="0"/>
                      <w:szCs w:val="21"/>
                      <w:highlight w:val="none"/>
                      <w:u w:val="single"/>
                    </w:rPr>
                    <w:t>900-</w:t>
                  </w:r>
                  <w:r>
                    <w:rPr>
                      <w:rFonts w:hint="eastAsia"/>
                      <w:i/>
                      <w:iCs w:val="0"/>
                      <w:color w:val="auto"/>
                      <w:kern w:val="0"/>
                      <w:szCs w:val="21"/>
                      <w:highlight w:val="none"/>
                      <w:u w:val="single"/>
                    </w:rPr>
                    <w:t>039</w:t>
                  </w:r>
                  <w:r>
                    <w:rPr>
                      <w:i/>
                      <w:iCs w:val="0"/>
                      <w:color w:val="auto"/>
                      <w:kern w:val="0"/>
                      <w:szCs w:val="21"/>
                      <w:highlight w:val="none"/>
                      <w:u w:val="single"/>
                    </w:rPr>
                    <w:t>-</w:t>
                  </w:r>
                  <w:r>
                    <w:rPr>
                      <w:rFonts w:hint="eastAsia"/>
                      <w:i/>
                      <w:iCs w:val="0"/>
                      <w:color w:val="auto"/>
                      <w:kern w:val="0"/>
                      <w:szCs w:val="21"/>
                      <w:highlight w:val="none"/>
                      <w:u w:val="single"/>
                    </w:rPr>
                    <w:t>4</w:t>
                  </w:r>
                  <w:r>
                    <w:rPr>
                      <w:i/>
                      <w:iCs w:val="0"/>
                      <w:color w:val="auto"/>
                      <w:kern w:val="0"/>
                      <w:szCs w:val="21"/>
                      <w:highlight w:val="none"/>
                      <w:u w:val="single"/>
                    </w:rPr>
                    <w:t>9</w:t>
                  </w:r>
                </w:p>
              </w:tc>
              <w:tc>
                <w:tcPr>
                  <w:tcW w:w="851" w:type="dxa"/>
                  <w:tcBorders>
                    <w:top w:val="single" w:color="auto" w:sz="12" w:space="0"/>
                    <w:bottom w:val="single" w:color="auto" w:sz="4" w:space="0"/>
                  </w:tcBorders>
                  <w:shd w:val="clear" w:color="auto" w:fill="auto"/>
                  <w:vAlign w:val="center"/>
                </w:tcPr>
                <w:p w14:paraId="6BC6AE6D">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0.5</w:t>
                  </w:r>
                </w:p>
              </w:tc>
              <w:tc>
                <w:tcPr>
                  <w:tcW w:w="778" w:type="dxa"/>
                  <w:tcBorders>
                    <w:top w:val="single" w:color="auto" w:sz="12" w:space="0"/>
                    <w:bottom w:val="single" w:color="auto" w:sz="4" w:space="0"/>
                  </w:tcBorders>
                  <w:shd w:val="clear" w:color="auto" w:fill="auto"/>
                  <w:vAlign w:val="center"/>
                </w:tcPr>
                <w:p w14:paraId="795C2155">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废气处理</w:t>
                  </w:r>
                </w:p>
              </w:tc>
              <w:tc>
                <w:tcPr>
                  <w:tcW w:w="429" w:type="dxa"/>
                  <w:tcBorders>
                    <w:top w:val="single" w:color="auto" w:sz="12" w:space="0"/>
                    <w:bottom w:val="single" w:color="auto" w:sz="4" w:space="0"/>
                  </w:tcBorders>
                  <w:shd w:val="clear" w:color="auto" w:fill="auto"/>
                  <w:vAlign w:val="center"/>
                </w:tcPr>
                <w:p w14:paraId="7693F0B1">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固态</w:t>
                  </w:r>
                </w:p>
              </w:tc>
              <w:tc>
                <w:tcPr>
                  <w:tcW w:w="692" w:type="dxa"/>
                  <w:tcBorders>
                    <w:top w:val="single" w:color="auto" w:sz="12" w:space="0"/>
                    <w:bottom w:val="single" w:color="auto" w:sz="4" w:space="0"/>
                  </w:tcBorders>
                  <w:shd w:val="clear" w:color="auto" w:fill="auto"/>
                  <w:vAlign w:val="center"/>
                </w:tcPr>
                <w:p w14:paraId="1F944F6F">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w:t>
                  </w:r>
                </w:p>
              </w:tc>
              <w:tc>
                <w:tcPr>
                  <w:tcW w:w="563" w:type="dxa"/>
                  <w:tcBorders>
                    <w:top w:val="single" w:color="auto" w:sz="12" w:space="0"/>
                    <w:bottom w:val="single" w:color="auto" w:sz="4" w:space="0"/>
                  </w:tcBorders>
                  <w:shd w:val="clear" w:color="auto" w:fill="auto"/>
                  <w:vAlign w:val="center"/>
                </w:tcPr>
                <w:p w14:paraId="56F00DFC">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w:t>
                  </w:r>
                </w:p>
              </w:tc>
              <w:tc>
                <w:tcPr>
                  <w:tcW w:w="547" w:type="dxa"/>
                  <w:tcBorders>
                    <w:top w:val="single" w:color="auto" w:sz="12" w:space="0"/>
                    <w:bottom w:val="single" w:color="auto" w:sz="4" w:space="0"/>
                  </w:tcBorders>
                  <w:shd w:val="clear" w:color="auto" w:fill="auto"/>
                  <w:vAlign w:val="center"/>
                </w:tcPr>
                <w:p w14:paraId="47184D28">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年</w:t>
                  </w:r>
                </w:p>
              </w:tc>
              <w:tc>
                <w:tcPr>
                  <w:tcW w:w="870" w:type="dxa"/>
                  <w:tcBorders>
                    <w:top w:val="single" w:color="auto" w:sz="12" w:space="0"/>
                    <w:bottom w:val="single" w:color="auto" w:sz="4" w:space="0"/>
                    <w:right w:val="nil"/>
                  </w:tcBorders>
                  <w:shd w:val="clear" w:color="auto" w:fill="auto"/>
                  <w:vAlign w:val="center"/>
                </w:tcPr>
                <w:p w14:paraId="629AC3D7">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T</w:t>
                  </w:r>
                </w:p>
              </w:tc>
              <w:tc>
                <w:tcPr>
                  <w:tcW w:w="822" w:type="dxa"/>
                  <w:tcBorders>
                    <w:top w:val="single" w:color="auto" w:sz="12" w:space="0"/>
                    <w:bottom w:val="single" w:color="auto" w:sz="4" w:space="0"/>
                    <w:right w:val="nil"/>
                  </w:tcBorders>
                  <w:vAlign w:val="center"/>
                </w:tcPr>
                <w:p w14:paraId="35433A20">
                  <w:pPr>
                    <w:jc w:val="center"/>
                    <w:rPr>
                      <w:rFonts w:hint="eastAsia"/>
                      <w:i/>
                      <w:iCs w:val="0"/>
                      <w:color w:val="auto"/>
                      <w:kern w:val="0"/>
                      <w:szCs w:val="21"/>
                      <w:highlight w:val="none"/>
                      <w:u w:val="single"/>
                    </w:rPr>
                  </w:pPr>
                  <w:r>
                    <w:rPr>
                      <w:rFonts w:hint="eastAsia"/>
                      <w:i/>
                      <w:iCs w:val="0"/>
                      <w:color w:val="auto"/>
                      <w:kern w:val="0"/>
                      <w:szCs w:val="21"/>
                      <w:highlight w:val="none"/>
                      <w:u w:val="single"/>
                    </w:rPr>
                    <w:t>危险废物贮存点暂存，委托资质单位处置</w:t>
                  </w:r>
                </w:p>
              </w:tc>
            </w:tr>
            <w:tr w14:paraId="40D1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70" w:type="dxa"/>
                  <w:vMerge w:val="restart"/>
                  <w:tcBorders>
                    <w:left w:val="nil"/>
                  </w:tcBorders>
                  <w:shd w:val="clear" w:color="auto" w:fill="auto"/>
                  <w:vAlign w:val="center"/>
                </w:tcPr>
                <w:p w14:paraId="736FAC0F">
                  <w:pPr>
                    <w:jc w:val="center"/>
                    <w:rPr>
                      <w:i/>
                      <w:iCs w:val="0"/>
                      <w:color w:val="auto"/>
                      <w:kern w:val="0"/>
                      <w:szCs w:val="21"/>
                      <w:highlight w:val="none"/>
                      <w:u w:val="single"/>
                    </w:rPr>
                  </w:pPr>
                  <w:r>
                    <w:rPr>
                      <w:rFonts w:hint="eastAsia"/>
                      <w:i/>
                      <w:iCs w:val="0"/>
                      <w:color w:val="auto"/>
                      <w:kern w:val="0"/>
                      <w:szCs w:val="21"/>
                      <w:highlight w:val="none"/>
                      <w:u w:val="single"/>
                    </w:rPr>
                    <w:t>医疗废物</w:t>
                  </w:r>
                </w:p>
              </w:tc>
              <w:tc>
                <w:tcPr>
                  <w:tcW w:w="471" w:type="dxa"/>
                  <w:tcBorders>
                    <w:left w:val="nil"/>
                  </w:tcBorders>
                  <w:shd w:val="clear" w:color="auto" w:fill="auto"/>
                  <w:vAlign w:val="center"/>
                </w:tcPr>
                <w:p w14:paraId="043C21DF">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感染性废物</w:t>
                  </w:r>
                </w:p>
              </w:tc>
              <w:tc>
                <w:tcPr>
                  <w:tcW w:w="776" w:type="dxa"/>
                  <w:shd w:val="clear" w:color="auto" w:fill="auto"/>
                  <w:vAlign w:val="center"/>
                </w:tcPr>
                <w:p w14:paraId="3EF087B6">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HW01</w:t>
                  </w:r>
                </w:p>
              </w:tc>
              <w:tc>
                <w:tcPr>
                  <w:tcW w:w="1196" w:type="dxa"/>
                  <w:shd w:val="clear" w:color="auto" w:fill="auto"/>
                  <w:vAlign w:val="center"/>
                </w:tcPr>
                <w:p w14:paraId="771A565A">
                  <w:pPr>
                    <w:jc w:val="center"/>
                    <w:rPr>
                      <w:rFonts w:ascii="Times New Roman" w:hAnsi="Times New Roman" w:eastAsia="宋体" w:cs="Times New Roman"/>
                      <w:i/>
                      <w:iCs w:val="0"/>
                      <w:color w:val="auto"/>
                      <w:kern w:val="0"/>
                      <w:sz w:val="21"/>
                      <w:szCs w:val="21"/>
                      <w:highlight w:val="none"/>
                      <w:u w:val="single"/>
                      <w:lang w:val="en-US" w:eastAsia="zh-CN" w:bidi="ar-SA"/>
                    </w:rPr>
                  </w:pPr>
                  <w:r>
                    <w:rPr>
                      <w:i/>
                      <w:iCs w:val="0"/>
                      <w:color w:val="auto"/>
                      <w:kern w:val="0"/>
                      <w:szCs w:val="21"/>
                      <w:highlight w:val="none"/>
                      <w:u w:val="single"/>
                    </w:rPr>
                    <w:t>841-001-01</w:t>
                  </w:r>
                </w:p>
              </w:tc>
              <w:tc>
                <w:tcPr>
                  <w:tcW w:w="851" w:type="dxa"/>
                  <w:shd w:val="clear" w:color="auto" w:fill="auto"/>
                  <w:vAlign w:val="center"/>
                </w:tcPr>
                <w:p w14:paraId="58556494">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1.825</w:t>
                  </w:r>
                </w:p>
              </w:tc>
              <w:tc>
                <w:tcPr>
                  <w:tcW w:w="778" w:type="dxa"/>
                  <w:shd w:val="clear" w:color="auto" w:fill="auto"/>
                  <w:vAlign w:val="center"/>
                </w:tcPr>
                <w:p w14:paraId="64FE1136">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w:t>
                  </w:r>
                </w:p>
              </w:tc>
              <w:tc>
                <w:tcPr>
                  <w:tcW w:w="429" w:type="dxa"/>
                  <w:shd w:val="clear" w:color="auto" w:fill="auto"/>
                  <w:vAlign w:val="center"/>
                </w:tcPr>
                <w:p w14:paraId="7D531844">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固态</w:t>
                  </w:r>
                </w:p>
              </w:tc>
              <w:tc>
                <w:tcPr>
                  <w:tcW w:w="692" w:type="dxa"/>
                  <w:shd w:val="clear" w:color="auto" w:fill="auto"/>
                  <w:vAlign w:val="center"/>
                </w:tcPr>
                <w:p w14:paraId="16BE02B1">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w:t>
                  </w:r>
                </w:p>
              </w:tc>
              <w:tc>
                <w:tcPr>
                  <w:tcW w:w="563" w:type="dxa"/>
                  <w:shd w:val="clear" w:color="auto" w:fill="auto"/>
                  <w:vAlign w:val="center"/>
                </w:tcPr>
                <w:p w14:paraId="04D47364">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w:t>
                  </w:r>
                </w:p>
              </w:tc>
              <w:tc>
                <w:tcPr>
                  <w:tcW w:w="547" w:type="dxa"/>
                  <w:shd w:val="clear" w:color="auto" w:fill="auto"/>
                  <w:vAlign w:val="center"/>
                </w:tcPr>
                <w:p w14:paraId="7293A5D6">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1d</w:t>
                  </w:r>
                </w:p>
              </w:tc>
              <w:tc>
                <w:tcPr>
                  <w:tcW w:w="870" w:type="dxa"/>
                  <w:tcBorders>
                    <w:right w:val="nil"/>
                  </w:tcBorders>
                  <w:shd w:val="clear" w:color="auto" w:fill="auto"/>
                  <w:vAlign w:val="center"/>
                </w:tcPr>
                <w:p w14:paraId="1AED194C">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In</w:t>
                  </w:r>
                </w:p>
              </w:tc>
              <w:tc>
                <w:tcPr>
                  <w:tcW w:w="822" w:type="dxa"/>
                  <w:tcBorders>
                    <w:right w:val="nil"/>
                  </w:tcBorders>
                  <w:shd w:val="clear" w:color="auto" w:fill="auto"/>
                  <w:vAlign w:val="center"/>
                </w:tcPr>
                <w:p w14:paraId="1D68F44E">
                  <w:pPr>
                    <w:jc w:val="center"/>
                    <w:rPr>
                      <w:rFonts w:hint="eastAsia" w:ascii="Times New Roman" w:hAnsi="Times New Roman" w:eastAsia="宋体" w:cs="Times New Roman"/>
                      <w:i/>
                      <w:iCs w:val="0"/>
                      <w:color w:val="auto"/>
                      <w:kern w:val="0"/>
                      <w:sz w:val="21"/>
                      <w:szCs w:val="21"/>
                      <w:highlight w:val="none"/>
                      <w:u w:val="single"/>
                      <w:lang w:val="en-US" w:eastAsia="zh-CN" w:bidi="ar-SA"/>
                    </w:rPr>
                  </w:pPr>
                  <w:r>
                    <w:rPr>
                      <w:rFonts w:hint="eastAsia"/>
                      <w:i/>
                      <w:iCs w:val="0"/>
                      <w:color w:val="auto"/>
                      <w:kern w:val="0"/>
                      <w:szCs w:val="21"/>
                      <w:highlight w:val="none"/>
                      <w:u w:val="single"/>
                    </w:rPr>
                    <w:t>暂存于医废暂存间，委托资质单位处置</w:t>
                  </w:r>
                </w:p>
              </w:tc>
            </w:tr>
            <w:tr w14:paraId="5513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70" w:type="dxa"/>
                  <w:vMerge w:val="continue"/>
                  <w:tcBorders>
                    <w:left w:val="nil"/>
                  </w:tcBorders>
                  <w:vAlign w:val="center"/>
                </w:tcPr>
                <w:p w14:paraId="70B73C0F">
                  <w:pPr>
                    <w:jc w:val="center"/>
                    <w:rPr>
                      <w:i/>
                      <w:iCs w:val="0"/>
                      <w:color w:val="auto"/>
                      <w:kern w:val="0"/>
                      <w:szCs w:val="21"/>
                      <w:highlight w:val="none"/>
                      <w:u w:val="single"/>
                    </w:rPr>
                  </w:pPr>
                </w:p>
              </w:tc>
              <w:tc>
                <w:tcPr>
                  <w:tcW w:w="471" w:type="dxa"/>
                  <w:tcBorders>
                    <w:left w:val="nil"/>
                  </w:tcBorders>
                  <w:vAlign w:val="center"/>
                </w:tcPr>
                <w:p w14:paraId="408801D6">
                  <w:pPr>
                    <w:jc w:val="center"/>
                    <w:rPr>
                      <w:i/>
                      <w:iCs w:val="0"/>
                      <w:color w:val="auto"/>
                      <w:kern w:val="0"/>
                      <w:szCs w:val="21"/>
                      <w:highlight w:val="none"/>
                      <w:u w:val="single"/>
                    </w:rPr>
                  </w:pPr>
                  <w:r>
                    <w:rPr>
                      <w:rFonts w:hint="eastAsia"/>
                      <w:i/>
                      <w:iCs w:val="0"/>
                      <w:color w:val="auto"/>
                      <w:kern w:val="0"/>
                      <w:szCs w:val="21"/>
                      <w:highlight w:val="none"/>
                      <w:u w:val="single"/>
                    </w:rPr>
                    <w:t>病理性废物</w:t>
                  </w:r>
                </w:p>
              </w:tc>
              <w:tc>
                <w:tcPr>
                  <w:tcW w:w="776" w:type="dxa"/>
                  <w:vAlign w:val="center"/>
                </w:tcPr>
                <w:p w14:paraId="3CBB4848">
                  <w:pPr>
                    <w:jc w:val="center"/>
                    <w:rPr>
                      <w:i/>
                      <w:iCs w:val="0"/>
                      <w:color w:val="auto"/>
                      <w:kern w:val="0"/>
                      <w:szCs w:val="21"/>
                      <w:highlight w:val="none"/>
                      <w:u w:val="single"/>
                    </w:rPr>
                  </w:pPr>
                  <w:r>
                    <w:rPr>
                      <w:rFonts w:hint="eastAsia"/>
                      <w:i/>
                      <w:iCs w:val="0"/>
                      <w:color w:val="auto"/>
                      <w:kern w:val="0"/>
                      <w:szCs w:val="21"/>
                      <w:highlight w:val="none"/>
                      <w:u w:val="single"/>
                    </w:rPr>
                    <w:t>HW01</w:t>
                  </w:r>
                </w:p>
              </w:tc>
              <w:tc>
                <w:tcPr>
                  <w:tcW w:w="1196" w:type="dxa"/>
                  <w:shd w:val="clear" w:color="auto" w:fill="auto"/>
                  <w:vAlign w:val="center"/>
                </w:tcPr>
                <w:p w14:paraId="77D0CE51">
                  <w:pPr>
                    <w:jc w:val="center"/>
                    <w:rPr>
                      <w:i/>
                      <w:iCs w:val="0"/>
                      <w:color w:val="auto"/>
                      <w:kern w:val="0"/>
                      <w:szCs w:val="21"/>
                      <w:highlight w:val="none"/>
                      <w:u w:val="single"/>
                    </w:rPr>
                  </w:pPr>
                  <w:r>
                    <w:rPr>
                      <w:i/>
                      <w:iCs w:val="0"/>
                      <w:color w:val="auto"/>
                      <w:kern w:val="0"/>
                      <w:szCs w:val="21"/>
                      <w:highlight w:val="none"/>
                      <w:u w:val="single"/>
                    </w:rPr>
                    <w:t>841-002-01</w:t>
                  </w:r>
                </w:p>
              </w:tc>
              <w:tc>
                <w:tcPr>
                  <w:tcW w:w="851" w:type="dxa"/>
                  <w:vAlign w:val="center"/>
                </w:tcPr>
                <w:p w14:paraId="2087E34D">
                  <w:pPr>
                    <w:jc w:val="center"/>
                    <w:rPr>
                      <w:i/>
                      <w:iCs w:val="0"/>
                      <w:color w:val="auto"/>
                      <w:kern w:val="0"/>
                      <w:szCs w:val="21"/>
                      <w:highlight w:val="none"/>
                      <w:u w:val="single"/>
                    </w:rPr>
                  </w:pPr>
                  <w:r>
                    <w:rPr>
                      <w:rFonts w:hint="eastAsia"/>
                      <w:i/>
                      <w:iCs w:val="0"/>
                      <w:color w:val="auto"/>
                      <w:kern w:val="0"/>
                      <w:szCs w:val="21"/>
                      <w:highlight w:val="none"/>
                      <w:u w:val="single"/>
                    </w:rPr>
                    <w:t>0.73</w:t>
                  </w:r>
                </w:p>
              </w:tc>
              <w:tc>
                <w:tcPr>
                  <w:tcW w:w="778" w:type="dxa"/>
                  <w:vAlign w:val="center"/>
                </w:tcPr>
                <w:p w14:paraId="1827CDC7">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429" w:type="dxa"/>
                  <w:vAlign w:val="center"/>
                </w:tcPr>
                <w:p w14:paraId="4A0E05BD">
                  <w:pPr>
                    <w:jc w:val="center"/>
                    <w:rPr>
                      <w:i/>
                      <w:iCs w:val="0"/>
                      <w:color w:val="auto"/>
                      <w:kern w:val="0"/>
                      <w:szCs w:val="21"/>
                      <w:highlight w:val="none"/>
                      <w:u w:val="single"/>
                    </w:rPr>
                  </w:pPr>
                  <w:r>
                    <w:rPr>
                      <w:rFonts w:hint="eastAsia"/>
                      <w:i/>
                      <w:iCs w:val="0"/>
                      <w:color w:val="auto"/>
                      <w:kern w:val="0"/>
                      <w:szCs w:val="21"/>
                      <w:highlight w:val="none"/>
                      <w:u w:val="single"/>
                    </w:rPr>
                    <w:t>固态</w:t>
                  </w:r>
                </w:p>
              </w:tc>
              <w:tc>
                <w:tcPr>
                  <w:tcW w:w="692" w:type="dxa"/>
                  <w:vAlign w:val="center"/>
                </w:tcPr>
                <w:p w14:paraId="16FEF137">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563" w:type="dxa"/>
                  <w:vAlign w:val="center"/>
                </w:tcPr>
                <w:p w14:paraId="4D787E61">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547" w:type="dxa"/>
                  <w:vAlign w:val="center"/>
                </w:tcPr>
                <w:p w14:paraId="2295404F">
                  <w:pPr>
                    <w:jc w:val="center"/>
                    <w:rPr>
                      <w:i/>
                      <w:iCs w:val="0"/>
                      <w:color w:val="auto"/>
                      <w:kern w:val="0"/>
                      <w:szCs w:val="21"/>
                      <w:highlight w:val="none"/>
                      <w:u w:val="single"/>
                    </w:rPr>
                  </w:pPr>
                  <w:r>
                    <w:rPr>
                      <w:rFonts w:hint="eastAsia"/>
                      <w:i/>
                      <w:iCs w:val="0"/>
                      <w:color w:val="auto"/>
                      <w:kern w:val="0"/>
                      <w:szCs w:val="21"/>
                      <w:highlight w:val="none"/>
                      <w:u w:val="single"/>
                    </w:rPr>
                    <w:t>1d</w:t>
                  </w:r>
                </w:p>
              </w:tc>
              <w:tc>
                <w:tcPr>
                  <w:tcW w:w="870" w:type="dxa"/>
                  <w:tcBorders>
                    <w:right w:val="nil"/>
                  </w:tcBorders>
                  <w:shd w:val="clear" w:color="auto" w:fill="auto"/>
                  <w:vAlign w:val="center"/>
                </w:tcPr>
                <w:p w14:paraId="52D0CDD8">
                  <w:pPr>
                    <w:jc w:val="center"/>
                    <w:rPr>
                      <w:i/>
                      <w:iCs w:val="0"/>
                      <w:color w:val="auto"/>
                      <w:kern w:val="0"/>
                      <w:szCs w:val="21"/>
                      <w:highlight w:val="none"/>
                      <w:u w:val="single"/>
                    </w:rPr>
                  </w:pPr>
                  <w:r>
                    <w:rPr>
                      <w:rFonts w:hint="eastAsia"/>
                      <w:i/>
                      <w:iCs w:val="0"/>
                      <w:color w:val="auto"/>
                      <w:kern w:val="0"/>
                      <w:szCs w:val="21"/>
                      <w:highlight w:val="none"/>
                      <w:u w:val="single"/>
                    </w:rPr>
                    <w:t>In</w:t>
                  </w:r>
                </w:p>
              </w:tc>
              <w:tc>
                <w:tcPr>
                  <w:tcW w:w="822" w:type="dxa"/>
                  <w:vMerge w:val="restart"/>
                  <w:tcBorders>
                    <w:right w:val="nil"/>
                  </w:tcBorders>
                  <w:vAlign w:val="center"/>
                </w:tcPr>
                <w:p w14:paraId="2F75CBAF">
                  <w:pPr>
                    <w:jc w:val="center"/>
                    <w:rPr>
                      <w:i/>
                      <w:iCs w:val="0"/>
                      <w:color w:val="auto"/>
                      <w:kern w:val="0"/>
                      <w:szCs w:val="21"/>
                      <w:highlight w:val="none"/>
                      <w:u w:val="single"/>
                    </w:rPr>
                  </w:pPr>
                  <w:r>
                    <w:rPr>
                      <w:rFonts w:hint="eastAsia"/>
                      <w:i/>
                      <w:iCs w:val="0"/>
                      <w:color w:val="auto"/>
                      <w:kern w:val="0"/>
                      <w:szCs w:val="21"/>
                      <w:highlight w:val="none"/>
                      <w:u w:val="single"/>
                    </w:rPr>
                    <w:t>暂存于医废暂存间，委托资质单位处置</w:t>
                  </w:r>
                </w:p>
              </w:tc>
            </w:tr>
            <w:tr w14:paraId="47A4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70" w:type="dxa"/>
                  <w:vMerge w:val="continue"/>
                  <w:tcBorders>
                    <w:left w:val="nil"/>
                  </w:tcBorders>
                  <w:vAlign w:val="center"/>
                </w:tcPr>
                <w:p w14:paraId="72E6B069">
                  <w:pPr>
                    <w:jc w:val="center"/>
                    <w:rPr>
                      <w:i/>
                      <w:iCs w:val="0"/>
                      <w:color w:val="auto"/>
                      <w:kern w:val="0"/>
                      <w:szCs w:val="21"/>
                      <w:highlight w:val="none"/>
                      <w:u w:val="single"/>
                    </w:rPr>
                  </w:pPr>
                </w:p>
              </w:tc>
              <w:tc>
                <w:tcPr>
                  <w:tcW w:w="471" w:type="dxa"/>
                  <w:tcBorders>
                    <w:left w:val="nil"/>
                  </w:tcBorders>
                  <w:vAlign w:val="center"/>
                </w:tcPr>
                <w:p w14:paraId="170AB185">
                  <w:pPr>
                    <w:jc w:val="center"/>
                    <w:rPr>
                      <w:i/>
                      <w:iCs w:val="0"/>
                      <w:color w:val="auto"/>
                      <w:kern w:val="0"/>
                      <w:szCs w:val="21"/>
                      <w:highlight w:val="none"/>
                      <w:u w:val="single"/>
                    </w:rPr>
                  </w:pPr>
                  <w:r>
                    <w:rPr>
                      <w:rFonts w:hint="eastAsia"/>
                      <w:i/>
                      <w:iCs w:val="0"/>
                      <w:color w:val="auto"/>
                      <w:kern w:val="0"/>
                      <w:szCs w:val="21"/>
                      <w:highlight w:val="none"/>
                      <w:u w:val="single"/>
                    </w:rPr>
                    <w:t>损伤性废物</w:t>
                  </w:r>
                </w:p>
              </w:tc>
              <w:tc>
                <w:tcPr>
                  <w:tcW w:w="776" w:type="dxa"/>
                  <w:vAlign w:val="center"/>
                </w:tcPr>
                <w:p w14:paraId="1048FB15">
                  <w:pPr>
                    <w:jc w:val="center"/>
                    <w:rPr>
                      <w:i/>
                      <w:iCs w:val="0"/>
                      <w:color w:val="auto"/>
                      <w:kern w:val="0"/>
                      <w:szCs w:val="21"/>
                      <w:highlight w:val="none"/>
                      <w:u w:val="single"/>
                    </w:rPr>
                  </w:pPr>
                  <w:r>
                    <w:rPr>
                      <w:rFonts w:hint="eastAsia"/>
                      <w:i/>
                      <w:iCs w:val="0"/>
                      <w:color w:val="auto"/>
                      <w:kern w:val="0"/>
                      <w:szCs w:val="21"/>
                      <w:highlight w:val="none"/>
                      <w:u w:val="single"/>
                    </w:rPr>
                    <w:t>HW01</w:t>
                  </w:r>
                </w:p>
              </w:tc>
              <w:tc>
                <w:tcPr>
                  <w:tcW w:w="1196" w:type="dxa"/>
                  <w:shd w:val="clear" w:color="auto" w:fill="auto"/>
                  <w:vAlign w:val="center"/>
                </w:tcPr>
                <w:p w14:paraId="5AD51E35">
                  <w:pPr>
                    <w:jc w:val="center"/>
                    <w:rPr>
                      <w:i/>
                      <w:iCs w:val="0"/>
                      <w:color w:val="auto"/>
                      <w:kern w:val="0"/>
                      <w:szCs w:val="21"/>
                      <w:highlight w:val="none"/>
                      <w:u w:val="single"/>
                    </w:rPr>
                  </w:pPr>
                  <w:r>
                    <w:rPr>
                      <w:i/>
                      <w:iCs w:val="0"/>
                      <w:color w:val="auto"/>
                      <w:kern w:val="0"/>
                      <w:szCs w:val="21"/>
                      <w:highlight w:val="none"/>
                      <w:u w:val="single"/>
                    </w:rPr>
                    <w:t>841-003-01</w:t>
                  </w:r>
                </w:p>
              </w:tc>
              <w:tc>
                <w:tcPr>
                  <w:tcW w:w="851" w:type="dxa"/>
                  <w:vAlign w:val="center"/>
                </w:tcPr>
                <w:p w14:paraId="3CF4BF54">
                  <w:pPr>
                    <w:jc w:val="center"/>
                    <w:rPr>
                      <w:i/>
                      <w:iCs w:val="0"/>
                      <w:color w:val="auto"/>
                      <w:kern w:val="0"/>
                      <w:szCs w:val="21"/>
                      <w:highlight w:val="none"/>
                      <w:u w:val="single"/>
                    </w:rPr>
                  </w:pPr>
                  <w:r>
                    <w:rPr>
                      <w:rFonts w:hint="eastAsia"/>
                      <w:i/>
                      <w:iCs w:val="0"/>
                      <w:color w:val="auto"/>
                      <w:kern w:val="0"/>
                      <w:szCs w:val="21"/>
                      <w:highlight w:val="none"/>
                      <w:u w:val="single"/>
                    </w:rPr>
                    <w:t>0.365</w:t>
                  </w:r>
                </w:p>
              </w:tc>
              <w:tc>
                <w:tcPr>
                  <w:tcW w:w="778" w:type="dxa"/>
                  <w:vAlign w:val="center"/>
                </w:tcPr>
                <w:p w14:paraId="145CDED2">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429" w:type="dxa"/>
                  <w:vAlign w:val="center"/>
                </w:tcPr>
                <w:p w14:paraId="49DCE7F1">
                  <w:pPr>
                    <w:jc w:val="center"/>
                    <w:rPr>
                      <w:i/>
                      <w:iCs w:val="0"/>
                      <w:color w:val="auto"/>
                      <w:kern w:val="0"/>
                      <w:szCs w:val="21"/>
                      <w:highlight w:val="none"/>
                      <w:u w:val="single"/>
                    </w:rPr>
                  </w:pPr>
                  <w:r>
                    <w:rPr>
                      <w:rFonts w:hint="eastAsia"/>
                      <w:i/>
                      <w:iCs w:val="0"/>
                      <w:color w:val="auto"/>
                      <w:kern w:val="0"/>
                      <w:szCs w:val="21"/>
                      <w:highlight w:val="none"/>
                      <w:u w:val="single"/>
                    </w:rPr>
                    <w:t>固态</w:t>
                  </w:r>
                </w:p>
              </w:tc>
              <w:tc>
                <w:tcPr>
                  <w:tcW w:w="692" w:type="dxa"/>
                  <w:vAlign w:val="center"/>
                </w:tcPr>
                <w:p w14:paraId="3ABAF798">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563" w:type="dxa"/>
                  <w:vAlign w:val="center"/>
                </w:tcPr>
                <w:p w14:paraId="31B96367">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547" w:type="dxa"/>
                  <w:vAlign w:val="center"/>
                </w:tcPr>
                <w:p w14:paraId="30273073">
                  <w:pPr>
                    <w:jc w:val="center"/>
                    <w:rPr>
                      <w:i/>
                      <w:iCs w:val="0"/>
                      <w:color w:val="auto"/>
                      <w:kern w:val="0"/>
                      <w:szCs w:val="21"/>
                      <w:highlight w:val="none"/>
                      <w:u w:val="single"/>
                    </w:rPr>
                  </w:pPr>
                  <w:r>
                    <w:rPr>
                      <w:rFonts w:hint="eastAsia"/>
                      <w:i/>
                      <w:iCs w:val="0"/>
                      <w:color w:val="auto"/>
                      <w:kern w:val="0"/>
                      <w:szCs w:val="21"/>
                      <w:highlight w:val="none"/>
                      <w:u w:val="single"/>
                    </w:rPr>
                    <w:t>1d</w:t>
                  </w:r>
                </w:p>
              </w:tc>
              <w:tc>
                <w:tcPr>
                  <w:tcW w:w="870" w:type="dxa"/>
                  <w:tcBorders>
                    <w:right w:val="nil"/>
                  </w:tcBorders>
                  <w:shd w:val="clear" w:color="auto" w:fill="auto"/>
                  <w:vAlign w:val="center"/>
                </w:tcPr>
                <w:p w14:paraId="6A7A70EF">
                  <w:pPr>
                    <w:jc w:val="center"/>
                    <w:rPr>
                      <w:i/>
                      <w:iCs w:val="0"/>
                      <w:color w:val="auto"/>
                      <w:kern w:val="0"/>
                      <w:szCs w:val="21"/>
                      <w:highlight w:val="none"/>
                      <w:u w:val="single"/>
                    </w:rPr>
                  </w:pPr>
                  <w:r>
                    <w:rPr>
                      <w:rFonts w:hint="eastAsia"/>
                      <w:i/>
                      <w:iCs w:val="0"/>
                      <w:color w:val="auto"/>
                      <w:kern w:val="0"/>
                      <w:szCs w:val="21"/>
                      <w:highlight w:val="none"/>
                      <w:u w:val="single"/>
                    </w:rPr>
                    <w:t>In</w:t>
                  </w:r>
                </w:p>
              </w:tc>
              <w:tc>
                <w:tcPr>
                  <w:tcW w:w="822" w:type="dxa"/>
                  <w:vMerge w:val="continue"/>
                  <w:tcBorders>
                    <w:right w:val="nil"/>
                  </w:tcBorders>
                  <w:vAlign w:val="center"/>
                </w:tcPr>
                <w:p w14:paraId="764B73C3">
                  <w:pPr>
                    <w:jc w:val="center"/>
                    <w:rPr>
                      <w:i/>
                      <w:iCs w:val="0"/>
                      <w:color w:val="auto"/>
                      <w:kern w:val="0"/>
                      <w:szCs w:val="21"/>
                      <w:highlight w:val="none"/>
                      <w:u w:val="single"/>
                    </w:rPr>
                  </w:pPr>
                </w:p>
              </w:tc>
            </w:tr>
            <w:tr w14:paraId="4361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70" w:type="dxa"/>
                  <w:vMerge w:val="continue"/>
                  <w:tcBorders>
                    <w:left w:val="nil"/>
                  </w:tcBorders>
                  <w:vAlign w:val="center"/>
                </w:tcPr>
                <w:p w14:paraId="1DE8CFCD">
                  <w:pPr>
                    <w:jc w:val="center"/>
                    <w:rPr>
                      <w:i/>
                      <w:iCs w:val="0"/>
                      <w:color w:val="auto"/>
                      <w:kern w:val="0"/>
                      <w:szCs w:val="21"/>
                      <w:highlight w:val="none"/>
                      <w:u w:val="single"/>
                    </w:rPr>
                  </w:pPr>
                </w:p>
              </w:tc>
              <w:tc>
                <w:tcPr>
                  <w:tcW w:w="471" w:type="dxa"/>
                  <w:tcBorders>
                    <w:left w:val="nil"/>
                  </w:tcBorders>
                  <w:vAlign w:val="center"/>
                </w:tcPr>
                <w:p w14:paraId="0778A4B9">
                  <w:pPr>
                    <w:jc w:val="center"/>
                    <w:rPr>
                      <w:i/>
                      <w:iCs w:val="0"/>
                      <w:color w:val="auto"/>
                      <w:kern w:val="0"/>
                      <w:szCs w:val="21"/>
                      <w:highlight w:val="none"/>
                      <w:u w:val="single"/>
                    </w:rPr>
                  </w:pPr>
                  <w:r>
                    <w:rPr>
                      <w:rFonts w:hint="eastAsia"/>
                      <w:i/>
                      <w:iCs w:val="0"/>
                      <w:color w:val="auto"/>
                      <w:kern w:val="0"/>
                      <w:szCs w:val="21"/>
                      <w:highlight w:val="none"/>
                      <w:u w:val="single"/>
                    </w:rPr>
                    <w:t>化学性废物</w:t>
                  </w:r>
                </w:p>
              </w:tc>
              <w:tc>
                <w:tcPr>
                  <w:tcW w:w="776" w:type="dxa"/>
                  <w:vAlign w:val="center"/>
                </w:tcPr>
                <w:p w14:paraId="3A53F7FE">
                  <w:pPr>
                    <w:jc w:val="center"/>
                    <w:rPr>
                      <w:i/>
                      <w:iCs w:val="0"/>
                      <w:color w:val="auto"/>
                      <w:kern w:val="0"/>
                      <w:szCs w:val="21"/>
                      <w:highlight w:val="none"/>
                      <w:u w:val="single"/>
                    </w:rPr>
                  </w:pPr>
                  <w:r>
                    <w:rPr>
                      <w:rFonts w:hint="eastAsia"/>
                      <w:i/>
                      <w:iCs w:val="0"/>
                      <w:color w:val="auto"/>
                      <w:kern w:val="0"/>
                      <w:szCs w:val="21"/>
                      <w:highlight w:val="none"/>
                      <w:u w:val="single"/>
                    </w:rPr>
                    <w:t>HW01</w:t>
                  </w:r>
                </w:p>
              </w:tc>
              <w:tc>
                <w:tcPr>
                  <w:tcW w:w="1196" w:type="dxa"/>
                  <w:shd w:val="clear" w:color="auto" w:fill="auto"/>
                  <w:vAlign w:val="center"/>
                </w:tcPr>
                <w:p w14:paraId="425D9A3F">
                  <w:pPr>
                    <w:jc w:val="center"/>
                    <w:rPr>
                      <w:i/>
                      <w:iCs w:val="0"/>
                      <w:color w:val="auto"/>
                      <w:kern w:val="0"/>
                      <w:szCs w:val="21"/>
                      <w:highlight w:val="none"/>
                      <w:u w:val="single"/>
                    </w:rPr>
                  </w:pPr>
                  <w:r>
                    <w:rPr>
                      <w:i/>
                      <w:iCs w:val="0"/>
                      <w:color w:val="auto"/>
                      <w:kern w:val="0"/>
                      <w:szCs w:val="21"/>
                      <w:highlight w:val="none"/>
                      <w:u w:val="single"/>
                    </w:rPr>
                    <w:t>841-004-01</w:t>
                  </w:r>
                </w:p>
              </w:tc>
              <w:tc>
                <w:tcPr>
                  <w:tcW w:w="851" w:type="dxa"/>
                  <w:vAlign w:val="center"/>
                </w:tcPr>
                <w:p w14:paraId="1BF34DF6">
                  <w:pPr>
                    <w:jc w:val="center"/>
                    <w:rPr>
                      <w:i/>
                      <w:iCs w:val="0"/>
                      <w:color w:val="auto"/>
                      <w:kern w:val="0"/>
                      <w:szCs w:val="21"/>
                      <w:highlight w:val="none"/>
                      <w:u w:val="single"/>
                    </w:rPr>
                  </w:pPr>
                  <w:r>
                    <w:rPr>
                      <w:rFonts w:hint="eastAsia"/>
                      <w:i/>
                      <w:iCs w:val="0"/>
                      <w:color w:val="auto"/>
                      <w:kern w:val="0"/>
                      <w:szCs w:val="21"/>
                      <w:highlight w:val="none"/>
                      <w:u w:val="single"/>
                    </w:rPr>
                    <w:t>0.365</w:t>
                  </w:r>
                </w:p>
              </w:tc>
              <w:tc>
                <w:tcPr>
                  <w:tcW w:w="778" w:type="dxa"/>
                  <w:vAlign w:val="center"/>
                </w:tcPr>
                <w:p w14:paraId="60029F7F">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429" w:type="dxa"/>
                  <w:vAlign w:val="center"/>
                </w:tcPr>
                <w:p w14:paraId="5FADAFC4">
                  <w:pPr>
                    <w:jc w:val="center"/>
                    <w:rPr>
                      <w:i/>
                      <w:iCs w:val="0"/>
                      <w:color w:val="auto"/>
                      <w:kern w:val="0"/>
                      <w:szCs w:val="21"/>
                      <w:highlight w:val="none"/>
                      <w:u w:val="single"/>
                    </w:rPr>
                  </w:pPr>
                  <w:r>
                    <w:rPr>
                      <w:rFonts w:hint="eastAsia"/>
                      <w:i/>
                      <w:iCs w:val="0"/>
                      <w:color w:val="auto"/>
                      <w:kern w:val="0"/>
                      <w:szCs w:val="21"/>
                      <w:highlight w:val="none"/>
                      <w:u w:val="single"/>
                    </w:rPr>
                    <w:t>固/液态</w:t>
                  </w:r>
                </w:p>
              </w:tc>
              <w:tc>
                <w:tcPr>
                  <w:tcW w:w="692" w:type="dxa"/>
                  <w:vAlign w:val="center"/>
                </w:tcPr>
                <w:p w14:paraId="253CC9DF">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563" w:type="dxa"/>
                  <w:vAlign w:val="center"/>
                </w:tcPr>
                <w:p w14:paraId="2819376C">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547" w:type="dxa"/>
                  <w:vAlign w:val="center"/>
                </w:tcPr>
                <w:p w14:paraId="6A6FE1AE">
                  <w:pPr>
                    <w:jc w:val="center"/>
                    <w:rPr>
                      <w:i/>
                      <w:iCs w:val="0"/>
                      <w:color w:val="auto"/>
                      <w:kern w:val="0"/>
                      <w:szCs w:val="21"/>
                      <w:highlight w:val="none"/>
                      <w:u w:val="single"/>
                    </w:rPr>
                  </w:pPr>
                  <w:r>
                    <w:rPr>
                      <w:rFonts w:hint="eastAsia"/>
                      <w:i/>
                      <w:iCs w:val="0"/>
                      <w:color w:val="auto"/>
                      <w:kern w:val="0"/>
                      <w:szCs w:val="21"/>
                      <w:highlight w:val="none"/>
                      <w:u w:val="single"/>
                    </w:rPr>
                    <w:t>1d</w:t>
                  </w:r>
                </w:p>
              </w:tc>
              <w:tc>
                <w:tcPr>
                  <w:tcW w:w="870" w:type="dxa"/>
                  <w:tcBorders>
                    <w:right w:val="nil"/>
                  </w:tcBorders>
                  <w:shd w:val="clear" w:color="auto" w:fill="auto"/>
                  <w:vAlign w:val="center"/>
                </w:tcPr>
                <w:p w14:paraId="6131B9EF">
                  <w:pPr>
                    <w:jc w:val="center"/>
                    <w:rPr>
                      <w:i/>
                      <w:iCs w:val="0"/>
                      <w:color w:val="auto"/>
                      <w:kern w:val="0"/>
                      <w:szCs w:val="21"/>
                      <w:highlight w:val="none"/>
                      <w:u w:val="single"/>
                    </w:rPr>
                  </w:pPr>
                  <w:r>
                    <w:rPr>
                      <w:rFonts w:hint="eastAsia"/>
                      <w:i/>
                      <w:iCs w:val="0"/>
                      <w:color w:val="auto"/>
                      <w:kern w:val="0"/>
                      <w:szCs w:val="21"/>
                      <w:highlight w:val="none"/>
                      <w:u w:val="single"/>
                    </w:rPr>
                    <w:t>T/C/I/R</w:t>
                  </w:r>
                </w:p>
              </w:tc>
              <w:tc>
                <w:tcPr>
                  <w:tcW w:w="822" w:type="dxa"/>
                  <w:vMerge w:val="continue"/>
                  <w:tcBorders>
                    <w:right w:val="nil"/>
                  </w:tcBorders>
                  <w:vAlign w:val="center"/>
                </w:tcPr>
                <w:p w14:paraId="4BB6EAFA">
                  <w:pPr>
                    <w:jc w:val="center"/>
                    <w:rPr>
                      <w:i/>
                      <w:iCs w:val="0"/>
                      <w:color w:val="auto"/>
                      <w:kern w:val="0"/>
                      <w:szCs w:val="21"/>
                      <w:highlight w:val="none"/>
                      <w:u w:val="single"/>
                    </w:rPr>
                  </w:pPr>
                </w:p>
              </w:tc>
            </w:tr>
            <w:tr w14:paraId="1B22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70" w:type="dxa"/>
                  <w:vMerge w:val="continue"/>
                  <w:tcBorders>
                    <w:left w:val="nil"/>
                    <w:bottom w:val="single" w:color="auto" w:sz="12" w:space="0"/>
                  </w:tcBorders>
                  <w:vAlign w:val="center"/>
                </w:tcPr>
                <w:p w14:paraId="08E920D8">
                  <w:pPr>
                    <w:jc w:val="center"/>
                    <w:rPr>
                      <w:i/>
                      <w:iCs w:val="0"/>
                      <w:color w:val="auto"/>
                      <w:kern w:val="0"/>
                      <w:szCs w:val="21"/>
                      <w:highlight w:val="none"/>
                      <w:u w:val="single"/>
                    </w:rPr>
                  </w:pPr>
                </w:p>
              </w:tc>
              <w:tc>
                <w:tcPr>
                  <w:tcW w:w="471" w:type="dxa"/>
                  <w:tcBorders>
                    <w:left w:val="nil"/>
                    <w:bottom w:val="single" w:color="auto" w:sz="12" w:space="0"/>
                  </w:tcBorders>
                  <w:vAlign w:val="center"/>
                </w:tcPr>
                <w:p w14:paraId="729DB889">
                  <w:pPr>
                    <w:jc w:val="center"/>
                    <w:rPr>
                      <w:i/>
                      <w:iCs w:val="0"/>
                      <w:color w:val="auto"/>
                      <w:kern w:val="0"/>
                      <w:szCs w:val="21"/>
                      <w:highlight w:val="none"/>
                      <w:u w:val="single"/>
                    </w:rPr>
                  </w:pPr>
                  <w:r>
                    <w:rPr>
                      <w:rFonts w:hint="eastAsia"/>
                      <w:i/>
                      <w:iCs w:val="0"/>
                      <w:color w:val="auto"/>
                      <w:kern w:val="0"/>
                      <w:szCs w:val="21"/>
                      <w:highlight w:val="none"/>
                      <w:u w:val="single"/>
                    </w:rPr>
                    <w:t>药物性废物</w:t>
                  </w:r>
                </w:p>
              </w:tc>
              <w:tc>
                <w:tcPr>
                  <w:tcW w:w="776" w:type="dxa"/>
                  <w:tcBorders>
                    <w:bottom w:val="single" w:color="auto" w:sz="12" w:space="0"/>
                  </w:tcBorders>
                  <w:vAlign w:val="center"/>
                </w:tcPr>
                <w:p w14:paraId="27BD5735">
                  <w:pPr>
                    <w:jc w:val="center"/>
                    <w:rPr>
                      <w:i/>
                      <w:iCs w:val="0"/>
                      <w:color w:val="auto"/>
                      <w:kern w:val="0"/>
                      <w:szCs w:val="21"/>
                      <w:highlight w:val="none"/>
                      <w:u w:val="single"/>
                    </w:rPr>
                  </w:pPr>
                  <w:r>
                    <w:rPr>
                      <w:rFonts w:hint="eastAsia"/>
                      <w:i/>
                      <w:iCs w:val="0"/>
                      <w:color w:val="auto"/>
                      <w:kern w:val="0"/>
                      <w:szCs w:val="21"/>
                      <w:highlight w:val="none"/>
                      <w:u w:val="single"/>
                    </w:rPr>
                    <w:t>HW01</w:t>
                  </w:r>
                </w:p>
              </w:tc>
              <w:tc>
                <w:tcPr>
                  <w:tcW w:w="1196" w:type="dxa"/>
                  <w:tcBorders>
                    <w:bottom w:val="single" w:color="auto" w:sz="12" w:space="0"/>
                  </w:tcBorders>
                  <w:shd w:val="clear" w:color="auto" w:fill="auto"/>
                  <w:vAlign w:val="center"/>
                </w:tcPr>
                <w:p w14:paraId="25C75469">
                  <w:pPr>
                    <w:jc w:val="center"/>
                    <w:rPr>
                      <w:i/>
                      <w:iCs w:val="0"/>
                      <w:color w:val="auto"/>
                      <w:kern w:val="0"/>
                      <w:szCs w:val="21"/>
                      <w:highlight w:val="none"/>
                      <w:u w:val="single"/>
                    </w:rPr>
                  </w:pPr>
                  <w:r>
                    <w:rPr>
                      <w:i/>
                      <w:iCs w:val="0"/>
                      <w:color w:val="auto"/>
                      <w:kern w:val="0"/>
                      <w:szCs w:val="21"/>
                      <w:highlight w:val="none"/>
                      <w:u w:val="single"/>
                    </w:rPr>
                    <w:t>841-005-01</w:t>
                  </w:r>
                </w:p>
              </w:tc>
              <w:tc>
                <w:tcPr>
                  <w:tcW w:w="851" w:type="dxa"/>
                  <w:tcBorders>
                    <w:bottom w:val="single" w:color="auto" w:sz="12" w:space="0"/>
                  </w:tcBorders>
                  <w:vAlign w:val="center"/>
                </w:tcPr>
                <w:p w14:paraId="6AFE16E9">
                  <w:pPr>
                    <w:jc w:val="center"/>
                    <w:rPr>
                      <w:i/>
                      <w:iCs w:val="0"/>
                      <w:color w:val="auto"/>
                      <w:kern w:val="0"/>
                      <w:szCs w:val="21"/>
                      <w:highlight w:val="none"/>
                      <w:u w:val="single"/>
                    </w:rPr>
                  </w:pPr>
                  <w:r>
                    <w:rPr>
                      <w:rFonts w:hint="eastAsia"/>
                      <w:i/>
                      <w:iCs w:val="0"/>
                      <w:color w:val="auto"/>
                      <w:kern w:val="0"/>
                      <w:szCs w:val="21"/>
                      <w:highlight w:val="none"/>
                      <w:u w:val="single"/>
                    </w:rPr>
                    <w:t>0.365</w:t>
                  </w:r>
                </w:p>
              </w:tc>
              <w:tc>
                <w:tcPr>
                  <w:tcW w:w="778" w:type="dxa"/>
                  <w:tcBorders>
                    <w:bottom w:val="single" w:color="auto" w:sz="12" w:space="0"/>
                  </w:tcBorders>
                  <w:vAlign w:val="center"/>
                </w:tcPr>
                <w:p w14:paraId="30C1CF86">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429" w:type="dxa"/>
                  <w:tcBorders>
                    <w:bottom w:val="single" w:color="auto" w:sz="12" w:space="0"/>
                  </w:tcBorders>
                  <w:vAlign w:val="center"/>
                </w:tcPr>
                <w:p w14:paraId="16430A4B">
                  <w:pPr>
                    <w:jc w:val="center"/>
                    <w:rPr>
                      <w:i/>
                      <w:iCs w:val="0"/>
                      <w:color w:val="auto"/>
                      <w:kern w:val="0"/>
                      <w:szCs w:val="21"/>
                      <w:highlight w:val="none"/>
                      <w:u w:val="single"/>
                    </w:rPr>
                  </w:pPr>
                  <w:r>
                    <w:rPr>
                      <w:rFonts w:hint="eastAsia"/>
                      <w:i/>
                      <w:iCs w:val="0"/>
                      <w:color w:val="auto"/>
                      <w:kern w:val="0"/>
                      <w:szCs w:val="21"/>
                      <w:highlight w:val="none"/>
                      <w:u w:val="single"/>
                    </w:rPr>
                    <w:t>固态</w:t>
                  </w:r>
                </w:p>
              </w:tc>
              <w:tc>
                <w:tcPr>
                  <w:tcW w:w="692" w:type="dxa"/>
                  <w:tcBorders>
                    <w:bottom w:val="single" w:color="auto" w:sz="12" w:space="0"/>
                  </w:tcBorders>
                  <w:vAlign w:val="center"/>
                </w:tcPr>
                <w:p w14:paraId="24EEA515">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563" w:type="dxa"/>
                  <w:tcBorders>
                    <w:bottom w:val="single" w:color="auto" w:sz="12" w:space="0"/>
                  </w:tcBorders>
                  <w:vAlign w:val="center"/>
                </w:tcPr>
                <w:p w14:paraId="723FD531">
                  <w:pPr>
                    <w:jc w:val="center"/>
                    <w:rPr>
                      <w:i/>
                      <w:iCs w:val="0"/>
                      <w:color w:val="auto"/>
                      <w:kern w:val="0"/>
                      <w:szCs w:val="21"/>
                      <w:highlight w:val="none"/>
                      <w:u w:val="single"/>
                    </w:rPr>
                  </w:pPr>
                  <w:r>
                    <w:rPr>
                      <w:rFonts w:hint="eastAsia"/>
                      <w:i/>
                      <w:iCs w:val="0"/>
                      <w:color w:val="auto"/>
                      <w:kern w:val="0"/>
                      <w:szCs w:val="21"/>
                      <w:highlight w:val="none"/>
                      <w:u w:val="single"/>
                    </w:rPr>
                    <w:t>/</w:t>
                  </w:r>
                </w:p>
              </w:tc>
              <w:tc>
                <w:tcPr>
                  <w:tcW w:w="547" w:type="dxa"/>
                  <w:tcBorders>
                    <w:bottom w:val="single" w:color="auto" w:sz="12" w:space="0"/>
                  </w:tcBorders>
                  <w:vAlign w:val="center"/>
                </w:tcPr>
                <w:p w14:paraId="15E2AC58">
                  <w:pPr>
                    <w:jc w:val="center"/>
                    <w:rPr>
                      <w:i/>
                      <w:iCs w:val="0"/>
                      <w:color w:val="auto"/>
                      <w:kern w:val="0"/>
                      <w:szCs w:val="21"/>
                      <w:highlight w:val="none"/>
                      <w:u w:val="single"/>
                    </w:rPr>
                  </w:pPr>
                  <w:r>
                    <w:rPr>
                      <w:rFonts w:hint="eastAsia"/>
                      <w:i/>
                      <w:iCs w:val="0"/>
                      <w:color w:val="auto"/>
                      <w:kern w:val="0"/>
                      <w:szCs w:val="21"/>
                      <w:highlight w:val="none"/>
                      <w:u w:val="single"/>
                    </w:rPr>
                    <w:t>1d</w:t>
                  </w:r>
                </w:p>
              </w:tc>
              <w:tc>
                <w:tcPr>
                  <w:tcW w:w="870" w:type="dxa"/>
                  <w:tcBorders>
                    <w:bottom w:val="single" w:color="auto" w:sz="12" w:space="0"/>
                    <w:right w:val="nil"/>
                  </w:tcBorders>
                  <w:shd w:val="clear" w:color="auto" w:fill="auto"/>
                  <w:vAlign w:val="center"/>
                </w:tcPr>
                <w:p w14:paraId="33FA630B">
                  <w:pPr>
                    <w:jc w:val="center"/>
                    <w:rPr>
                      <w:i/>
                      <w:iCs w:val="0"/>
                      <w:color w:val="auto"/>
                      <w:kern w:val="0"/>
                      <w:szCs w:val="21"/>
                      <w:highlight w:val="none"/>
                      <w:u w:val="single"/>
                    </w:rPr>
                  </w:pPr>
                  <w:r>
                    <w:rPr>
                      <w:rFonts w:hint="eastAsia"/>
                      <w:i/>
                      <w:iCs w:val="0"/>
                      <w:color w:val="auto"/>
                      <w:kern w:val="0"/>
                      <w:szCs w:val="21"/>
                      <w:highlight w:val="none"/>
                      <w:u w:val="single"/>
                    </w:rPr>
                    <w:t>T</w:t>
                  </w:r>
                </w:p>
              </w:tc>
              <w:tc>
                <w:tcPr>
                  <w:tcW w:w="822" w:type="dxa"/>
                  <w:vMerge w:val="continue"/>
                  <w:tcBorders>
                    <w:bottom w:val="single" w:color="auto" w:sz="12" w:space="0"/>
                    <w:right w:val="nil"/>
                  </w:tcBorders>
                  <w:vAlign w:val="center"/>
                </w:tcPr>
                <w:p w14:paraId="27B663E1">
                  <w:pPr>
                    <w:jc w:val="center"/>
                    <w:rPr>
                      <w:i/>
                      <w:iCs w:val="0"/>
                      <w:color w:val="auto"/>
                      <w:kern w:val="0"/>
                      <w:szCs w:val="21"/>
                      <w:highlight w:val="none"/>
                      <w:u w:val="single"/>
                    </w:rPr>
                  </w:pPr>
                </w:p>
              </w:tc>
            </w:tr>
          </w:tbl>
          <w:p w14:paraId="618B7A7A">
            <w:pPr>
              <w:spacing w:line="360" w:lineRule="auto"/>
              <w:ind w:firstLine="482" w:firstLineChars="200"/>
              <w:jc w:val="left"/>
              <w:rPr>
                <w:b/>
                <w:bCs/>
                <w:color w:val="auto"/>
                <w:sz w:val="24"/>
                <w:highlight w:val="none"/>
              </w:rPr>
            </w:pPr>
            <w:r>
              <w:rPr>
                <w:b/>
                <w:bCs/>
                <w:color w:val="auto"/>
                <w:sz w:val="24"/>
                <w:highlight w:val="none"/>
              </w:rPr>
              <w:t>4.2环境管理要求</w:t>
            </w:r>
          </w:p>
          <w:p w14:paraId="3EE6950E">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根据《危险废物管理计划和管理台账制定技术导则》（HJ1259-2022）中分类管理要求本项目属于“同一生产经营场所危险废物年产生量10t以下且未纳入危险废物环境重点监管单位的单位”。结合《危险废物贮存污染控制标准》（GB18597-2023）中对贮存点的定义，本项目拟新建1处危</w:t>
            </w:r>
            <w:r>
              <w:rPr>
                <w:i/>
                <w:iCs/>
                <w:color w:val="auto"/>
                <w:kern w:val="0"/>
                <w:sz w:val="24"/>
                <w:highlight w:val="none"/>
                <w:u w:val="single"/>
              </w:rPr>
              <w:t>废贮存点</w:t>
            </w:r>
            <w:r>
              <w:rPr>
                <w:i/>
                <w:iCs/>
                <w:color w:val="auto"/>
                <w:kern w:val="0"/>
                <w:sz w:val="24"/>
                <w:highlight w:val="none"/>
                <w:u w:val="single"/>
              </w:rPr>
              <w:t>，位于办公室南侧，占地面积共10m</w:t>
            </w:r>
            <w:r>
              <w:rPr>
                <w:i/>
                <w:iCs/>
                <w:color w:val="auto"/>
                <w:kern w:val="0"/>
                <w:sz w:val="24"/>
                <w:highlight w:val="none"/>
                <w:u w:val="single"/>
                <w:vertAlign w:val="superscript"/>
              </w:rPr>
              <w:t>2</w:t>
            </w:r>
            <w:r>
              <w:rPr>
                <w:i/>
                <w:iCs/>
                <w:color w:val="auto"/>
                <w:kern w:val="0"/>
                <w:sz w:val="24"/>
                <w:highlight w:val="none"/>
                <w:u w:val="single"/>
              </w:rPr>
              <w:t>。目前厂房内地面均已硬化防渗，并已铺设人工防渗材料，新建危废贮存点还需满足《危险废物贮存污染控制标准》（GB18597-2023）中的要求，详见以下要求：</w:t>
            </w:r>
          </w:p>
          <w:p w14:paraId="2EF101CB">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 xml:space="preserve">①贮存点应具有固定的区域边界，并应采取与其他区域进行隔离的措施。 </w:t>
            </w:r>
          </w:p>
          <w:p w14:paraId="6EDE9C10">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 xml:space="preserve">②贮存点应采取防风、防雨、防晒和防止危险废物流失、扬散等措施。 </w:t>
            </w:r>
          </w:p>
          <w:p w14:paraId="6D16116A">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 xml:space="preserve">③贮存点贮存的危险废物应置于容器或包装物中，不应直接散堆。 </w:t>
            </w:r>
          </w:p>
          <w:p w14:paraId="02A6F63D">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④贮存点应根据危险废物的形态、物理化学性质、包装形式等，采取防渗、防漏等污染防治措施。</w:t>
            </w:r>
          </w:p>
          <w:p w14:paraId="5A4136D5">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⑤按危废废物种类分别建设存放区，贮存点地面</w:t>
            </w:r>
            <w:r>
              <w:rPr>
                <w:rFonts w:hint="eastAsia"/>
                <w:i/>
                <w:iCs/>
                <w:color w:val="auto"/>
                <w:kern w:val="0"/>
                <w:sz w:val="24"/>
                <w:highlight w:val="none"/>
                <w:u w:val="single"/>
                <w:lang w:eastAsia="zh-CN"/>
              </w:rPr>
              <w:t>的</w:t>
            </w:r>
            <w:r>
              <w:rPr>
                <w:i/>
                <w:iCs/>
                <w:color w:val="auto"/>
                <w:kern w:val="0"/>
                <w:sz w:val="24"/>
                <w:highlight w:val="none"/>
                <w:u w:val="single"/>
              </w:rPr>
              <w:t>裙角要用坚固防渗的材料建造，建筑材料必须与危险废物相容。</w:t>
            </w:r>
          </w:p>
          <w:p w14:paraId="3291D595">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⑥在贮存区处制定警示标识和设置危险废物标识，标明贮存物类别、名称、规格、注意事项等。危险废物要设置</w:t>
            </w:r>
            <w:r>
              <w:rPr>
                <w:rFonts w:hint="eastAsia"/>
                <w:i/>
                <w:iCs/>
                <w:color w:val="auto"/>
                <w:kern w:val="0"/>
                <w:sz w:val="24"/>
                <w:highlight w:val="none"/>
                <w:u w:val="single"/>
                <w:lang w:eastAsia="zh-CN"/>
              </w:rPr>
              <w:t>台账和</w:t>
            </w:r>
            <w:r>
              <w:rPr>
                <w:i/>
                <w:iCs/>
                <w:color w:val="auto"/>
                <w:kern w:val="0"/>
                <w:sz w:val="24"/>
                <w:highlight w:val="none"/>
                <w:u w:val="single"/>
              </w:rPr>
              <w:t>转运实施联单转运制度，记录和</w:t>
            </w:r>
            <w:r>
              <w:rPr>
                <w:rFonts w:hint="eastAsia"/>
                <w:i/>
                <w:iCs/>
                <w:color w:val="auto"/>
                <w:kern w:val="0"/>
                <w:sz w:val="24"/>
                <w:highlight w:val="none"/>
                <w:u w:val="single"/>
                <w:lang w:eastAsia="zh-CN"/>
              </w:rPr>
              <w:t>台账保留</w:t>
            </w:r>
            <w:r>
              <w:rPr>
                <w:i/>
                <w:iCs/>
                <w:color w:val="auto"/>
                <w:kern w:val="0"/>
                <w:sz w:val="24"/>
                <w:highlight w:val="none"/>
                <w:u w:val="single"/>
              </w:rPr>
              <w:t>5年以上备查。</w:t>
            </w:r>
          </w:p>
          <w:p w14:paraId="6FA4B61B">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医疗废物暂存间设置要求：</w:t>
            </w:r>
          </w:p>
          <w:p w14:paraId="1CEB1B54">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医疗废物暂存间必须满足《医疗废物</w:t>
            </w:r>
            <w:r>
              <w:rPr>
                <w:rFonts w:hint="eastAsia"/>
                <w:i/>
                <w:iCs/>
                <w:color w:val="auto"/>
                <w:kern w:val="0"/>
                <w:sz w:val="24"/>
                <w:highlight w:val="none"/>
                <w:u w:val="single"/>
              </w:rPr>
              <w:t>处理处置</w:t>
            </w:r>
            <w:r>
              <w:rPr>
                <w:i/>
                <w:iCs/>
                <w:color w:val="auto"/>
                <w:kern w:val="0"/>
                <w:sz w:val="24"/>
                <w:highlight w:val="none"/>
                <w:u w:val="single"/>
              </w:rPr>
              <w:t>污染控制标准》（GB</w:t>
            </w:r>
            <w:r>
              <w:rPr>
                <w:rFonts w:hint="eastAsia"/>
                <w:i/>
                <w:iCs/>
                <w:color w:val="auto"/>
                <w:kern w:val="0"/>
                <w:sz w:val="24"/>
                <w:highlight w:val="none"/>
                <w:u w:val="single"/>
              </w:rPr>
              <w:t>39707</w:t>
            </w:r>
            <w:r>
              <w:rPr>
                <w:i/>
                <w:iCs/>
                <w:color w:val="auto"/>
                <w:kern w:val="0"/>
                <w:sz w:val="24"/>
                <w:highlight w:val="none"/>
                <w:u w:val="single"/>
              </w:rPr>
              <w:t>-20</w:t>
            </w:r>
            <w:r>
              <w:rPr>
                <w:rFonts w:hint="eastAsia"/>
                <w:i/>
                <w:iCs/>
                <w:color w:val="auto"/>
                <w:kern w:val="0"/>
                <w:sz w:val="24"/>
                <w:highlight w:val="none"/>
                <w:u w:val="single"/>
              </w:rPr>
              <w:t>20</w:t>
            </w:r>
            <w:r>
              <w:rPr>
                <w:i/>
                <w:iCs/>
                <w:color w:val="auto"/>
                <w:kern w:val="0"/>
                <w:sz w:val="24"/>
                <w:highlight w:val="none"/>
                <w:u w:val="single"/>
              </w:rPr>
              <w:t>）中的相关要求，医疗废物贮存地必须设置明显标示牌，医疗废物产生者和医疗废物贮存设施经营者均须</w:t>
            </w:r>
            <w:r>
              <w:rPr>
                <w:rFonts w:hint="eastAsia"/>
                <w:i/>
                <w:iCs/>
                <w:color w:val="auto"/>
                <w:kern w:val="0"/>
                <w:sz w:val="24"/>
                <w:highlight w:val="none"/>
                <w:u w:val="single"/>
                <w:lang w:eastAsia="zh-CN"/>
              </w:rPr>
              <w:t>做好</w:t>
            </w:r>
            <w:r>
              <w:rPr>
                <w:i/>
                <w:iCs/>
                <w:color w:val="auto"/>
                <w:kern w:val="0"/>
                <w:sz w:val="24"/>
                <w:highlight w:val="none"/>
                <w:u w:val="single"/>
              </w:rPr>
              <w:t>医疗废物情况的记录，记录上须注明医疗废物的名称、来源、数量、特性和包装容器的类别、入库日期、存放库位、废物出库日期及接收单位名称。暂存间地面必须采用防渗措施，如水泥硬化前铺设一定厚度的防渗膜。同时必须防止雨水对医疗废物的淋洗，或大风对其卷扬，顶棚必须防雨并结实，同时四周应该建设具有防风构筑物。</w:t>
            </w:r>
          </w:p>
          <w:p w14:paraId="02842030">
            <w:pPr>
              <w:adjustRightInd w:val="0"/>
              <w:snapToGrid w:val="0"/>
              <w:spacing w:line="360" w:lineRule="auto"/>
              <w:ind w:firstLine="480" w:firstLineChars="200"/>
              <w:rPr>
                <w:i/>
                <w:iCs/>
                <w:color w:val="auto"/>
                <w:kern w:val="0"/>
                <w:sz w:val="24"/>
                <w:highlight w:val="none"/>
                <w:u w:val="single"/>
              </w:rPr>
            </w:pPr>
            <w:r>
              <w:rPr>
                <w:i/>
                <w:iCs/>
                <w:color w:val="auto"/>
                <w:kern w:val="0"/>
                <w:sz w:val="24"/>
                <w:highlight w:val="none"/>
                <w:u w:val="single"/>
              </w:rPr>
              <w:t>医疗废物须严格执行医疗废物转运联单制度，即医疗废物在送往有资质的医疗废物处理单位进行无害化处理前，应按《医疗废物转移联单管理办法》相关要求，填写医疗废物转移联单并经生态环境主管部门审批后方可运出厂区，执行医疗废物运输必须采用专用车辆，执行医疗废物运输任务的驾驶员必须具有危险物品的运输资质。</w:t>
            </w:r>
          </w:p>
          <w:p w14:paraId="21D38D88">
            <w:pPr>
              <w:adjustRightInd w:val="0"/>
              <w:snapToGrid w:val="0"/>
              <w:spacing w:line="360" w:lineRule="auto"/>
              <w:ind w:firstLine="480" w:firstLineChars="200"/>
              <w:rPr>
                <w:i/>
                <w:iCs/>
                <w:color w:val="auto"/>
                <w:kern w:val="0"/>
                <w:sz w:val="24"/>
                <w:highlight w:val="none"/>
                <w:u w:val="single"/>
              </w:rPr>
            </w:pPr>
            <w:r>
              <w:rPr>
                <w:rFonts w:hint="eastAsia"/>
                <w:i/>
                <w:iCs/>
                <w:color w:val="auto"/>
                <w:kern w:val="0"/>
                <w:sz w:val="24"/>
                <w:highlight w:val="none"/>
                <w:u w:val="single"/>
              </w:rPr>
              <w:t>医疗废物暂存间设置合理性分析：</w:t>
            </w:r>
          </w:p>
          <w:p w14:paraId="1D350367">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i/>
                <w:iCs/>
                <w:snapToGrid w:val="0"/>
                <w:color w:val="auto"/>
                <w:sz w:val="24"/>
                <w:highlight w:val="none"/>
                <w:u w:val="single"/>
              </w:rPr>
            </w:pPr>
            <w:r>
              <w:rPr>
                <w:rFonts w:hint="eastAsia"/>
                <w:i/>
                <w:iCs/>
                <w:snapToGrid w:val="0"/>
                <w:color w:val="auto"/>
                <w:sz w:val="24"/>
                <w:highlight w:val="none"/>
                <w:u w:val="single"/>
              </w:rPr>
              <w:t>本项目医疗废物暂存间独立设置，位于办公楼南侧，建筑面积10m</w:t>
            </w:r>
            <w:r>
              <w:rPr>
                <w:rFonts w:hint="eastAsia"/>
                <w:i/>
                <w:iCs/>
                <w:snapToGrid w:val="0"/>
                <w:color w:val="auto"/>
                <w:sz w:val="24"/>
                <w:highlight w:val="none"/>
                <w:u w:val="single"/>
                <w:vertAlign w:val="superscript"/>
              </w:rPr>
              <w:t>2</w:t>
            </w:r>
            <w:r>
              <w:rPr>
                <w:rFonts w:hint="eastAsia"/>
                <w:i/>
                <w:iCs/>
                <w:snapToGrid w:val="0"/>
                <w:color w:val="auto"/>
                <w:sz w:val="24"/>
                <w:highlight w:val="none"/>
                <w:u w:val="single"/>
              </w:rPr>
              <w:t>不涉及生态保护红线区域，永久基本农田集中区域和其他需要特别保护的区域内。医疗废物暂存间地面防渗满足重点污染源防渗要求，墙面做好防渗处理，本项目医疗废物暂存间设置满足</w:t>
            </w:r>
            <w:r>
              <w:rPr>
                <w:i/>
                <w:iCs/>
                <w:color w:val="auto"/>
                <w:kern w:val="0"/>
                <w:sz w:val="24"/>
                <w:highlight w:val="none"/>
                <w:u w:val="single"/>
              </w:rPr>
              <w:t>《医疗废物</w:t>
            </w:r>
            <w:r>
              <w:rPr>
                <w:rFonts w:hint="eastAsia"/>
                <w:i/>
                <w:iCs/>
                <w:color w:val="auto"/>
                <w:kern w:val="0"/>
                <w:sz w:val="24"/>
                <w:highlight w:val="none"/>
                <w:u w:val="single"/>
              </w:rPr>
              <w:t>处理处置</w:t>
            </w:r>
            <w:r>
              <w:rPr>
                <w:i/>
                <w:iCs/>
                <w:color w:val="auto"/>
                <w:kern w:val="0"/>
                <w:sz w:val="24"/>
                <w:highlight w:val="none"/>
                <w:u w:val="single"/>
              </w:rPr>
              <w:t>污染控制标准》（GB</w:t>
            </w:r>
            <w:r>
              <w:rPr>
                <w:rFonts w:hint="eastAsia"/>
                <w:i/>
                <w:iCs/>
                <w:color w:val="auto"/>
                <w:kern w:val="0"/>
                <w:sz w:val="24"/>
                <w:highlight w:val="none"/>
                <w:u w:val="single"/>
              </w:rPr>
              <w:t>39707</w:t>
            </w:r>
            <w:r>
              <w:rPr>
                <w:i/>
                <w:iCs/>
                <w:color w:val="auto"/>
                <w:kern w:val="0"/>
                <w:sz w:val="24"/>
                <w:highlight w:val="none"/>
                <w:u w:val="single"/>
              </w:rPr>
              <w:t>-20</w:t>
            </w:r>
            <w:r>
              <w:rPr>
                <w:rFonts w:hint="eastAsia"/>
                <w:i/>
                <w:iCs/>
                <w:color w:val="auto"/>
                <w:kern w:val="0"/>
                <w:sz w:val="24"/>
                <w:highlight w:val="none"/>
                <w:u w:val="single"/>
              </w:rPr>
              <w:t>20</w:t>
            </w:r>
            <w:r>
              <w:rPr>
                <w:i/>
                <w:iCs/>
                <w:color w:val="auto"/>
                <w:kern w:val="0"/>
                <w:sz w:val="24"/>
                <w:highlight w:val="none"/>
                <w:u w:val="single"/>
              </w:rPr>
              <w:t>）</w:t>
            </w:r>
            <w:r>
              <w:rPr>
                <w:rFonts w:hint="eastAsia"/>
                <w:i/>
                <w:iCs/>
                <w:color w:val="auto"/>
                <w:kern w:val="0"/>
                <w:sz w:val="24"/>
                <w:highlight w:val="none"/>
                <w:u w:val="single"/>
              </w:rPr>
              <w:t>中选址要求，</w:t>
            </w:r>
            <w:r>
              <w:rPr>
                <w:rFonts w:hint="eastAsia"/>
                <w:i/>
                <w:iCs/>
                <w:snapToGrid w:val="0"/>
                <w:color w:val="auto"/>
                <w:sz w:val="24"/>
                <w:highlight w:val="none"/>
                <w:u w:val="single"/>
              </w:rPr>
              <w:t>因此，本项目医疗废物暂存间选址合理。</w:t>
            </w:r>
          </w:p>
          <w:p w14:paraId="67C0E0A6">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i/>
                <w:iCs/>
                <w:color w:val="000000"/>
                <w:sz w:val="24"/>
                <w:highlight w:val="none"/>
                <w:u w:val="single"/>
              </w:rPr>
            </w:pPr>
            <w:r>
              <w:rPr>
                <w:rFonts w:hint="default" w:ascii="Times New Roman" w:hAnsi="Times New Roman" w:eastAsia="宋体" w:cs="Times New Roman"/>
                <w:i/>
                <w:iCs/>
                <w:color w:val="000000"/>
                <w:sz w:val="24"/>
                <w:highlight w:val="none"/>
                <w:u w:val="single"/>
              </w:rPr>
              <w:t>贮存设施运行环境管理要求</w:t>
            </w:r>
          </w:p>
          <w:p w14:paraId="4789CEC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i/>
                <w:iCs/>
                <w:color w:val="000000"/>
                <w:sz w:val="24"/>
                <w:highlight w:val="none"/>
                <w:u w:val="single"/>
              </w:rPr>
            </w:pPr>
            <w:r>
              <w:rPr>
                <w:rFonts w:hint="eastAsia" w:ascii="Times New Roman" w:hAnsi="Times New Roman" w:eastAsia="宋体" w:cs="Times New Roman"/>
                <w:i/>
                <w:iCs/>
                <w:color w:val="000000"/>
                <w:kern w:val="2"/>
                <w:sz w:val="24"/>
                <w:szCs w:val="24"/>
                <w:highlight w:val="none"/>
                <w:u w:val="single"/>
                <w:lang w:val="en-US" w:eastAsia="zh-CN" w:bidi="ar-SA"/>
              </w:rPr>
              <w:t>①</w:t>
            </w:r>
            <w:r>
              <w:rPr>
                <w:rFonts w:hint="eastAsia" w:ascii="Times New Roman" w:hAnsi="Times New Roman" w:cs="Times New Roman"/>
                <w:i/>
                <w:iCs/>
                <w:color w:val="000000"/>
                <w:sz w:val="24"/>
                <w:highlight w:val="none"/>
                <w:u w:val="single"/>
              </w:rPr>
              <w:t>危险废物存入贮存设施前应对危险废物类别和特性与危险废物标签等危险废物识别标志的一致性进行核验，不一致的或类别、特性不明的不应存入。</w:t>
            </w:r>
          </w:p>
          <w:p w14:paraId="041E72F6">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i/>
                <w:iCs/>
                <w:color w:val="000000"/>
                <w:sz w:val="24"/>
                <w:highlight w:val="none"/>
                <w:u w:val="single"/>
              </w:rPr>
            </w:pPr>
            <w:r>
              <w:rPr>
                <w:rFonts w:hint="eastAsia" w:ascii="Times New Roman" w:hAnsi="Times New Roman" w:eastAsia="宋体" w:cs="Times New Roman"/>
                <w:i/>
                <w:iCs/>
                <w:color w:val="000000"/>
                <w:kern w:val="2"/>
                <w:sz w:val="24"/>
                <w:szCs w:val="24"/>
                <w:highlight w:val="none"/>
                <w:u w:val="single"/>
                <w:lang w:val="en-US" w:eastAsia="zh-CN" w:bidi="ar-SA"/>
              </w:rPr>
              <w:t>②</w:t>
            </w:r>
            <w:r>
              <w:rPr>
                <w:rFonts w:hint="eastAsia" w:ascii="Times New Roman" w:hAnsi="Times New Roman" w:cs="Times New Roman"/>
                <w:i/>
                <w:iCs/>
                <w:color w:val="000000"/>
                <w:sz w:val="24"/>
                <w:highlight w:val="none"/>
                <w:u w:val="single"/>
              </w:rPr>
              <w:t>应定期检查危险废物的贮存状况，及时清理贮存设施地面，更换破损泄漏的危险废物贮存容器和包装物，保证堆存危险废物的防雨、防风、防扬尘等设施功能完好。</w:t>
            </w:r>
          </w:p>
          <w:p w14:paraId="13AA20BE">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i/>
                <w:iCs/>
                <w:color w:val="auto"/>
                <w:sz w:val="24"/>
                <w:highlight w:val="none"/>
                <w:u w:val="single"/>
              </w:rPr>
            </w:pPr>
            <w:r>
              <w:rPr>
                <w:rFonts w:hint="eastAsia" w:ascii="Times New Roman" w:hAnsi="Times New Roman" w:eastAsia="宋体" w:cs="Times New Roman"/>
                <w:i/>
                <w:iCs/>
                <w:color w:val="000000"/>
                <w:kern w:val="2"/>
                <w:sz w:val="24"/>
                <w:szCs w:val="24"/>
                <w:highlight w:val="none"/>
                <w:u w:val="single"/>
                <w:lang w:val="en-US" w:eastAsia="zh-CN" w:bidi="ar-SA"/>
              </w:rPr>
              <w:t>③</w:t>
            </w:r>
            <w:r>
              <w:rPr>
                <w:rFonts w:hint="eastAsia" w:ascii="Times New Roman" w:hAnsi="Times New Roman" w:cs="Times New Roman"/>
                <w:i/>
                <w:iCs/>
                <w:color w:val="000000"/>
                <w:sz w:val="24"/>
                <w:highlight w:val="none"/>
                <w:u w:val="single"/>
              </w:rPr>
              <w:t>贮存设</w:t>
            </w:r>
            <w:r>
              <w:rPr>
                <w:rFonts w:hint="eastAsia" w:ascii="Times New Roman" w:hAnsi="Times New Roman" w:cs="Times New Roman"/>
                <w:i/>
                <w:iCs/>
                <w:color w:val="auto"/>
                <w:sz w:val="24"/>
                <w:highlight w:val="none"/>
                <w:u w:val="single"/>
              </w:rPr>
              <w:t>施运行期间，应按国家有关标准和规定建立危险废物管理台账并保存。</w:t>
            </w:r>
          </w:p>
          <w:p w14:paraId="2265EE42">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i/>
                <w:iCs/>
                <w:color w:val="000000"/>
                <w:sz w:val="24"/>
                <w:highlight w:val="none"/>
                <w:u w:val="single"/>
              </w:rPr>
            </w:pPr>
            <w:r>
              <w:rPr>
                <w:rFonts w:hint="eastAsia" w:ascii="Times New Roman" w:hAnsi="Times New Roman" w:eastAsia="宋体" w:cs="Times New Roman"/>
                <w:i/>
                <w:iCs/>
                <w:color w:val="000000"/>
                <w:kern w:val="2"/>
                <w:sz w:val="24"/>
                <w:szCs w:val="24"/>
                <w:highlight w:val="none"/>
                <w:u w:val="single"/>
                <w:lang w:val="en-US" w:eastAsia="zh-CN" w:bidi="ar-SA"/>
              </w:rPr>
              <w:t>④</w:t>
            </w:r>
            <w:r>
              <w:rPr>
                <w:rFonts w:hint="eastAsia" w:ascii="Times New Roman" w:hAnsi="Times New Roman" w:cs="Times New Roman"/>
                <w:i/>
                <w:iCs/>
                <w:color w:val="000000"/>
                <w:sz w:val="24"/>
                <w:highlight w:val="none"/>
                <w:u w:val="single"/>
              </w:rPr>
              <w:t>应建立贮存设施环境管理制度、管理人员岗位职责制度、设施运行操作制度、人员岗位培训制度等。</w:t>
            </w:r>
          </w:p>
          <w:p w14:paraId="13FC1E57">
            <w:pPr>
              <w:tabs>
                <w:tab w:val="left" w:pos="5550"/>
              </w:tabs>
              <w:spacing w:line="360" w:lineRule="auto"/>
              <w:ind w:firstLine="480" w:firstLineChars="200"/>
              <w:rPr>
                <w:i/>
                <w:iCs/>
                <w:color w:val="auto"/>
                <w:kern w:val="0"/>
                <w:sz w:val="24"/>
                <w:highlight w:val="none"/>
                <w:u w:val="single"/>
              </w:rPr>
            </w:pPr>
            <w:r>
              <w:rPr>
                <w:rFonts w:hint="eastAsia" w:ascii="Times New Roman" w:hAnsi="Times New Roman" w:eastAsia="宋体" w:cs="Times New Roman"/>
                <w:i/>
                <w:iCs/>
                <w:color w:val="000000"/>
                <w:kern w:val="2"/>
                <w:sz w:val="24"/>
                <w:szCs w:val="24"/>
                <w:highlight w:val="none"/>
                <w:u w:val="single"/>
                <w:lang w:val="en-US" w:eastAsia="zh-CN" w:bidi="ar-SA"/>
              </w:rPr>
              <w:t>⑤</w:t>
            </w:r>
            <w:r>
              <w:rPr>
                <w:rFonts w:hint="eastAsia" w:ascii="Times New Roman" w:hAnsi="Times New Roman"/>
                <w:i/>
                <w:iCs/>
                <w:color w:val="000000"/>
                <w:sz w:val="24"/>
                <w:highlight w:val="none"/>
                <w:u w:val="single"/>
              </w:rPr>
              <w:t>应建</w:t>
            </w:r>
            <w:r>
              <w:rPr>
                <w:rFonts w:hint="eastAsia" w:ascii="Times New Roman" w:hAnsi="Times New Roman"/>
                <w:i/>
                <w:iCs/>
                <w:color w:val="auto"/>
                <w:sz w:val="24"/>
                <w:highlight w:val="none"/>
                <w:u w:val="single"/>
              </w:rPr>
              <w:t>立贮存设施全部档案，包括设计、施工、验收、运行、监测和环境应急等，应按国家有关档案管理的法律法规进行整理和归档。</w:t>
            </w:r>
          </w:p>
          <w:p w14:paraId="54405307">
            <w:pPr>
              <w:pStyle w:val="59"/>
              <w:snapToGrid w:val="0"/>
              <w:spacing w:beforeLines="0" w:afterLines="0" w:line="360" w:lineRule="auto"/>
              <w:ind w:firstLine="482" w:firstLineChars="200"/>
              <w:rPr>
                <w:rFonts w:eastAsia="宋体"/>
                <w:b/>
                <w:color w:val="auto"/>
                <w:kern w:val="0"/>
                <w:highlight w:val="none"/>
              </w:rPr>
            </w:pPr>
            <w:r>
              <w:rPr>
                <w:rFonts w:hint="eastAsia" w:eastAsia="宋体"/>
                <w:b/>
                <w:color w:val="auto"/>
                <w:kern w:val="0"/>
                <w:highlight w:val="none"/>
              </w:rPr>
              <w:t>5、</w:t>
            </w:r>
            <w:r>
              <w:rPr>
                <w:rFonts w:eastAsia="宋体"/>
                <w:b/>
                <w:color w:val="auto"/>
                <w:kern w:val="0"/>
                <w:highlight w:val="none"/>
              </w:rPr>
              <w:t>地下水、土壤分析</w:t>
            </w:r>
          </w:p>
          <w:p w14:paraId="42BE23C9">
            <w:pPr>
              <w:pStyle w:val="7"/>
              <w:tabs>
                <w:tab w:val="left" w:pos="539"/>
                <w:tab w:val="left" w:pos="1257"/>
              </w:tabs>
              <w:adjustRightInd/>
              <w:spacing w:line="360" w:lineRule="auto"/>
              <w:ind w:firstLine="480" w:firstLineChars="200"/>
              <w:jc w:val="both"/>
              <w:rPr>
                <w:color w:val="auto"/>
                <w:highlight w:val="none"/>
              </w:rPr>
            </w:pPr>
            <w:r>
              <w:rPr>
                <w:color w:val="auto"/>
                <w:szCs w:val="24"/>
                <w:highlight w:val="none"/>
              </w:rPr>
              <w:t>为确保项目污染物对周围地下水和土壤环境产生不利影响，本项目应加强管理，规范作业，</w:t>
            </w:r>
            <w:r>
              <w:rPr>
                <w:color w:val="auto"/>
                <w:szCs w:val="24"/>
                <w:highlight w:val="none"/>
                <w:u w:val="single"/>
              </w:rPr>
              <w:t>对</w:t>
            </w:r>
            <w:r>
              <w:rPr>
                <w:rFonts w:hint="eastAsia"/>
                <w:color w:val="auto"/>
                <w:szCs w:val="24"/>
                <w:highlight w:val="none"/>
                <w:u w:val="single"/>
              </w:rPr>
              <w:t>危废贮存点</w:t>
            </w:r>
            <w:r>
              <w:rPr>
                <w:color w:val="auto"/>
                <w:szCs w:val="24"/>
                <w:highlight w:val="none"/>
                <w:u w:val="single"/>
              </w:rPr>
              <w:t>地面进行防渗处理，</w:t>
            </w:r>
            <w:r>
              <w:rPr>
                <w:rFonts w:hint="eastAsia"/>
                <w:color w:val="auto"/>
                <w:szCs w:val="24"/>
                <w:highlight w:val="none"/>
                <w:u w:val="single"/>
              </w:rPr>
              <w:t>危废贮存点</w:t>
            </w:r>
            <w:r>
              <w:rPr>
                <w:color w:val="auto"/>
                <w:szCs w:val="24"/>
                <w:highlight w:val="none"/>
                <w:u w:val="single"/>
              </w:rPr>
              <w:t>等效粘土防渗层Mb≥6.0m，</w:t>
            </w:r>
            <w:r>
              <w:rPr>
                <w:color w:val="auto"/>
                <w:kern w:val="0"/>
                <w:highlight w:val="none"/>
                <w:u w:val="single"/>
              </w:rPr>
              <w:t>K≤1.0×10</w:t>
            </w:r>
            <w:r>
              <w:rPr>
                <w:color w:val="auto"/>
                <w:kern w:val="0"/>
                <w:highlight w:val="none"/>
                <w:u w:val="single"/>
                <w:vertAlign w:val="superscript"/>
              </w:rPr>
              <w:t>-10</w:t>
            </w:r>
            <w:r>
              <w:rPr>
                <w:color w:val="auto"/>
                <w:szCs w:val="24"/>
                <w:highlight w:val="none"/>
                <w:u w:val="single"/>
              </w:rPr>
              <w:t>cm/s，或参照</w:t>
            </w:r>
            <w:r>
              <w:rPr>
                <w:color w:val="auto"/>
                <w:kern w:val="0"/>
                <w:highlight w:val="none"/>
                <w:u w:val="single"/>
              </w:rPr>
              <w:t>《危险废物贮存污染控制标准》（GB18597-2023）</w:t>
            </w:r>
            <w:r>
              <w:rPr>
                <w:color w:val="auto"/>
                <w:szCs w:val="24"/>
                <w:highlight w:val="none"/>
                <w:u w:val="single"/>
              </w:rPr>
              <w:t>执行；</w:t>
            </w:r>
            <w:r>
              <w:rPr>
                <w:rFonts w:hint="eastAsia"/>
                <w:color w:val="auto"/>
                <w:szCs w:val="24"/>
                <w:highlight w:val="none"/>
                <w:u w:val="single"/>
              </w:rPr>
              <w:t>地面</w:t>
            </w:r>
            <w:r>
              <w:rPr>
                <w:color w:val="auto"/>
                <w:szCs w:val="24"/>
                <w:highlight w:val="none"/>
                <w:u w:val="single"/>
              </w:rPr>
              <w:t>全部硬化。</w:t>
            </w:r>
            <w:r>
              <w:rPr>
                <w:rFonts w:hint="eastAsia"/>
                <w:color w:val="auto"/>
                <w:szCs w:val="24"/>
                <w:highlight w:val="none"/>
                <w:u w:val="single"/>
              </w:rPr>
              <w:t>贮存点</w:t>
            </w:r>
            <w:r>
              <w:rPr>
                <w:color w:val="auto"/>
                <w:szCs w:val="24"/>
                <w:highlight w:val="none"/>
                <w:u w:val="single"/>
              </w:rPr>
              <w:t>内将固态废物与液态废物分别存放，并设置</w:t>
            </w:r>
            <w:r>
              <w:rPr>
                <w:rFonts w:hint="eastAsia"/>
                <w:color w:val="auto"/>
                <w:szCs w:val="24"/>
                <w:highlight w:val="none"/>
                <w:u w:val="single"/>
                <w:lang w:eastAsia="zh-CN"/>
              </w:rPr>
              <w:t>泄漏</w:t>
            </w:r>
            <w:r>
              <w:rPr>
                <w:color w:val="auto"/>
                <w:szCs w:val="24"/>
                <w:highlight w:val="none"/>
                <w:u w:val="single"/>
              </w:rPr>
              <w:t>液体收集沟槽，并在</w:t>
            </w:r>
            <w:r>
              <w:rPr>
                <w:rFonts w:hint="eastAsia"/>
                <w:color w:val="auto"/>
                <w:szCs w:val="24"/>
                <w:highlight w:val="none"/>
                <w:u w:val="single"/>
              </w:rPr>
              <w:t>贮存点</w:t>
            </w:r>
            <w:r>
              <w:rPr>
                <w:color w:val="auto"/>
                <w:szCs w:val="24"/>
                <w:highlight w:val="none"/>
                <w:u w:val="single"/>
              </w:rPr>
              <w:t>内设置安全照明设施和观察窗口。</w:t>
            </w:r>
            <w:r>
              <w:rPr>
                <w:rFonts w:hint="eastAsia"/>
                <w:color w:val="auto"/>
                <w:szCs w:val="24"/>
                <w:highlight w:val="none"/>
              </w:rPr>
              <w:t>贮存点</w:t>
            </w:r>
            <w:r>
              <w:rPr>
                <w:color w:val="auto"/>
                <w:szCs w:val="24"/>
                <w:highlight w:val="none"/>
              </w:rPr>
              <w:t>按要求设置警示标志，配备应急防护装置。经此措施后，本项目排放的污染物对周围地下水、土壤环境不会产生明显不利影响。只要企业加强管理，采取各项有效的措施，项目运营期对地下水、土壤的影响较小。</w:t>
            </w:r>
            <w:bookmarkStart w:id="37" w:name="_Toc12148"/>
            <w:bookmarkStart w:id="38" w:name="_Toc342"/>
            <w:bookmarkStart w:id="39" w:name="_Toc19686"/>
          </w:p>
          <w:p w14:paraId="136FB39C">
            <w:pPr>
              <w:pStyle w:val="7"/>
              <w:tabs>
                <w:tab w:val="left" w:pos="539"/>
                <w:tab w:val="left" w:pos="1257"/>
              </w:tabs>
              <w:adjustRightInd/>
              <w:spacing w:line="360" w:lineRule="auto"/>
              <w:ind w:firstLine="482" w:firstLineChars="200"/>
              <w:rPr>
                <w:b/>
                <w:color w:val="auto"/>
                <w:kern w:val="0"/>
                <w:szCs w:val="24"/>
                <w:highlight w:val="none"/>
              </w:rPr>
            </w:pPr>
            <w:r>
              <w:rPr>
                <w:rFonts w:hint="eastAsia"/>
                <w:b/>
                <w:color w:val="auto"/>
                <w:kern w:val="0"/>
                <w:szCs w:val="24"/>
                <w:highlight w:val="none"/>
              </w:rPr>
              <w:t>6、</w:t>
            </w:r>
            <w:r>
              <w:rPr>
                <w:b/>
                <w:color w:val="auto"/>
                <w:kern w:val="0"/>
                <w:szCs w:val="24"/>
                <w:highlight w:val="none"/>
              </w:rPr>
              <w:t>环境风险</w:t>
            </w:r>
          </w:p>
          <w:p w14:paraId="3F4A1621">
            <w:pPr>
              <w:widowControl/>
              <w:spacing w:line="360" w:lineRule="auto"/>
              <w:ind w:firstLine="458" w:firstLineChars="200"/>
              <w:jc w:val="left"/>
              <w:rPr>
                <w:b/>
                <w:bCs/>
                <w:color w:val="auto"/>
                <w:spacing w:val="-6"/>
                <w:kern w:val="0"/>
                <w:sz w:val="24"/>
                <w:highlight w:val="none"/>
              </w:rPr>
            </w:pPr>
            <w:r>
              <w:rPr>
                <w:rFonts w:hint="eastAsia"/>
                <w:b/>
                <w:bCs/>
                <w:color w:val="auto"/>
                <w:spacing w:val="-6"/>
                <w:kern w:val="0"/>
                <w:sz w:val="24"/>
                <w:highlight w:val="none"/>
              </w:rPr>
              <w:t>6.1风险物质识别</w:t>
            </w:r>
          </w:p>
          <w:p w14:paraId="183FBB25">
            <w:pPr>
              <w:widowControl/>
              <w:spacing w:line="360" w:lineRule="auto"/>
              <w:ind w:firstLine="456" w:firstLineChars="200"/>
              <w:jc w:val="left"/>
              <w:rPr>
                <w:color w:val="auto"/>
                <w:spacing w:val="-6"/>
                <w:kern w:val="0"/>
                <w:sz w:val="24"/>
                <w:highlight w:val="none"/>
              </w:rPr>
            </w:pPr>
            <w:r>
              <w:rPr>
                <w:rFonts w:hint="eastAsia"/>
                <w:color w:val="auto"/>
                <w:spacing w:val="-6"/>
                <w:kern w:val="0"/>
                <w:sz w:val="24"/>
                <w:highlight w:val="none"/>
              </w:rPr>
              <w:t>1.风险物质识别</w:t>
            </w:r>
          </w:p>
          <w:p w14:paraId="5FFB3509">
            <w:pPr>
              <w:widowControl/>
              <w:spacing w:line="360" w:lineRule="auto"/>
              <w:ind w:firstLine="456" w:firstLineChars="200"/>
              <w:jc w:val="left"/>
              <w:rPr>
                <w:color w:val="auto"/>
                <w:spacing w:val="-6"/>
                <w:kern w:val="0"/>
                <w:sz w:val="24"/>
                <w:highlight w:val="none"/>
              </w:rPr>
            </w:pPr>
            <w:r>
              <w:rPr>
                <w:rFonts w:hint="eastAsia"/>
                <w:color w:val="auto"/>
                <w:spacing w:val="-6"/>
                <w:kern w:val="0"/>
                <w:sz w:val="24"/>
                <w:highlight w:val="none"/>
              </w:rPr>
              <w:t>根据《建设项目环境风险评价技术导则》（HJ169-2018）附录B对医院运营过程和使用原料所涉及的危险物质进行调查和识别，筛选出本院可能造成突发环境风险事件的风险物质主要为次氯酸钠</w:t>
            </w:r>
            <w:r>
              <w:rPr>
                <w:rFonts w:hint="eastAsia"/>
                <w:color w:val="auto"/>
                <w:spacing w:val="-6"/>
                <w:kern w:val="0"/>
                <w:sz w:val="24"/>
                <w:highlight w:val="none"/>
                <w:lang w:eastAsia="zh-CN"/>
              </w:rPr>
              <w:t>、柴油</w:t>
            </w:r>
            <w:r>
              <w:rPr>
                <w:rFonts w:hint="eastAsia"/>
                <w:color w:val="auto"/>
                <w:spacing w:val="-6"/>
                <w:kern w:val="0"/>
                <w:sz w:val="24"/>
                <w:highlight w:val="none"/>
              </w:rPr>
              <w:t>及酒精。其理化性质详见下表。</w:t>
            </w:r>
          </w:p>
          <w:p w14:paraId="432E75C2">
            <w:pPr>
              <w:adjustRightInd w:val="0"/>
              <w:snapToGrid w:val="0"/>
              <w:ind w:firstLine="602" w:firstLineChars="250"/>
              <w:jc w:val="center"/>
              <w:rPr>
                <w:b/>
                <w:bCs/>
                <w:color w:val="auto"/>
                <w:sz w:val="24"/>
                <w:highlight w:val="none"/>
              </w:rPr>
            </w:pPr>
            <w:r>
              <w:rPr>
                <w:b/>
                <w:bCs/>
                <w:color w:val="auto"/>
                <w:sz w:val="24"/>
                <w:highlight w:val="none"/>
              </w:rPr>
              <w:t>表</w:t>
            </w:r>
            <w:r>
              <w:rPr>
                <w:rFonts w:hint="eastAsia"/>
                <w:b/>
                <w:bCs/>
                <w:color w:val="auto"/>
                <w:sz w:val="24"/>
                <w:highlight w:val="none"/>
              </w:rPr>
              <w:t>4-16</w:t>
            </w:r>
            <w:r>
              <w:rPr>
                <w:b/>
                <w:bCs/>
                <w:color w:val="auto"/>
                <w:sz w:val="24"/>
                <w:highlight w:val="none"/>
              </w:rPr>
              <w:t xml:space="preserve">  </w:t>
            </w:r>
            <w:r>
              <w:rPr>
                <w:rFonts w:hint="eastAsia"/>
                <w:b/>
                <w:bCs/>
                <w:color w:val="auto"/>
                <w:sz w:val="24"/>
                <w:highlight w:val="none"/>
              </w:rPr>
              <w:t>次氯酸钠理</w:t>
            </w:r>
            <w:r>
              <w:rPr>
                <w:b/>
                <w:bCs/>
                <w:color w:val="auto"/>
                <w:sz w:val="24"/>
                <w:highlight w:val="none"/>
              </w:rPr>
              <w:t>化性质和危险特性一览表</w:t>
            </w:r>
          </w:p>
          <w:tbl>
            <w:tblPr>
              <w:tblStyle w:val="28"/>
              <w:tblW w:w="4998" w:type="pct"/>
              <w:tblInd w:w="0" w:type="dxa"/>
              <w:tblLayout w:type="fixed"/>
              <w:tblCellMar>
                <w:top w:w="0" w:type="dxa"/>
                <w:left w:w="108" w:type="dxa"/>
                <w:bottom w:w="0" w:type="dxa"/>
                <w:right w:w="108" w:type="dxa"/>
              </w:tblCellMar>
            </w:tblPr>
            <w:tblGrid>
              <w:gridCol w:w="775"/>
              <w:gridCol w:w="2"/>
              <w:gridCol w:w="1264"/>
              <w:gridCol w:w="2"/>
              <w:gridCol w:w="833"/>
              <w:gridCol w:w="927"/>
              <w:gridCol w:w="211"/>
              <w:gridCol w:w="1069"/>
              <w:gridCol w:w="760"/>
              <w:gridCol w:w="1192"/>
              <w:gridCol w:w="1380"/>
            </w:tblGrid>
            <w:tr w14:paraId="6D4ADFAC">
              <w:tblPrEx>
                <w:tblCellMar>
                  <w:top w:w="0" w:type="dxa"/>
                  <w:left w:w="108" w:type="dxa"/>
                  <w:bottom w:w="0" w:type="dxa"/>
                  <w:right w:w="108" w:type="dxa"/>
                </w:tblCellMar>
              </w:tblPrEx>
              <w:trPr>
                <w:cantSplit/>
                <w:trHeight w:val="90" w:hRule="atLeast"/>
              </w:trPr>
              <w:tc>
                <w:tcPr>
                  <w:tcW w:w="460" w:type="pct"/>
                  <w:tcBorders>
                    <w:top w:val="single" w:color="000000" w:sz="12" w:space="0"/>
                    <w:bottom w:val="single" w:color="000000" w:sz="4" w:space="0"/>
                  </w:tcBorders>
                  <w:vAlign w:val="center"/>
                </w:tcPr>
                <w:p w14:paraId="686864FF">
                  <w:pPr>
                    <w:pStyle w:val="80"/>
                    <w:rPr>
                      <w:color w:val="auto"/>
                      <w:sz w:val="21"/>
                      <w:szCs w:val="21"/>
                      <w:highlight w:val="none"/>
                    </w:rPr>
                  </w:pPr>
                  <w:r>
                    <w:rPr>
                      <w:color w:val="auto"/>
                      <w:sz w:val="21"/>
                      <w:szCs w:val="21"/>
                      <w:highlight w:val="none"/>
                    </w:rPr>
                    <w:t>标识</w:t>
                  </w:r>
                </w:p>
              </w:tc>
              <w:tc>
                <w:tcPr>
                  <w:tcW w:w="2559" w:type="pct"/>
                  <w:gridSpan w:val="7"/>
                  <w:tcBorders>
                    <w:top w:val="single" w:color="000000" w:sz="12" w:space="0"/>
                    <w:left w:val="single" w:color="000000" w:sz="4" w:space="0"/>
                    <w:bottom w:val="single" w:color="000000" w:sz="4" w:space="0"/>
                  </w:tcBorders>
                  <w:vAlign w:val="center"/>
                </w:tcPr>
                <w:p w14:paraId="07F77C75">
                  <w:pPr>
                    <w:pStyle w:val="80"/>
                    <w:rPr>
                      <w:color w:val="auto"/>
                      <w:sz w:val="21"/>
                      <w:szCs w:val="21"/>
                      <w:highlight w:val="none"/>
                    </w:rPr>
                  </w:pPr>
                  <w:r>
                    <w:rPr>
                      <w:color w:val="auto"/>
                      <w:sz w:val="21"/>
                      <w:szCs w:val="21"/>
                      <w:highlight w:val="none"/>
                    </w:rPr>
                    <w:t>中文名：</w:t>
                  </w:r>
                  <w:r>
                    <w:rPr>
                      <w:rFonts w:hint="eastAsia"/>
                      <w:color w:val="auto"/>
                      <w:sz w:val="21"/>
                      <w:szCs w:val="21"/>
                      <w:highlight w:val="none"/>
                    </w:rPr>
                    <w:t>次氯酸钠溶液</w:t>
                  </w:r>
                </w:p>
              </w:tc>
              <w:tc>
                <w:tcPr>
                  <w:tcW w:w="1979" w:type="pct"/>
                  <w:gridSpan w:val="3"/>
                  <w:tcBorders>
                    <w:top w:val="single" w:color="000000" w:sz="12" w:space="0"/>
                    <w:left w:val="single" w:color="000000" w:sz="4" w:space="0"/>
                    <w:bottom w:val="single" w:color="000000" w:sz="4" w:space="0"/>
                  </w:tcBorders>
                  <w:vAlign w:val="center"/>
                </w:tcPr>
                <w:p w14:paraId="3C6E449C">
                  <w:pPr>
                    <w:widowControl/>
                    <w:jc w:val="left"/>
                    <w:rPr>
                      <w:color w:val="auto"/>
                      <w:szCs w:val="21"/>
                      <w:highlight w:val="none"/>
                    </w:rPr>
                  </w:pPr>
                  <w:r>
                    <w:rPr>
                      <w:color w:val="auto"/>
                      <w:szCs w:val="21"/>
                      <w:highlight w:val="none"/>
                    </w:rPr>
                    <w:t>英文名：</w:t>
                  </w:r>
                  <w:r>
                    <w:rPr>
                      <w:color w:val="auto"/>
                      <w:kern w:val="0"/>
                      <w:szCs w:val="21"/>
                      <w:highlight w:val="none"/>
                      <w:lang w:bidi="ar"/>
                    </w:rPr>
                    <w:t>sodium hupochlorite solution</w:t>
                  </w:r>
                </w:p>
              </w:tc>
            </w:tr>
            <w:tr w14:paraId="39F40975">
              <w:tblPrEx>
                <w:tblCellMar>
                  <w:top w:w="0" w:type="dxa"/>
                  <w:left w:w="108" w:type="dxa"/>
                  <w:bottom w:w="0" w:type="dxa"/>
                  <w:right w:w="108" w:type="dxa"/>
                </w:tblCellMar>
              </w:tblPrEx>
              <w:trPr>
                <w:cantSplit/>
                <w:trHeight w:val="23" w:hRule="atLeast"/>
              </w:trPr>
              <w:tc>
                <w:tcPr>
                  <w:tcW w:w="460" w:type="pct"/>
                  <w:tcBorders>
                    <w:top w:val="single" w:color="000000" w:sz="4" w:space="0"/>
                    <w:bottom w:val="single" w:color="auto" w:sz="4" w:space="0"/>
                  </w:tcBorders>
                  <w:vAlign w:val="center"/>
                </w:tcPr>
                <w:p w14:paraId="6C73C2DE">
                  <w:pPr>
                    <w:pStyle w:val="80"/>
                    <w:rPr>
                      <w:color w:val="auto"/>
                      <w:sz w:val="21"/>
                      <w:szCs w:val="21"/>
                      <w:highlight w:val="none"/>
                    </w:rPr>
                  </w:pPr>
                </w:p>
              </w:tc>
              <w:tc>
                <w:tcPr>
                  <w:tcW w:w="2559" w:type="pct"/>
                  <w:gridSpan w:val="7"/>
                  <w:tcBorders>
                    <w:top w:val="single" w:color="000000" w:sz="4" w:space="0"/>
                    <w:left w:val="single" w:color="000000" w:sz="4" w:space="0"/>
                    <w:bottom w:val="single" w:color="auto" w:sz="4" w:space="0"/>
                  </w:tcBorders>
                  <w:vAlign w:val="center"/>
                </w:tcPr>
                <w:p w14:paraId="3007A261">
                  <w:pPr>
                    <w:widowControl/>
                    <w:jc w:val="left"/>
                    <w:rPr>
                      <w:color w:val="auto"/>
                      <w:szCs w:val="21"/>
                      <w:highlight w:val="none"/>
                    </w:rPr>
                  </w:pPr>
                  <w:r>
                    <w:rPr>
                      <w:color w:val="auto"/>
                      <w:szCs w:val="21"/>
                      <w:highlight w:val="none"/>
                    </w:rPr>
                    <w:t>分子式：</w:t>
                  </w:r>
                  <w:r>
                    <w:rPr>
                      <w:color w:val="auto"/>
                      <w:kern w:val="0"/>
                      <w:szCs w:val="21"/>
                      <w:highlight w:val="none"/>
                      <w:lang w:bidi="ar"/>
                    </w:rPr>
                    <w:t>NaClO</w:t>
                  </w:r>
                  <w:r>
                    <w:rPr>
                      <w:color w:val="auto"/>
                      <w:szCs w:val="21"/>
                      <w:highlight w:val="none"/>
                    </w:rPr>
                    <w:t>分子量：</w:t>
                  </w:r>
                  <w:r>
                    <w:rPr>
                      <w:rFonts w:hint="eastAsia"/>
                      <w:color w:val="auto"/>
                      <w:szCs w:val="21"/>
                      <w:highlight w:val="none"/>
                    </w:rPr>
                    <w:t>74.44</w:t>
                  </w:r>
                </w:p>
              </w:tc>
              <w:tc>
                <w:tcPr>
                  <w:tcW w:w="1979" w:type="pct"/>
                  <w:gridSpan w:val="3"/>
                  <w:tcBorders>
                    <w:top w:val="single" w:color="000000" w:sz="4" w:space="0"/>
                    <w:left w:val="single" w:color="000000" w:sz="4" w:space="0"/>
                    <w:bottom w:val="single" w:color="auto" w:sz="4" w:space="0"/>
                  </w:tcBorders>
                  <w:vAlign w:val="center"/>
                </w:tcPr>
                <w:p w14:paraId="2FED3416">
                  <w:pPr>
                    <w:pStyle w:val="80"/>
                    <w:rPr>
                      <w:color w:val="auto"/>
                      <w:sz w:val="21"/>
                      <w:szCs w:val="21"/>
                      <w:highlight w:val="none"/>
                    </w:rPr>
                  </w:pPr>
                  <w:r>
                    <w:rPr>
                      <w:color w:val="auto"/>
                      <w:sz w:val="21"/>
                      <w:szCs w:val="21"/>
                      <w:highlight w:val="none"/>
                    </w:rPr>
                    <w:t>CAS号：</w:t>
                  </w:r>
                  <w:r>
                    <w:rPr>
                      <w:rFonts w:hint="eastAsia"/>
                      <w:color w:val="auto"/>
                      <w:sz w:val="21"/>
                      <w:szCs w:val="21"/>
                      <w:highlight w:val="none"/>
                    </w:rPr>
                    <w:t>7681</w:t>
                  </w:r>
                  <w:r>
                    <w:rPr>
                      <w:color w:val="auto"/>
                      <w:sz w:val="21"/>
                      <w:szCs w:val="21"/>
                      <w:highlight w:val="none"/>
                    </w:rPr>
                    <w:t>-</w:t>
                  </w:r>
                  <w:r>
                    <w:rPr>
                      <w:rFonts w:hint="eastAsia"/>
                      <w:color w:val="auto"/>
                      <w:sz w:val="21"/>
                      <w:szCs w:val="21"/>
                      <w:highlight w:val="none"/>
                    </w:rPr>
                    <w:t>52</w:t>
                  </w:r>
                  <w:r>
                    <w:rPr>
                      <w:color w:val="auto"/>
                      <w:sz w:val="21"/>
                      <w:szCs w:val="21"/>
                      <w:highlight w:val="none"/>
                    </w:rPr>
                    <w:t>-</w:t>
                  </w:r>
                  <w:r>
                    <w:rPr>
                      <w:rFonts w:hint="eastAsia"/>
                      <w:color w:val="auto"/>
                      <w:sz w:val="21"/>
                      <w:szCs w:val="21"/>
                      <w:highlight w:val="none"/>
                    </w:rPr>
                    <w:t>9</w:t>
                  </w:r>
                </w:p>
              </w:tc>
            </w:tr>
            <w:tr w14:paraId="21F7A1EC">
              <w:tblPrEx>
                <w:tblCellMar>
                  <w:top w:w="0" w:type="dxa"/>
                  <w:left w:w="108" w:type="dxa"/>
                  <w:bottom w:w="0" w:type="dxa"/>
                  <w:right w:w="108" w:type="dxa"/>
                </w:tblCellMar>
              </w:tblPrEx>
              <w:trPr>
                <w:cantSplit/>
                <w:trHeight w:val="23" w:hRule="atLeast"/>
              </w:trPr>
              <w:tc>
                <w:tcPr>
                  <w:tcW w:w="460" w:type="pct"/>
                  <w:tcBorders>
                    <w:top w:val="single" w:color="auto" w:sz="4" w:space="0"/>
                    <w:bottom w:val="single" w:color="000000" w:sz="4" w:space="0"/>
                  </w:tcBorders>
                  <w:vAlign w:val="center"/>
                </w:tcPr>
                <w:p w14:paraId="50864A45">
                  <w:pPr>
                    <w:pStyle w:val="80"/>
                    <w:rPr>
                      <w:color w:val="auto"/>
                      <w:sz w:val="21"/>
                      <w:szCs w:val="21"/>
                      <w:highlight w:val="none"/>
                    </w:rPr>
                  </w:pPr>
                </w:p>
              </w:tc>
              <w:tc>
                <w:tcPr>
                  <w:tcW w:w="2559" w:type="pct"/>
                  <w:gridSpan w:val="7"/>
                  <w:tcBorders>
                    <w:top w:val="single" w:color="auto" w:sz="4" w:space="0"/>
                    <w:left w:val="single" w:color="000000" w:sz="4" w:space="0"/>
                    <w:bottom w:val="single" w:color="000000" w:sz="4" w:space="0"/>
                  </w:tcBorders>
                  <w:vAlign w:val="center"/>
                </w:tcPr>
                <w:p w14:paraId="4F1445B7">
                  <w:pPr>
                    <w:pStyle w:val="80"/>
                    <w:rPr>
                      <w:color w:val="auto"/>
                      <w:sz w:val="21"/>
                      <w:szCs w:val="21"/>
                      <w:highlight w:val="none"/>
                    </w:rPr>
                  </w:pPr>
                  <w:r>
                    <w:rPr>
                      <w:color w:val="auto"/>
                      <w:sz w:val="21"/>
                      <w:szCs w:val="21"/>
                      <w:highlight w:val="none"/>
                    </w:rPr>
                    <w:t>危险货物编号：</w:t>
                  </w:r>
                  <w:r>
                    <w:rPr>
                      <w:rFonts w:hint="eastAsia"/>
                      <w:color w:val="auto"/>
                      <w:sz w:val="21"/>
                      <w:szCs w:val="21"/>
                      <w:highlight w:val="none"/>
                    </w:rPr>
                    <w:t>83501</w:t>
                  </w:r>
                </w:p>
              </w:tc>
              <w:tc>
                <w:tcPr>
                  <w:tcW w:w="1979" w:type="pct"/>
                  <w:gridSpan w:val="3"/>
                  <w:tcBorders>
                    <w:top w:val="single" w:color="auto" w:sz="4" w:space="0"/>
                    <w:left w:val="single" w:color="000000" w:sz="4" w:space="0"/>
                    <w:bottom w:val="single" w:color="000000" w:sz="4" w:space="0"/>
                  </w:tcBorders>
                  <w:vAlign w:val="center"/>
                </w:tcPr>
                <w:p w14:paraId="64AF3857">
                  <w:pPr>
                    <w:pStyle w:val="80"/>
                    <w:rPr>
                      <w:color w:val="auto"/>
                      <w:sz w:val="21"/>
                      <w:szCs w:val="21"/>
                      <w:highlight w:val="none"/>
                    </w:rPr>
                  </w:pPr>
                  <w:r>
                    <w:rPr>
                      <w:color w:val="auto"/>
                      <w:sz w:val="21"/>
                      <w:szCs w:val="21"/>
                      <w:highlight w:val="none"/>
                    </w:rPr>
                    <w:t>UN编号：</w:t>
                  </w:r>
                  <w:r>
                    <w:rPr>
                      <w:rFonts w:hint="eastAsia"/>
                      <w:color w:val="auto"/>
                      <w:sz w:val="21"/>
                      <w:szCs w:val="21"/>
                      <w:highlight w:val="none"/>
                    </w:rPr>
                    <w:t>1791</w:t>
                  </w:r>
                </w:p>
              </w:tc>
            </w:tr>
            <w:tr w14:paraId="781456E6">
              <w:tblPrEx>
                <w:tblCellMar>
                  <w:top w:w="0" w:type="dxa"/>
                  <w:left w:w="108" w:type="dxa"/>
                  <w:bottom w:w="0" w:type="dxa"/>
                  <w:right w:w="108" w:type="dxa"/>
                </w:tblCellMar>
              </w:tblPrEx>
              <w:trPr>
                <w:cantSplit/>
                <w:trHeight w:val="23" w:hRule="atLeast"/>
              </w:trPr>
              <w:tc>
                <w:tcPr>
                  <w:tcW w:w="460" w:type="pct"/>
                  <w:vMerge w:val="restart"/>
                  <w:tcBorders>
                    <w:top w:val="single" w:color="000000" w:sz="4" w:space="0"/>
                    <w:bottom w:val="single" w:color="000000" w:sz="4" w:space="0"/>
                  </w:tcBorders>
                  <w:vAlign w:val="center"/>
                </w:tcPr>
                <w:p w14:paraId="3E54596E">
                  <w:pPr>
                    <w:pStyle w:val="80"/>
                    <w:rPr>
                      <w:color w:val="auto"/>
                      <w:sz w:val="21"/>
                      <w:szCs w:val="21"/>
                      <w:highlight w:val="none"/>
                    </w:rPr>
                  </w:pPr>
                  <w:r>
                    <w:rPr>
                      <w:color w:val="auto"/>
                      <w:sz w:val="21"/>
                      <w:szCs w:val="21"/>
                      <w:highlight w:val="none"/>
                    </w:rPr>
                    <w:t>理化</w:t>
                  </w:r>
                </w:p>
                <w:p w14:paraId="0C649FD4">
                  <w:pPr>
                    <w:pStyle w:val="80"/>
                    <w:rPr>
                      <w:color w:val="auto"/>
                      <w:sz w:val="21"/>
                      <w:szCs w:val="21"/>
                      <w:highlight w:val="none"/>
                    </w:rPr>
                  </w:pPr>
                  <w:r>
                    <w:rPr>
                      <w:color w:val="auto"/>
                      <w:sz w:val="21"/>
                      <w:szCs w:val="21"/>
                      <w:highlight w:val="none"/>
                    </w:rPr>
                    <w:t>性质</w:t>
                  </w:r>
                </w:p>
              </w:tc>
              <w:tc>
                <w:tcPr>
                  <w:tcW w:w="752" w:type="pct"/>
                  <w:gridSpan w:val="2"/>
                  <w:tcBorders>
                    <w:top w:val="single" w:color="000000" w:sz="4" w:space="0"/>
                    <w:left w:val="single" w:color="000000" w:sz="4" w:space="0"/>
                    <w:bottom w:val="single" w:color="000000" w:sz="4" w:space="0"/>
                  </w:tcBorders>
                  <w:vAlign w:val="center"/>
                </w:tcPr>
                <w:p w14:paraId="1C37F8B9">
                  <w:pPr>
                    <w:pStyle w:val="80"/>
                    <w:rPr>
                      <w:color w:val="auto"/>
                      <w:sz w:val="21"/>
                      <w:szCs w:val="21"/>
                      <w:highlight w:val="none"/>
                    </w:rPr>
                  </w:pPr>
                  <w:r>
                    <w:rPr>
                      <w:color w:val="auto"/>
                      <w:sz w:val="21"/>
                      <w:szCs w:val="21"/>
                      <w:highlight w:val="none"/>
                    </w:rPr>
                    <w:t>外观与性状</w:t>
                  </w:r>
                </w:p>
              </w:tc>
              <w:tc>
                <w:tcPr>
                  <w:tcW w:w="3787" w:type="pct"/>
                  <w:gridSpan w:val="8"/>
                  <w:tcBorders>
                    <w:top w:val="single" w:color="000000" w:sz="4" w:space="0"/>
                    <w:left w:val="single" w:color="000000" w:sz="4" w:space="0"/>
                    <w:bottom w:val="single" w:color="000000" w:sz="4" w:space="0"/>
                  </w:tcBorders>
                  <w:vAlign w:val="center"/>
                </w:tcPr>
                <w:p w14:paraId="6FCF1AA9">
                  <w:pPr>
                    <w:pStyle w:val="80"/>
                    <w:rPr>
                      <w:color w:val="auto"/>
                      <w:sz w:val="21"/>
                      <w:szCs w:val="21"/>
                      <w:highlight w:val="none"/>
                    </w:rPr>
                  </w:pPr>
                  <w:r>
                    <w:rPr>
                      <w:rFonts w:hint="eastAsia"/>
                      <w:color w:val="auto"/>
                      <w:sz w:val="21"/>
                      <w:szCs w:val="21"/>
                      <w:highlight w:val="none"/>
                    </w:rPr>
                    <w:t>微黄色溶液有似氯气的气味</w:t>
                  </w:r>
                </w:p>
              </w:tc>
            </w:tr>
            <w:tr w14:paraId="5C01B17B">
              <w:tblPrEx>
                <w:tblCellMar>
                  <w:top w:w="0" w:type="dxa"/>
                  <w:left w:w="108" w:type="dxa"/>
                  <w:bottom w:w="0" w:type="dxa"/>
                  <w:right w:w="108" w:type="dxa"/>
                </w:tblCellMar>
              </w:tblPrEx>
              <w:trPr>
                <w:cantSplit/>
                <w:trHeight w:val="23" w:hRule="atLeast"/>
              </w:trPr>
              <w:tc>
                <w:tcPr>
                  <w:tcW w:w="460" w:type="pct"/>
                  <w:vMerge w:val="continue"/>
                  <w:tcBorders>
                    <w:top w:val="single" w:color="000000" w:sz="4" w:space="0"/>
                    <w:bottom w:val="single" w:color="000000" w:sz="4" w:space="0"/>
                  </w:tcBorders>
                  <w:vAlign w:val="center"/>
                </w:tcPr>
                <w:p w14:paraId="2E6FD727">
                  <w:pPr>
                    <w:pStyle w:val="80"/>
                    <w:rPr>
                      <w:color w:val="auto"/>
                      <w:sz w:val="21"/>
                      <w:szCs w:val="21"/>
                      <w:highlight w:val="none"/>
                    </w:rPr>
                  </w:pPr>
                </w:p>
              </w:tc>
              <w:tc>
                <w:tcPr>
                  <w:tcW w:w="752" w:type="pct"/>
                  <w:gridSpan w:val="2"/>
                  <w:tcBorders>
                    <w:top w:val="single" w:color="000000" w:sz="4" w:space="0"/>
                    <w:left w:val="single" w:color="000000" w:sz="4" w:space="0"/>
                    <w:bottom w:val="single" w:color="000000" w:sz="4" w:space="0"/>
                  </w:tcBorders>
                  <w:vAlign w:val="center"/>
                </w:tcPr>
                <w:p w14:paraId="1C455CA7">
                  <w:pPr>
                    <w:pStyle w:val="80"/>
                    <w:rPr>
                      <w:color w:val="auto"/>
                      <w:sz w:val="21"/>
                      <w:szCs w:val="21"/>
                      <w:highlight w:val="none"/>
                    </w:rPr>
                  </w:pPr>
                  <w:r>
                    <w:rPr>
                      <w:color w:val="auto"/>
                      <w:sz w:val="21"/>
                      <w:szCs w:val="21"/>
                      <w:highlight w:val="none"/>
                    </w:rPr>
                    <w:t>主要用途</w:t>
                  </w:r>
                </w:p>
              </w:tc>
              <w:tc>
                <w:tcPr>
                  <w:tcW w:w="3787" w:type="pct"/>
                  <w:gridSpan w:val="8"/>
                  <w:tcBorders>
                    <w:top w:val="single" w:color="000000" w:sz="4" w:space="0"/>
                    <w:left w:val="single" w:color="000000" w:sz="4" w:space="0"/>
                    <w:bottom w:val="single" w:color="000000" w:sz="4" w:space="0"/>
                  </w:tcBorders>
                  <w:vAlign w:val="center"/>
                </w:tcPr>
                <w:p w14:paraId="3B8DFD86">
                  <w:pPr>
                    <w:pStyle w:val="80"/>
                    <w:rPr>
                      <w:color w:val="auto"/>
                      <w:sz w:val="21"/>
                      <w:szCs w:val="21"/>
                      <w:highlight w:val="none"/>
                    </w:rPr>
                  </w:pPr>
                  <w:r>
                    <w:rPr>
                      <w:rFonts w:hint="eastAsia"/>
                      <w:color w:val="auto"/>
                      <w:sz w:val="21"/>
                      <w:szCs w:val="21"/>
                      <w:highlight w:val="none"/>
                      <w:shd w:val="clear" w:color="auto" w:fill="FFFFFF"/>
                    </w:rPr>
                    <w:t>用于污水处理消毒</w:t>
                  </w:r>
                  <w:r>
                    <w:rPr>
                      <w:color w:val="auto"/>
                      <w:sz w:val="21"/>
                      <w:szCs w:val="21"/>
                      <w:highlight w:val="none"/>
                      <w:shd w:val="clear" w:color="auto" w:fill="FFFFFF"/>
                    </w:rPr>
                    <w:t>等</w:t>
                  </w:r>
                </w:p>
              </w:tc>
            </w:tr>
            <w:tr w14:paraId="09FE54C2">
              <w:tblPrEx>
                <w:tblCellMar>
                  <w:top w:w="0" w:type="dxa"/>
                  <w:left w:w="108" w:type="dxa"/>
                  <w:bottom w:w="0" w:type="dxa"/>
                  <w:right w:w="108" w:type="dxa"/>
                </w:tblCellMar>
              </w:tblPrEx>
              <w:trPr>
                <w:cantSplit/>
                <w:trHeight w:val="23" w:hRule="atLeast"/>
              </w:trPr>
              <w:tc>
                <w:tcPr>
                  <w:tcW w:w="460" w:type="pct"/>
                  <w:vMerge w:val="continue"/>
                  <w:tcBorders>
                    <w:top w:val="single" w:color="000000" w:sz="4" w:space="0"/>
                    <w:bottom w:val="single" w:color="000000" w:sz="4" w:space="0"/>
                  </w:tcBorders>
                  <w:vAlign w:val="center"/>
                </w:tcPr>
                <w:p w14:paraId="13FF544A">
                  <w:pPr>
                    <w:pStyle w:val="80"/>
                    <w:rPr>
                      <w:color w:val="auto"/>
                      <w:sz w:val="21"/>
                      <w:szCs w:val="21"/>
                      <w:highlight w:val="none"/>
                    </w:rPr>
                  </w:pPr>
                </w:p>
              </w:tc>
              <w:tc>
                <w:tcPr>
                  <w:tcW w:w="752" w:type="pct"/>
                  <w:gridSpan w:val="2"/>
                  <w:tcBorders>
                    <w:top w:val="single" w:color="000000" w:sz="4" w:space="0"/>
                    <w:left w:val="single" w:color="000000" w:sz="4" w:space="0"/>
                    <w:bottom w:val="single" w:color="000000" w:sz="4" w:space="0"/>
                  </w:tcBorders>
                  <w:vAlign w:val="center"/>
                </w:tcPr>
                <w:p w14:paraId="6A4BB446">
                  <w:pPr>
                    <w:pStyle w:val="80"/>
                    <w:rPr>
                      <w:color w:val="auto"/>
                      <w:sz w:val="21"/>
                      <w:szCs w:val="21"/>
                      <w:highlight w:val="none"/>
                    </w:rPr>
                  </w:pPr>
                  <w:r>
                    <w:rPr>
                      <w:color w:val="auto"/>
                      <w:sz w:val="21"/>
                      <w:szCs w:val="21"/>
                      <w:highlight w:val="none"/>
                    </w:rPr>
                    <w:t>熔点（℃）</w:t>
                  </w:r>
                </w:p>
              </w:tc>
              <w:tc>
                <w:tcPr>
                  <w:tcW w:w="496" w:type="pct"/>
                  <w:gridSpan w:val="2"/>
                  <w:tcBorders>
                    <w:top w:val="single" w:color="000000" w:sz="4" w:space="0"/>
                    <w:left w:val="single" w:color="000000" w:sz="4" w:space="0"/>
                    <w:bottom w:val="single" w:color="000000" w:sz="4" w:space="0"/>
                  </w:tcBorders>
                  <w:vAlign w:val="center"/>
                </w:tcPr>
                <w:p w14:paraId="600ED0B7">
                  <w:pPr>
                    <w:pStyle w:val="80"/>
                    <w:rPr>
                      <w:color w:val="auto"/>
                      <w:sz w:val="21"/>
                      <w:szCs w:val="21"/>
                      <w:highlight w:val="none"/>
                    </w:rPr>
                  </w:pPr>
                  <w:r>
                    <w:rPr>
                      <w:color w:val="auto"/>
                      <w:sz w:val="21"/>
                      <w:szCs w:val="21"/>
                      <w:highlight w:val="none"/>
                    </w:rPr>
                    <w:t>-</w:t>
                  </w:r>
                  <w:r>
                    <w:rPr>
                      <w:rFonts w:hint="eastAsia"/>
                      <w:color w:val="auto"/>
                      <w:sz w:val="21"/>
                      <w:szCs w:val="21"/>
                      <w:highlight w:val="none"/>
                    </w:rPr>
                    <w:t>6</w:t>
                  </w:r>
                </w:p>
              </w:tc>
              <w:tc>
                <w:tcPr>
                  <w:tcW w:w="676" w:type="pct"/>
                  <w:gridSpan w:val="2"/>
                  <w:tcBorders>
                    <w:top w:val="single" w:color="000000" w:sz="4" w:space="0"/>
                    <w:left w:val="single" w:color="000000" w:sz="4" w:space="0"/>
                    <w:bottom w:val="single" w:color="000000" w:sz="4" w:space="0"/>
                  </w:tcBorders>
                  <w:vAlign w:val="center"/>
                </w:tcPr>
                <w:p w14:paraId="05EE7E9B">
                  <w:pPr>
                    <w:pStyle w:val="80"/>
                    <w:rPr>
                      <w:color w:val="auto"/>
                      <w:sz w:val="21"/>
                      <w:szCs w:val="21"/>
                      <w:highlight w:val="none"/>
                    </w:rPr>
                  </w:pPr>
                  <w:r>
                    <w:rPr>
                      <w:color w:val="auto"/>
                      <w:sz w:val="21"/>
                      <w:szCs w:val="21"/>
                      <w:highlight w:val="none"/>
                    </w:rPr>
                    <w:t>相对密度(水=1)</w:t>
                  </w:r>
                </w:p>
              </w:tc>
              <w:tc>
                <w:tcPr>
                  <w:tcW w:w="635" w:type="pct"/>
                  <w:tcBorders>
                    <w:top w:val="single" w:color="000000" w:sz="4" w:space="0"/>
                    <w:left w:val="single" w:color="000000" w:sz="4" w:space="0"/>
                    <w:bottom w:val="single" w:color="000000" w:sz="4" w:space="0"/>
                  </w:tcBorders>
                  <w:vAlign w:val="center"/>
                </w:tcPr>
                <w:p w14:paraId="1EE2B386">
                  <w:pPr>
                    <w:pStyle w:val="80"/>
                    <w:rPr>
                      <w:color w:val="auto"/>
                      <w:sz w:val="21"/>
                      <w:szCs w:val="21"/>
                      <w:highlight w:val="none"/>
                    </w:rPr>
                  </w:pPr>
                  <w:r>
                    <w:rPr>
                      <w:rFonts w:hint="eastAsia"/>
                      <w:color w:val="auto"/>
                      <w:sz w:val="21"/>
                      <w:szCs w:val="21"/>
                      <w:highlight w:val="none"/>
                    </w:rPr>
                    <w:t>1.10</w:t>
                  </w:r>
                </w:p>
              </w:tc>
              <w:tc>
                <w:tcPr>
                  <w:tcW w:w="1159" w:type="pct"/>
                  <w:gridSpan w:val="2"/>
                  <w:tcBorders>
                    <w:top w:val="single" w:color="000000" w:sz="4" w:space="0"/>
                    <w:left w:val="single" w:color="000000" w:sz="4" w:space="0"/>
                    <w:bottom w:val="single" w:color="000000" w:sz="4" w:space="0"/>
                  </w:tcBorders>
                  <w:vAlign w:val="center"/>
                </w:tcPr>
                <w:p w14:paraId="4EBBFEC2">
                  <w:pPr>
                    <w:pStyle w:val="80"/>
                    <w:rPr>
                      <w:color w:val="auto"/>
                      <w:sz w:val="21"/>
                      <w:szCs w:val="21"/>
                      <w:highlight w:val="none"/>
                    </w:rPr>
                  </w:pPr>
                  <w:r>
                    <w:rPr>
                      <w:color w:val="auto"/>
                      <w:sz w:val="21"/>
                      <w:szCs w:val="21"/>
                      <w:highlight w:val="none"/>
                    </w:rPr>
                    <w:t>相对密度(空气=1)</w:t>
                  </w:r>
                </w:p>
              </w:tc>
              <w:tc>
                <w:tcPr>
                  <w:tcW w:w="819" w:type="pct"/>
                  <w:tcBorders>
                    <w:top w:val="single" w:color="000000" w:sz="4" w:space="0"/>
                    <w:left w:val="single" w:color="000000" w:sz="4" w:space="0"/>
                    <w:bottom w:val="single" w:color="000000" w:sz="4" w:space="0"/>
                  </w:tcBorders>
                  <w:vAlign w:val="center"/>
                </w:tcPr>
                <w:p w14:paraId="1CB0BA96">
                  <w:pPr>
                    <w:pStyle w:val="80"/>
                    <w:rPr>
                      <w:color w:val="auto"/>
                      <w:sz w:val="21"/>
                      <w:szCs w:val="21"/>
                      <w:highlight w:val="none"/>
                    </w:rPr>
                  </w:pPr>
                  <w:r>
                    <w:rPr>
                      <w:rFonts w:hint="eastAsia"/>
                      <w:color w:val="auto"/>
                      <w:sz w:val="21"/>
                      <w:szCs w:val="21"/>
                      <w:highlight w:val="none"/>
                    </w:rPr>
                    <w:t>/</w:t>
                  </w:r>
                </w:p>
              </w:tc>
            </w:tr>
            <w:tr w14:paraId="5B126525">
              <w:tblPrEx>
                <w:tblCellMar>
                  <w:top w:w="0" w:type="dxa"/>
                  <w:left w:w="108" w:type="dxa"/>
                  <w:bottom w:w="0" w:type="dxa"/>
                  <w:right w:w="108" w:type="dxa"/>
                </w:tblCellMar>
              </w:tblPrEx>
              <w:trPr>
                <w:cantSplit/>
                <w:trHeight w:val="23" w:hRule="atLeast"/>
              </w:trPr>
              <w:tc>
                <w:tcPr>
                  <w:tcW w:w="460" w:type="pct"/>
                  <w:vMerge w:val="continue"/>
                  <w:tcBorders>
                    <w:top w:val="single" w:color="000000" w:sz="4" w:space="0"/>
                    <w:bottom w:val="single" w:color="000000" w:sz="4" w:space="0"/>
                  </w:tcBorders>
                  <w:vAlign w:val="center"/>
                </w:tcPr>
                <w:p w14:paraId="3A1EBB28">
                  <w:pPr>
                    <w:pStyle w:val="80"/>
                    <w:rPr>
                      <w:color w:val="auto"/>
                      <w:sz w:val="21"/>
                      <w:szCs w:val="21"/>
                      <w:highlight w:val="none"/>
                    </w:rPr>
                  </w:pPr>
                </w:p>
              </w:tc>
              <w:tc>
                <w:tcPr>
                  <w:tcW w:w="752" w:type="pct"/>
                  <w:gridSpan w:val="2"/>
                  <w:tcBorders>
                    <w:top w:val="single" w:color="000000" w:sz="4" w:space="0"/>
                    <w:left w:val="single" w:color="000000" w:sz="4" w:space="0"/>
                    <w:bottom w:val="single" w:color="000000" w:sz="4" w:space="0"/>
                  </w:tcBorders>
                  <w:vAlign w:val="center"/>
                </w:tcPr>
                <w:p w14:paraId="3823552A">
                  <w:pPr>
                    <w:pStyle w:val="80"/>
                    <w:rPr>
                      <w:color w:val="auto"/>
                      <w:sz w:val="21"/>
                      <w:szCs w:val="21"/>
                      <w:highlight w:val="none"/>
                    </w:rPr>
                  </w:pPr>
                  <w:r>
                    <w:rPr>
                      <w:color w:val="auto"/>
                      <w:sz w:val="21"/>
                      <w:szCs w:val="21"/>
                      <w:highlight w:val="none"/>
                    </w:rPr>
                    <w:t>沸点（℃）</w:t>
                  </w:r>
                </w:p>
              </w:tc>
              <w:tc>
                <w:tcPr>
                  <w:tcW w:w="496" w:type="pct"/>
                  <w:gridSpan w:val="2"/>
                  <w:tcBorders>
                    <w:top w:val="single" w:color="000000" w:sz="4" w:space="0"/>
                    <w:left w:val="single" w:color="000000" w:sz="4" w:space="0"/>
                    <w:bottom w:val="single" w:color="000000" w:sz="4" w:space="0"/>
                  </w:tcBorders>
                  <w:vAlign w:val="center"/>
                </w:tcPr>
                <w:p w14:paraId="0E5B59D8">
                  <w:pPr>
                    <w:pStyle w:val="80"/>
                    <w:rPr>
                      <w:color w:val="auto"/>
                      <w:sz w:val="21"/>
                      <w:szCs w:val="21"/>
                      <w:highlight w:val="none"/>
                    </w:rPr>
                  </w:pPr>
                  <w:r>
                    <w:rPr>
                      <w:rFonts w:hint="eastAsia"/>
                      <w:color w:val="auto"/>
                      <w:sz w:val="21"/>
                      <w:szCs w:val="21"/>
                      <w:highlight w:val="none"/>
                    </w:rPr>
                    <w:t>102.2</w:t>
                  </w:r>
                </w:p>
              </w:tc>
              <w:tc>
                <w:tcPr>
                  <w:tcW w:w="676" w:type="pct"/>
                  <w:gridSpan w:val="2"/>
                  <w:tcBorders>
                    <w:top w:val="single" w:color="000000" w:sz="4" w:space="0"/>
                    <w:left w:val="single" w:color="000000" w:sz="4" w:space="0"/>
                    <w:bottom w:val="single" w:color="000000" w:sz="4" w:space="0"/>
                  </w:tcBorders>
                  <w:vAlign w:val="center"/>
                </w:tcPr>
                <w:p w14:paraId="42DA4DB7">
                  <w:pPr>
                    <w:pStyle w:val="80"/>
                    <w:rPr>
                      <w:color w:val="auto"/>
                      <w:sz w:val="21"/>
                      <w:szCs w:val="21"/>
                      <w:highlight w:val="none"/>
                    </w:rPr>
                  </w:pPr>
                  <w:r>
                    <w:rPr>
                      <w:color w:val="auto"/>
                      <w:sz w:val="21"/>
                      <w:szCs w:val="21"/>
                      <w:highlight w:val="none"/>
                    </w:rPr>
                    <w:t>闪点(℃)</w:t>
                  </w:r>
                </w:p>
              </w:tc>
              <w:tc>
                <w:tcPr>
                  <w:tcW w:w="635" w:type="pct"/>
                  <w:tcBorders>
                    <w:top w:val="single" w:color="000000" w:sz="4" w:space="0"/>
                    <w:left w:val="single" w:color="000000" w:sz="4" w:space="0"/>
                    <w:bottom w:val="single" w:color="000000" w:sz="4" w:space="0"/>
                  </w:tcBorders>
                  <w:vAlign w:val="center"/>
                </w:tcPr>
                <w:p w14:paraId="315DC387">
                  <w:pPr>
                    <w:pStyle w:val="80"/>
                    <w:rPr>
                      <w:color w:val="auto"/>
                      <w:sz w:val="21"/>
                      <w:szCs w:val="21"/>
                      <w:highlight w:val="none"/>
                    </w:rPr>
                  </w:pPr>
                  <w:r>
                    <w:rPr>
                      <w:color w:val="auto"/>
                      <w:sz w:val="21"/>
                      <w:szCs w:val="21"/>
                      <w:highlight w:val="none"/>
                    </w:rPr>
                    <w:t>无意义</w:t>
                  </w:r>
                </w:p>
              </w:tc>
              <w:tc>
                <w:tcPr>
                  <w:tcW w:w="1159" w:type="pct"/>
                  <w:gridSpan w:val="2"/>
                  <w:tcBorders>
                    <w:top w:val="single" w:color="000000" w:sz="4" w:space="0"/>
                    <w:left w:val="single" w:color="000000" w:sz="4" w:space="0"/>
                    <w:bottom w:val="single" w:color="000000" w:sz="4" w:space="0"/>
                  </w:tcBorders>
                  <w:vAlign w:val="center"/>
                </w:tcPr>
                <w:p w14:paraId="7AAC57E0">
                  <w:pPr>
                    <w:pStyle w:val="80"/>
                    <w:rPr>
                      <w:color w:val="auto"/>
                      <w:sz w:val="21"/>
                      <w:szCs w:val="21"/>
                      <w:highlight w:val="none"/>
                    </w:rPr>
                  </w:pPr>
                  <w:r>
                    <w:rPr>
                      <w:color w:val="auto"/>
                      <w:sz w:val="21"/>
                      <w:szCs w:val="21"/>
                      <w:highlight w:val="none"/>
                    </w:rPr>
                    <w:t>饱和蒸气压（kPa）</w:t>
                  </w:r>
                </w:p>
              </w:tc>
              <w:tc>
                <w:tcPr>
                  <w:tcW w:w="819" w:type="pct"/>
                  <w:tcBorders>
                    <w:top w:val="single" w:color="000000" w:sz="4" w:space="0"/>
                    <w:left w:val="single" w:color="000000" w:sz="4" w:space="0"/>
                    <w:bottom w:val="single" w:color="000000" w:sz="4" w:space="0"/>
                  </w:tcBorders>
                  <w:vAlign w:val="center"/>
                </w:tcPr>
                <w:p w14:paraId="69A4C7D1">
                  <w:pPr>
                    <w:pStyle w:val="80"/>
                    <w:rPr>
                      <w:color w:val="auto"/>
                      <w:sz w:val="21"/>
                      <w:szCs w:val="21"/>
                      <w:highlight w:val="none"/>
                    </w:rPr>
                  </w:pPr>
                  <w:r>
                    <w:rPr>
                      <w:rFonts w:hint="eastAsia"/>
                      <w:color w:val="auto"/>
                      <w:sz w:val="21"/>
                      <w:szCs w:val="21"/>
                      <w:highlight w:val="none"/>
                      <w:shd w:val="clear" w:color="auto" w:fill="FFFFFF"/>
                    </w:rPr>
                    <w:t>/</w:t>
                  </w:r>
                </w:p>
              </w:tc>
            </w:tr>
            <w:tr w14:paraId="09157E4A">
              <w:tblPrEx>
                <w:tblCellMar>
                  <w:top w:w="0" w:type="dxa"/>
                  <w:left w:w="108" w:type="dxa"/>
                  <w:bottom w:w="0" w:type="dxa"/>
                  <w:right w:w="108" w:type="dxa"/>
                </w:tblCellMar>
              </w:tblPrEx>
              <w:trPr>
                <w:cantSplit/>
                <w:trHeight w:val="23" w:hRule="atLeast"/>
              </w:trPr>
              <w:tc>
                <w:tcPr>
                  <w:tcW w:w="460" w:type="pct"/>
                  <w:vMerge w:val="continue"/>
                  <w:tcBorders>
                    <w:top w:val="single" w:color="000000" w:sz="4" w:space="0"/>
                    <w:bottom w:val="single" w:color="000000" w:sz="4" w:space="0"/>
                  </w:tcBorders>
                  <w:vAlign w:val="center"/>
                </w:tcPr>
                <w:p w14:paraId="532724CA">
                  <w:pPr>
                    <w:pStyle w:val="80"/>
                    <w:rPr>
                      <w:color w:val="auto"/>
                      <w:sz w:val="21"/>
                      <w:szCs w:val="21"/>
                      <w:highlight w:val="none"/>
                    </w:rPr>
                  </w:pPr>
                </w:p>
              </w:tc>
              <w:tc>
                <w:tcPr>
                  <w:tcW w:w="752" w:type="pct"/>
                  <w:gridSpan w:val="2"/>
                  <w:tcBorders>
                    <w:top w:val="single" w:color="000000" w:sz="4" w:space="0"/>
                    <w:left w:val="single" w:color="000000" w:sz="4" w:space="0"/>
                    <w:bottom w:val="single" w:color="000000" w:sz="4" w:space="0"/>
                  </w:tcBorders>
                  <w:vAlign w:val="center"/>
                </w:tcPr>
                <w:p w14:paraId="32B3ADB7">
                  <w:pPr>
                    <w:pStyle w:val="80"/>
                    <w:rPr>
                      <w:color w:val="auto"/>
                      <w:sz w:val="21"/>
                      <w:szCs w:val="21"/>
                      <w:highlight w:val="none"/>
                    </w:rPr>
                  </w:pPr>
                  <w:r>
                    <w:rPr>
                      <w:color w:val="auto"/>
                      <w:sz w:val="21"/>
                      <w:szCs w:val="21"/>
                      <w:highlight w:val="none"/>
                    </w:rPr>
                    <w:t>温度、压力</w:t>
                  </w:r>
                </w:p>
              </w:tc>
              <w:tc>
                <w:tcPr>
                  <w:tcW w:w="496" w:type="pct"/>
                  <w:gridSpan w:val="2"/>
                  <w:tcBorders>
                    <w:top w:val="single" w:color="000000" w:sz="4" w:space="0"/>
                    <w:left w:val="single" w:color="000000" w:sz="4" w:space="0"/>
                    <w:bottom w:val="single" w:color="000000" w:sz="4" w:space="0"/>
                  </w:tcBorders>
                  <w:vAlign w:val="center"/>
                </w:tcPr>
                <w:p w14:paraId="4543BA73">
                  <w:pPr>
                    <w:pStyle w:val="80"/>
                    <w:rPr>
                      <w:color w:val="auto"/>
                      <w:sz w:val="21"/>
                      <w:szCs w:val="21"/>
                      <w:highlight w:val="none"/>
                    </w:rPr>
                  </w:pPr>
                  <w:r>
                    <w:rPr>
                      <w:color w:val="auto"/>
                      <w:sz w:val="21"/>
                      <w:szCs w:val="21"/>
                      <w:highlight w:val="none"/>
                    </w:rPr>
                    <w:t>临界温度(℃)</w:t>
                  </w:r>
                </w:p>
              </w:tc>
              <w:tc>
                <w:tcPr>
                  <w:tcW w:w="676" w:type="pct"/>
                  <w:gridSpan w:val="2"/>
                  <w:tcBorders>
                    <w:top w:val="single" w:color="000000" w:sz="4" w:space="0"/>
                    <w:left w:val="single" w:color="000000" w:sz="4" w:space="0"/>
                    <w:bottom w:val="single" w:color="000000" w:sz="4" w:space="0"/>
                  </w:tcBorders>
                  <w:vAlign w:val="center"/>
                </w:tcPr>
                <w:p w14:paraId="64737FE5">
                  <w:pPr>
                    <w:pStyle w:val="80"/>
                    <w:rPr>
                      <w:color w:val="auto"/>
                      <w:sz w:val="21"/>
                      <w:szCs w:val="21"/>
                      <w:highlight w:val="none"/>
                    </w:rPr>
                  </w:pPr>
                  <w:r>
                    <w:rPr>
                      <w:rFonts w:hint="eastAsia"/>
                      <w:color w:val="auto"/>
                      <w:sz w:val="21"/>
                      <w:szCs w:val="21"/>
                      <w:highlight w:val="none"/>
                    </w:rPr>
                    <w:t>/</w:t>
                  </w:r>
                </w:p>
              </w:tc>
              <w:tc>
                <w:tcPr>
                  <w:tcW w:w="1795" w:type="pct"/>
                  <w:gridSpan w:val="3"/>
                  <w:tcBorders>
                    <w:top w:val="single" w:color="000000" w:sz="4" w:space="0"/>
                    <w:left w:val="single" w:color="000000" w:sz="4" w:space="0"/>
                    <w:bottom w:val="single" w:color="000000" w:sz="4" w:space="0"/>
                  </w:tcBorders>
                  <w:vAlign w:val="center"/>
                </w:tcPr>
                <w:p w14:paraId="47A980CB">
                  <w:pPr>
                    <w:pStyle w:val="80"/>
                    <w:rPr>
                      <w:color w:val="auto"/>
                      <w:sz w:val="21"/>
                      <w:szCs w:val="21"/>
                      <w:highlight w:val="none"/>
                    </w:rPr>
                  </w:pPr>
                  <w:r>
                    <w:rPr>
                      <w:color w:val="auto"/>
                      <w:sz w:val="21"/>
                      <w:szCs w:val="21"/>
                      <w:highlight w:val="none"/>
                    </w:rPr>
                    <w:t>临界压力(MPa)：</w:t>
                  </w:r>
                </w:p>
              </w:tc>
              <w:tc>
                <w:tcPr>
                  <w:tcW w:w="819" w:type="pct"/>
                  <w:tcBorders>
                    <w:top w:val="single" w:color="000000" w:sz="4" w:space="0"/>
                    <w:left w:val="single" w:color="000000" w:sz="4" w:space="0"/>
                    <w:bottom w:val="single" w:color="000000" w:sz="4" w:space="0"/>
                  </w:tcBorders>
                  <w:vAlign w:val="center"/>
                </w:tcPr>
                <w:p w14:paraId="5A0AEF1E">
                  <w:pPr>
                    <w:pStyle w:val="80"/>
                    <w:rPr>
                      <w:color w:val="auto"/>
                      <w:sz w:val="21"/>
                      <w:szCs w:val="21"/>
                      <w:highlight w:val="none"/>
                    </w:rPr>
                  </w:pPr>
                  <w:r>
                    <w:rPr>
                      <w:color w:val="auto"/>
                      <w:sz w:val="21"/>
                      <w:szCs w:val="21"/>
                      <w:highlight w:val="none"/>
                    </w:rPr>
                    <w:t>7.87</w:t>
                  </w:r>
                </w:p>
              </w:tc>
            </w:tr>
            <w:tr w14:paraId="0D464A5A">
              <w:tblPrEx>
                <w:tblCellMar>
                  <w:top w:w="0" w:type="dxa"/>
                  <w:left w:w="108" w:type="dxa"/>
                  <w:bottom w:w="0" w:type="dxa"/>
                  <w:right w:w="108" w:type="dxa"/>
                </w:tblCellMar>
              </w:tblPrEx>
              <w:trPr>
                <w:cantSplit/>
                <w:trHeight w:val="23" w:hRule="atLeast"/>
              </w:trPr>
              <w:tc>
                <w:tcPr>
                  <w:tcW w:w="460" w:type="pct"/>
                  <w:vMerge w:val="continue"/>
                  <w:tcBorders>
                    <w:top w:val="single" w:color="000000" w:sz="4" w:space="0"/>
                    <w:bottom w:val="single" w:color="auto" w:sz="4" w:space="0"/>
                  </w:tcBorders>
                  <w:vAlign w:val="center"/>
                </w:tcPr>
                <w:p w14:paraId="748ABC8E">
                  <w:pPr>
                    <w:pStyle w:val="80"/>
                    <w:rPr>
                      <w:color w:val="auto"/>
                      <w:sz w:val="21"/>
                      <w:szCs w:val="21"/>
                      <w:highlight w:val="none"/>
                    </w:rPr>
                  </w:pPr>
                </w:p>
              </w:tc>
              <w:tc>
                <w:tcPr>
                  <w:tcW w:w="752" w:type="pct"/>
                  <w:gridSpan w:val="2"/>
                  <w:tcBorders>
                    <w:top w:val="single" w:color="000000" w:sz="4" w:space="0"/>
                    <w:left w:val="single" w:color="000000" w:sz="4" w:space="0"/>
                    <w:bottom w:val="single" w:color="auto" w:sz="4" w:space="0"/>
                  </w:tcBorders>
                  <w:vAlign w:val="center"/>
                </w:tcPr>
                <w:p w14:paraId="27982EE6">
                  <w:pPr>
                    <w:pStyle w:val="80"/>
                    <w:rPr>
                      <w:color w:val="auto"/>
                      <w:sz w:val="21"/>
                      <w:szCs w:val="21"/>
                      <w:highlight w:val="none"/>
                    </w:rPr>
                  </w:pPr>
                  <w:r>
                    <w:rPr>
                      <w:color w:val="auto"/>
                      <w:sz w:val="21"/>
                      <w:szCs w:val="21"/>
                      <w:highlight w:val="none"/>
                    </w:rPr>
                    <w:t>溶解性</w:t>
                  </w:r>
                </w:p>
              </w:tc>
              <w:tc>
                <w:tcPr>
                  <w:tcW w:w="3787" w:type="pct"/>
                  <w:gridSpan w:val="8"/>
                  <w:tcBorders>
                    <w:top w:val="single" w:color="000000" w:sz="4" w:space="0"/>
                    <w:left w:val="single" w:color="000000" w:sz="4" w:space="0"/>
                    <w:bottom w:val="single" w:color="auto" w:sz="4" w:space="0"/>
                  </w:tcBorders>
                  <w:vAlign w:val="center"/>
                </w:tcPr>
                <w:p w14:paraId="0B521DE3">
                  <w:pPr>
                    <w:pStyle w:val="80"/>
                    <w:rPr>
                      <w:color w:val="auto"/>
                      <w:sz w:val="21"/>
                      <w:szCs w:val="21"/>
                      <w:highlight w:val="none"/>
                    </w:rPr>
                  </w:pPr>
                  <w:r>
                    <w:rPr>
                      <w:color w:val="auto"/>
                      <w:sz w:val="21"/>
                      <w:szCs w:val="21"/>
                      <w:highlight w:val="none"/>
                      <w:shd w:val="clear" w:color="auto" w:fill="FFFFFF"/>
                    </w:rPr>
                    <w:t>溶于水。</w:t>
                  </w:r>
                </w:p>
              </w:tc>
            </w:tr>
            <w:tr w14:paraId="21EC3E34">
              <w:tblPrEx>
                <w:tblCellMar>
                  <w:top w:w="0" w:type="dxa"/>
                  <w:left w:w="108" w:type="dxa"/>
                  <w:bottom w:w="0" w:type="dxa"/>
                  <w:right w:w="108" w:type="dxa"/>
                </w:tblCellMar>
              </w:tblPrEx>
              <w:trPr>
                <w:cantSplit/>
              </w:trPr>
              <w:tc>
                <w:tcPr>
                  <w:tcW w:w="460" w:type="pct"/>
                  <w:vMerge w:val="restart"/>
                  <w:tcBorders>
                    <w:top w:val="single" w:color="auto" w:sz="4" w:space="0"/>
                    <w:bottom w:val="single" w:color="000000" w:sz="4" w:space="0"/>
                  </w:tcBorders>
                  <w:vAlign w:val="center"/>
                </w:tcPr>
                <w:p w14:paraId="421EB842">
                  <w:pPr>
                    <w:pStyle w:val="80"/>
                    <w:rPr>
                      <w:color w:val="auto"/>
                      <w:sz w:val="21"/>
                      <w:szCs w:val="21"/>
                      <w:highlight w:val="none"/>
                    </w:rPr>
                  </w:pPr>
                  <w:r>
                    <w:rPr>
                      <w:color w:val="auto"/>
                      <w:sz w:val="21"/>
                      <w:szCs w:val="21"/>
                      <w:highlight w:val="none"/>
                    </w:rPr>
                    <w:t>毒性</w:t>
                  </w:r>
                </w:p>
                <w:p w14:paraId="6F70BF5C">
                  <w:pPr>
                    <w:pStyle w:val="80"/>
                    <w:rPr>
                      <w:color w:val="auto"/>
                      <w:sz w:val="21"/>
                      <w:szCs w:val="21"/>
                      <w:highlight w:val="none"/>
                    </w:rPr>
                  </w:pPr>
                  <w:r>
                    <w:rPr>
                      <w:color w:val="auto"/>
                      <w:sz w:val="21"/>
                      <w:szCs w:val="21"/>
                      <w:highlight w:val="none"/>
                    </w:rPr>
                    <w:t>及健</w:t>
                  </w:r>
                </w:p>
                <w:p w14:paraId="63E4CC04">
                  <w:pPr>
                    <w:pStyle w:val="80"/>
                    <w:rPr>
                      <w:color w:val="auto"/>
                      <w:sz w:val="21"/>
                      <w:szCs w:val="21"/>
                      <w:highlight w:val="none"/>
                    </w:rPr>
                  </w:pPr>
                  <w:r>
                    <w:rPr>
                      <w:color w:val="auto"/>
                      <w:sz w:val="21"/>
                      <w:szCs w:val="21"/>
                      <w:highlight w:val="none"/>
                    </w:rPr>
                    <w:t>康危</w:t>
                  </w:r>
                </w:p>
                <w:p w14:paraId="6CE9F4EA">
                  <w:pPr>
                    <w:pStyle w:val="80"/>
                    <w:rPr>
                      <w:color w:val="auto"/>
                      <w:sz w:val="21"/>
                      <w:szCs w:val="21"/>
                      <w:highlight w:val="none"/>
                    </w:rPr>
                  </w:pPr>
                  <w:r>
                    <w:rPr>
                      <w:color w:val="auto"/>
                      <w:sz w:val="21"/>
                      <w:szCs w:val="21"/>
                      <w:highlight w:val="none"/>
                    </w:rPr>
                    <w:t>害</w:t>
                  </w:r>
                </w:p>
              </w:tc>
              <w:tc>
                <w:tcPr>
                  <w:tcW w:w="752" w:type="pct"/>
                  <w:gridSpan w:val="2"/>
                  <w:tcBorders>
                    <w:top w:val="single" w:color="auto" w:sz="4" w:space="0"/>
                    <w:left w:val="single" w:color="000000" w:sz="4" w:space="0"/>
                    <w:bottom w:val="single" w:color="000000" w:sz="4" w:space="0"/>
                  </w:tcBorders>
                  <w:vAlign w:val="center"/>
                </w:tcPr>
                <w:p w14:paraId="0F24B647">
                  <w:pPr>
                    <w:pStyle w:val="80"/>
                    <w:rPr>
                      <w:color w:val="auto"/>
                      <w:sz w:val="21"/>
                      <w:szCs w:val="21"/>
                      <w:highlight w:val="none"/>
                    </w:rPr>
                  </w:pPr>
                  <w:r>
                    <w:rPr>
                      <w:color w:val="auto"/>
                      <w:sz w:val="21"/>
                      <w:szCs w:val="21"/>
                      <w:highlight w:val="none"/>
                    </w:rPr>
                    <w:t>侵入途径</w:t>
                  </w:r>
                </w:p>
              </w:tc>
              <w:tc>
                <w:tcPr>
                  <w:tcW w:w="3787" w:type="pct"/>
                  <w:gridSpan w:val="8"/>
                  <w:tcBorders>
                    <w:top w:val="single" w:color="auto" w:sz="4" w:space="0"/>
                    <w:left w:val="single" w:color="000000" w:sz="4" w:space="0"/>
                    <w:bottom w:val="single" w:color="000000" w:sz="4" w:space="0"/>
                  </w:tcBorders>
                  <w:vAlign w:val="center"/>
                </w:tcPr>
                <w:p w14:paraId="2B83E572">
                  <w:pPr>
                    <w:pStyle w:val="80"/>
                    <w:rPr>
                      <w:color w:val="auto"/>
                      <w:sz w:val="21"/>
                      <w:szCs w:val="21"/>
                      <w:highlight w:val="none"/>
                    </w:rPr>
                  </w:pPr>
                  <w:r>
                    <w:rPr>
                      <w:color w:val="auto"/>
                      <w:sz w:val="21"/>
                      <w:szCs w:val="21"/>
                      <w:highlight w:val="none"/>
                    </w:rPr>
                    <w:t>吸入、食入、经皮吸收</w:t>
                  </w:r>
                </w:p>
              </w:tc>
            </w:tr>
            <w:tr w14:paraId="7ECA7208">
              <w:tblPrEx>
                <w:tblCellMar>
                  <w:top w:w="0" w:type="dxa"/>
                  <w:left w:w="108" w:type="dxa"/>
                  <w:bottom w:w="0" w:type="dxa"/>
                  <w:right w:w="108" w:type="dxa"/>
                </w:tblCellMar>
              </w:tblPrEx>
              <w:trPr>
                <w:cantSplit/>
              </w:trPr>
              <w:tc>
                <w:tcPr>
                  <w:tcW w:w="460" w:type="pct"/>
                  <w:vMerge w:val="continue"/>
                  <w:tcBorders>
                    <w:top w:val="single" w:color="000000" w:sz="4" w:space="0"/>
                    <w:bottom w:val="single" w:color="000000" w:sz="4" w:space="0"/>
                  </w:tcBorders>
                  <w:vAlign w:val="center"/>
                </w:tcPr>
                <w:p w14:paraId="1EBDD10D">
                  <w:pPr>
                    <w:pStyle w:val="80"/>
                    <w:rPr>
                      <w:color w:val="auto"/>
                      <w:sz w:val="21"/>
                      <w:szCs w:val="21"/>
                      <w:highlight w:val="none"/>
                    </w:rPr>
                  </w:pPr>
                </w:p>
              </w:tc>
              <w:tc>
                <w:tcPr>
                  <w:tcW w:w="752" w:type="pct"/>
                  <w:gridSpan w:val="2"/>
                  <w:tcBorders>
                    <w:top w:val="single" w:color="000000" w:sz="4" w:space="0"/>
                    <w:left w:val="single" w:color="000000" w:sz="4" w:space="0"/>
                    <w:bottom w:val="single" w:color="000000" w:sz="4" w:space="0"/>
                  </w:tcBorders>
                  <w:vAlign w:val="center"/>
                </w:tcPr>
                <w:p w14:paraId="18DD018F">
                  <w:pPr>
                    <w:pStyle w:val="80"/>
                    <w:rPr>
                      <w:color w:val="auto"/>
                      <w:sz w:val="21"/>
                      <w:szCs w:val="21"/>
                      <w:highlight w:val="none"/>
                    </w:rPr>
                  </w:pPr>
                  <w:r>
                    <w:rPr>
                      <w:color w:val="auto"/>
                      <w:sz w:val="21"/>
                      <w:szCs w:val="21"/>
                      <w:highlight w:val="none"/>
                    </w:rPr>
                    <w:t>毒性</w:t>
                  </w:r>
                </w:p>
              </w:tc>
              <w:tc>
                <w:tcPr>
                  <w:tcW w:w="3787" w:type="pct"/>
                  <w:gridSpan w:val="8"/>
                  <w:tcBorders>
                    <w:top w:val="single" w:color="000000" w:sz="4" w:space="0"/>
                    <w:left w:val="single" w:color="000000" w:sz="4" w:space="0"/>
                    <w:bottom w:val="single" w:color="000000" w:sz="4" w:space="0"/>
                  </w:tcBorders>
                  <w:vAlign w:val="center"/>
                </w:tcPr>
                <w:p w14:paraId="07731E4C">
                  <w:pPr>
                    <w:spacing w:line="315" w:lineRule="atLeast"/>
                    <w:jc w:val="center"/>
                    <w:rPr>
                      <w:color w:val="auto"/>
                      <w:szCs w:val="21"/>
                      <w:highlight w:val="none"/>
                    </w:rPr>
                  </w:pPr>
                  <w:r>
                    <w:rPr>
                      <w:color w:val="auto"/>
                      <w:szCs w:val="21"/>
                      <w:highlight w:val="none"/>
                    </w:rPr>
                    <w:t>LD50：</w:t>
                  </w:r>
                  <w:r>
                    <w:rPr>
                      <w:rFonts w:hint="eastAsia"/>
                      <w:color w:val="auto"/>
                      <w:szCs w:val="21"/>
                      <w:highlight w:val="none"/>
                    </w:rPr>
                    <w:t>8500mg/kg(小鼠口径)</w:t>
                  </w:r>
                </w:p>
              </w:tc>
            </w:tr>
            <w:tr w14:paraId="3F391A4C">
              <w:tblPrEx>
                <w:tblCellMar>
                  <w:top w:w="0" w:type="dxa"/>
                  <w:left w:w="108" w:type="dxa"/>
                  <w:bottom w:w="0" w:type="dxa"/>
                  <w:right w:w="108" w:type="dxa"/>
                </w:tblCellMar>
              </w:tblPrEx>
              <w:trPr>
                <w:cantSplit/>
              </w:trPr>
              <w:tc>
                <w:tcPr>
                  <w:tcW w:w="460" w:type="pct"/>
                  <w:vMerge w:val="continue"/>
                  <w:tcBorders>
                    <w:top w:val="single" w:color="000000" w:sz="4" w:space="0"/>
                    <w:bottom w:val="single" w:color="auto" w:sz="4" w:space="0"/>
                  </w:tcBorders>
                  <w:vAlign w:val="center"/>
                </w:tcPr>
                <w:p w14:paraId="56A31D9E">
                  <w:pPr>
                    <w:pStyle w:val="80"/>
                    <w:rPr>
                      <w:color w:val="auto"/>
                      <w:sz w:val="21"/>
                      <w:szCs w:val="21"/>
                      <w:highlight w:val="none"/>
                    </w:rPr>
                  </w:pPr>
                </w:p>
              </w:tc>
              <w:tc>
                <w:tcPr>
                  <w:tcW w:w="752" w:type="pct"/>
                  <w:gridSpan w:val="2"/>
                  <w:tcBorders>
                    <w:top w:val="single" w:color="000000" w:sz="4" w:space="0"/>
                    <w:left w:val="single" w:color="000000" w:sz="4" w:space="0"/>
                    <w:bottom w:val="single" w:color="auto" w:sz="4" w:space="0"/>
                  </w:tcBorders>
                  <w:vAlign w:val="center"/>
                </w:tcPr>
                <w:p w14:paraId="47D768EF">
                  <w:pPr>
                    <w:pStyle w:val="80"/>
                    <w:rPr>
                      <w:color w:val="auto"/>
                      <w:sz w:val="21"/>
                      <w:szCs w:val="21"/>
                      <w:highlight w:val="none"/>
                    </w:rPr>
                  </w:pPr>
                  <w:r>
                    <w:rPr>
                      <w:color w:val="auto"/>
                      <w:sz w:val="21"/>
                      <w:szCs w:val="21"/>
                      <w:highlight w:val="none"/>
                    </w:rPr>
                    <w:t>健康危害</w:t>
                  </w:r>
                </w:p>
              </w:tc>
              <w:tc>
                <w:tcPr>
                  <w:tcW w:w="3787" w:type="pct"/>
                  <w:gridSpan w:val="8"/>
                  <w:tcBorders>
                    <w:top w:val="single" w:color="000000" w:sz="4" w:space="0"/>
                    <w:left w:val="single" w:color="000000" w:sz="4" w:space="0"/>
                    <w:bottom w:val="single" w:color="auto" w:sz="4" w:space="0"/>
                  </w:tcBorders>
                  <w:vAlign w:val="center"/>
                </w:tcPr>
                <w:p w14:paraId="4D1E22D6">
                  <w:pPr>
                    <w:widowControl/>
                    <w:jc w:val="left"/>
                    <w:rPr>
                      <w:color w:val="auto"/>
                      <w:szCs w:val="21"/>
                      <w:highlight w:val="none"/>
                    </w:rPr>
                  </w:pPr>
                  <w:r>
                    <w:rPr>
                      <w:rFonts w:hint="eastAsia" w:ascii="宋体" w:hAnsi="宋体" w:cs="宋体"/>
                      <w:color w:val="auto"/>
                      <w:kern w:val="0"/>
                      <w:szCs w:val="21"/>
                      <w:highlight w:val="none"/>
                      <w:lang w:bidi="ar"/>
                    </w:rPr>
                    <w:t>经常用手接触本品的工人，手掌大量出汗，指甲变薄，毛发脱落。本品有致敏作 用。本品放出的游离氯可能引起中毒</w:t>
                  </w:r>
                </w:p>
              </w:tc>
            </w:tr>
            <w:tr w14:paraId="70D7DFFC">
              <w:tblPrEx>
                <w:tblCellMar>
                  <w:top w:w="0" w:type="dxa"/>
                  <w:left w:w="108" w:type="dxa"/>
                  <w:bottom w:w="0" w:type="dxa"/>
                  <w:right w:w="108" w:type="dxa"/>
                </w:tblCellMar>
              </w:tblPrEx>
              <w:trPr>
                <w:cantSplit/>
              </w:trPr>
              <w:tc>
                <w:tcPr>
                  <w:tcW w:w="461" w:type="pct"/>
                  <w:gridSpan w:val="2"/>
                  <w:vMerge w:val="restart"/>
                  <w:tcBorders>
                    <w:top w:val="single" w:color="auto" w:sz="4" w:space="0"/>
                    <w:left w:val="nil"/>
                    <w:bottom w:val="single" w:color="000000" w:sz="4" w:space="0"/>
                    <w:right w:val="single" w:color="000000" w:sz="4" w:space="0"/>
                  </w:tcBorders>
                  <w:vAlign w:val="center"/>
                </w:tcPr>
                <w:p w14:paraId="4D7D8824">
                  <w:pPr>
                    <w:pStyle w:val="80"/>
                    <w:rPr>
                      <w:color w:val="auto"/>
                      <w:sz w:val="21"/>
                      <w:szCs w:val="21"/>
                      <w:highlight w:val="none"/>
                    </w:rPr>
                  </w:pPr>
                  <w:r>
                    <w:rPr>
                      <w:color w:val="auto"/>
                      <w:sz w:val="21"/>
                      <w:szCs w:val="21"/>
                      <w:highlight w:val="none"/>
                    </w:rPr>
                    <w:t>燃烧</w:t>
                  </w:r>
                </w:p>
                <w:p w14:paraId="63DC9CE0">
                  <w:pPr>
                    <w:pStyle w:val="80"/>
                    <w:rPr>
                      <w:color w:val="auto"/>
                      <w:sz w:val="21"/>
                      <w:szCs w:val="21"/>
                      <w:highlight w:val="none"/>
                    </w:rPr>
                  </w:pPr>
                  <w:r>
                    <w:rPr>
                      <w:color w:val="auto"/>
                      <w:sz w:val="21"/>
                      <w:szCs w:val="21"/>
                      <w:highlight w:val="none"/>
                    </w:rPr>
                    <w:t>爆炸</w:t>
                  </w:r>
                </w:p>
                <w:p w14:paraId="217B2860">
                  <w:pPr>
                    <w:pStyle w:val="80"/>
                    <w:rPr>
                      <w:color w:val="auto"/>
                      <w:sz w:val="21"/>
                      <w:szCs w:val="21"/>
                      <w:highlight w:val="none"/>
                    </w:rPr>
                  </w:pPr>
                  <w:r>
                    <w:rPr>
                      <w:color w:val="auto"/>
                      <w:sz w:val="21"/>
                      <w:szCs w:val="21"/>
                      <w:highlight w:val="none"/>
                    </w:rPr>
                    <w:t>危险</w:t>
                  </w:r>
                </w:p>
                <w:p w14:paraId="0CC8AD0A">
                  <w:pPr>
                    <w:pStyle w:val="80"/>
                    <w:rPr>
                      <w:color w:val="auto"/>
                      <w:sz w:val="21"/>
                      <w:szCs w:val="21"/>
                      <w:highlight w:val="none"/>
                    </w:rPr>
                  </w:pPr>
                  <w:r>
                    <w:rPr>
                      <w:color w:val="auto"/>
                      <w:sz w:val="21"/>
                      <w:szCs w:val="21"/>
                      <w:highlight w:val="none"/>
                    </w:rPr>
                    <w:t>性</w:t>
                  </w:r>
                </w:p>
              </w:tc>
              <w:tc>
                <w:tcPr>
                  <w:tcW w:w="752" w:type="pct"/>
                  <w:gridSpan w:val="2"/>
                  <w:tcBorders>
                    <w:top w:val="single" w:color="auto" w:sz="4" w:space="0"/>
                    <w:left w:val="single" w:color="000000" w:sz="4" w:space="0"/>
                    <w:bottom w:val="single" w:color="000000" w:sz="4" w:space="0"/>
                    <w:right w:val="single" w:color="000000" w:sz="4" w:space="0"/>
                  </w:tcBorders>
                  <w:vAlign w:val="center"/>
                </w:tcPr>
                <w:p w14:paraId="09A31B06">
                  <w:pPr>
                    <w:pStyle w:val="80"/>
                    <w:rPr>
                      <w:color w:val="auto"/>
                      <w:sz w:val="21"/>
                      <w:szCs w:val="21"/>
                      <w:highlight w:val="none"/>
                    </w:rPr>
                  </w:pPr>
                  <w:r>
                    <w:rPr>
                      <w:color w:val="auto"/>
                      <w:sz w:val="21"/>
                      <w:szCs w:val="21"/>
                      <w:highlight w:val="none"/>
                    </w:rPr>
                    <w:t>燃爆危险</w:t>
                  </w:r>
                </w:p>
              </w:tc>
              <w:tc>
                <w:tcPr>
                  <w:tcW w:w="1045" w:type="pct"/>
                  <w:gridSpan w:val="2"/>
                  <w:tcBorders>
                    <w:top w:val="single" w:color="auto" w:sz="4" w:space="0"/>
                    <w:left w:val="single" w:color="000000" w:sz="4" w:space="0"/>
                    <w:bottom w:val="single" w:color="000000" w:sz="4" w:space="0"/>
                    <w:right w:val="single" w:color="000000" w:sz="4" w:space="0"/>
                  </w:tcBorders>
                  <w:vAlign w:val="center"/>
                </w:tcPr>
                <w:p w14:paraId="5150661B">
                  <w:pPr>
                    <w:pStyle w:val="80"/>
                    <w:rPr>
                      <w:color w:val="auto"/>
                      <w:sz w:val="21"/>
                      <w:szCs w:val="21"/>
                      <w:highlight w:val="none"/>
                    </w:rPr>
                  </w:pPr>
                  <w:r>
                    <w:rPr>
                      <w:color w:val="auto"/>
                      <w:sz w:val="21"/>
                      <w:szCs w:val="21"/>
                      <w:highlight w:val="none"/>
                    </w:rPr>
                    <w:t>本品不燃。</w:t>
                  </w:r>
                </w:p>
              </w:tc>
              <w:tc>
                <w:tcPr>
                  <w:tcW w:w="1212" w:type="pct"/>
                  <w:gridSpan w:val="3"/>
                  <w:tcBorders>
                    <w:top w:val="single" w:color="auto" w:sz="4" w:space="0"/>
                    <w:left w:val="single" w:color="000000" w:sz="4" w:space="0"/>
                    <w:bottom w:val="single" w:color="000000" w:sz="4" w:space="0"/>
                    <w:right w:val="single" w:color="000000" w:sz="4" w:space="0"/>
                  </w:tcBorders>
                  <w:vAlign w:val="center"/>
                </w:tcPr>
                <w:p w14:paraId="146A0B1A">
                  <w:pPr>
                    <w:pStyle w:val="80"/>
                    <w:rPr>
                      <w:color w:val="auto"/>
                      <w:sz w:val="21"/>
                      <w:szCs w:val="21"/>
                      <w:highlight w:val="none"/>
                    </w:rPr>
                  </w:pPr>
                  <w:r>
                    <w:rPr>
                      <w:color w:val="auto"/>
                      <w:sz w:val="21"/>
                      <w:szCs w:val="21"/>
                      <w:highlight w:val="none"/>
                    </w:rPr>
                    <w:t>燃烧分解物</w:t>
                  </w:r>
                </w:p>
              </w:tc>
              <w:tc>
                <w:tcPr>
                  <w:tcW w:w="1528" w:type="pct"/>
                  <w:gridSpan w:val="2"/>
                  <w:tcBorders>
                    <w:top w:val="single" w:color="auto" w:sz="4" w:space="0"/>
                    <w:left w:val="single" w:color="000000" w:sz="4" w:space="0"/>
                    <w:bottom w:val="single" w:color="000000" w:sz="4" w:space="0"/>
                    <w:right w:val="nil"/>
                  </w:tcBorders>
                  <w:vAlign w:val="center"/>
                </w:tcPr>
                <w:p w14:paraId="4338B07F">
                  <w:pPr>
                    <w:pStyle w:val="80"/>
                    <w:rPr>
                      <w:color w:val="auto"/>
                      <w:sz w:val="21"/>
                      <w:szCs w:val="21"/>
                      <w:highlight w:val="none"/>
                    </w:rPr>
                  </w:pPr>
                  <w:r>
                    <w:rPr>
                      <w:rFonts w:hint="eastAsia"/>
                      <w:color w:val="auto"/>
                      <w:sz w:val="21"/>
                      <w:szCs w:val="21"/>
                      <w:highlight w:val="none"/>
                    </w:rPr>
                    <w:t>氯化物</w:t>
                  </w:r>
                </w:p>
              </w:tc>
            </w:tr>
            <w:tr w14:paraId="492CDDE9">
              <w:tblPrEx>
                <w:tblCellMar>
                  <w:top w:w="0" w:type="dxa"/>
                  <w:left w:w="108" w:type="dxa"/>
                  <w:bottom w:w="0" w:type="dxa"/>
                  <w:right w:w="108" w:type="dxa"/>
                </w:tblCellMar>
              </w:tblPrEx>
              <w:trPr>
                <w:cantSplit/>
              </w:trPr>
              <w:tc>
                <w:tcPr>
                  <w:tcW w:w="461" w:type="pct"/>
                  <w:gridSpan w:val="2"/>
                  <w:vMerge w:val="continue"/>
                  <w:tcBorders>
                    <w:top w:val="single" w:color="000000" w:sz="4" w:space="0"/>
                    <w:left w:val="nil"/>
                    <w:bottom w:val="single" w:color="000000" w:sz="4" w:space="0"/>
                    <w:right w:val="single" w:color="000000" w:sz="4" w:space="0"/>
                  </w:tcBorders>
                  <w:vAlign w:val="center"/>
                </w:tcPr>
                <w:p w14:paraId="24B8BD4F">
                  <w:pPr>
                    <w:pStyle w:val="80"/>
                    <w:rPr>
                      <w:color w:val="auto"/>
                      <w:sz w:val="21"/>
                      <w:szCs w:val="21"/>
                      <w:highlight w:val="none"/>
                    </w:rPr>
                  </w:pP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14:paraId="5E4355CA">
                  <w:pPr>
                    <w:pStyle w:val="80"/>
                    <w:rPr>
                      <w:color w:val="auto"/>
                      <w:sz w:val="21"/>
                      <w:szCs w:val="21"/>
                      <w:highlight w:val="none"/>
                    </w:rPr>
                  </w:pPr>
                  <w:r>
                    <w:rPr>
                      <w:color w:val="auto"/>
                      <w:sz w:val="21"/>
                      <w:szCs w:val="21"/>
                      <w:highlight w:val="none"/>
                    </w:rPr>
                    <w:t>闪点(℃)</w:t>
                  </w:r>
                </w:p>
              </w:tc>
              <w:tc>
                <w:tcPr>
                  <w:tcW w:w="1045" w:type="pct"/>
                  <w:gridSpan w:val="2"/>
                  <w:tcBorders>
                    <w:top w:val="single" w:color="000000" w:sz="4" w:space="0"/>
                    <w:left w:val="single" w:color="000000" w:sz="4" w:space="0"/>
                    <w:bottom w:val="single" w:color="000000" w:sz="4" w:space="0"/>
                    <w:right w:val="single" w:color="000000" w:sz="4" w:space="0"/>
                  </w:tcBorders>
                  <w:vAlign w:val="center"/>
                </w:tcPr>
                <w:p w14:paraId="583F1B45">
                  <w:pPr>
                    <w:pStyle w:val="80"/>
                    <w:rPr>
                      <w:color w:val="auto"/>
                      <w:sz w:val="21"/>
                      <w:szCs w:val="21"/>
                      <w:highlight w:val="none"/>
                    </w:rPr>
                  </w:pPr>
                  <w:r>
                    <w:rPr>
                      <w:color w:val="auto"/>
                      <w:sz w:val="21"/>
                      <w:szCs w:val="21"/>
                      <w:highlight w:val="none"/>
                    </w:rPr>
                    <w:t>无意义</w:t>
                  </w:r>
                </w:p>
              </w:tc>
              <w:tc>
                <w:tcPr>
                  <w:tcW w:w="1212" w:type="pct"/>
                  <w:gridSpan w:val="3"/>
                  <w:tcBorders>
                    <w:top w:val="single" w:color="000000" w:sz="4" w:space="0"/>
                    <w:left w:val="single" w:color="000000" w:sz="4" w:space="0"/>
                    <w:bottom w:val="single" w:color="000000" w:sz="4" w:space="0"/>
                    <w:right w:val="single" w:color="000000" w:sz="4" w:space="0"/>
                  </w:tcBorders>
                  <w:vAlign w:val="center"/>
                </w:tcPr>
                <w:p w14:paraId="08060DB2">
                  <w:pPr>
                    <w:pStyle w:val="80"/>
                    <w:rPr>
                      <w:color w:val="auto"/>
                      <w:sz w:val="21"/>
                      <w:szCs w:val="21"/>
                      <w:highlight w:val="none"/>
                    </w:rPr>
                  </w:pPr>
                  <w:r>
                    <w:rPr>
                      <w:color w:val="auto"/>
                      <w:sz w:val="21"/>
                      <w:szCs w:val="21"/>
                      <w:highlight w:val="none"/>
                    </w:rPr>
                    <w:t>爆炸上限%（v%v）：</w:t>
                  </w:r>
                </w:p>
              </w:tc>
              <w:tc>
                <w:tcPr>
                  <w:tcW w:w="1528" w:type="pct"/>
                  <w:gridSpan w:val="2"/>
                  <w:tcBorders>
                    <w:top w:val="single" w:color="000000" w:sz="4" w:space="0"/>
                    <w:left w:val="single" w:color="000000" w:sz="4" w:space="0"/>
                    <w:bottom w:val="single" w:color="000000" w:sz="4" w:space="0"/>
                    <w:right w:val="nil"/>
                  </w:tcBorders>
                  <w:vAlign w:val="center"/>
                </w:tcPr>
                <w:p w14:paraId="6B482128">
                  <w:pPr>
                    <w:pStyle w:val="80"/>
                    <w:rPr>
                      <w:color w:val="auto"/>
                      <w:sz w:val="21"/>
                      <w:szCs w:val="21"/>
                      <w:highlight w:val="none"/>
                    </w:rPr>
                  </w:pPr>
                  <w:r>
                    <w:rPr>
                      <w:color w:val="auto"/>
                      <w:sz w:val="21"/>
                      <w:szCs w:val="21"/>
                      <w:highlight w:val="none"/>
                    </w:rPr>
                    <w:t>无意义</w:t>
                  </w:r>
                </w:p>
              </w:tc>
            </w:tr>
            <w:tr w14:paraId="648FFA0A">
              <w:tblPrEx>
                <w:tblCellMar>
                  <w:top w:w="0" w:type="dxa"/>
                  <w:left w:w="108" w:type="dxa"/>
                  <w:bottom w:w="0" w:type="dxa"/>
                  <w:right w:w="108" w:type="dxa"/>
                </w:tblCellMar>
              </w:tblPrEx>
              <w:trPr>
                <w:cantSplit/>
              </w:trPr>
              <w:tc>
                <w:tcPr>
                  <w:tcW w:w="461" w:type="pct"/>
                  <w:gridSpan w:val="2"/>
                  <w:vMerge w:val="continue"/>
                  <w:tcBorders>
                    <w:top w:val="single" w:color="000000" w:sz="4" w:space="0"/>
                    <w:left w:val="nil"/>
                    <w:bottom w:val="single" w:color="000000" w:sz="4" w:space="0"/>
                    <w:right w:val="single" w:color="000000" w:sz="4" w:space="0"/>
                  </w:tcBorders>
                  <w:vAlign w:val="center"/>
                </w:tcPr>
                <w:p w14:paraId="594A2084">
                  <w:pPr>
                    <w:pStyle w:val="80"/>
                    <w:rPr>
                      <w:color w:val="auto"/>
                      <w:sz w:val="21"/>
                      <w:szCs w:val="21"/>
                      <w:highlight w:val="none"/>
                    </w:rPr>
                  </w:pP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14:paraId="0BCE3EE0">
                  <w:pPr>
                    <w:pStyle w:val="80"/>
                    <w:rPr>
                      <w:color w:val="auto"/>
                      <w:sz w:val="21"/>
                      <w:szCs w:val="21"/>
                      <w:highlight w:val="none"/>
                    </w:rPr>
                  </w:pPr>
                  <w:r>
                    <w:rPr>
                      <w:color w:val="auto"/>
                      <w:sz w:val="21"/>
                      <w:szCs w:val="21"/>
                      <w:highlight w:val="none"/>
                    </w:rPr>
                    <w:t>引燃温度(℃)</w:t>
                  </w:r>
                </w:p>
              </w:tc>
              <w:tc>
                <w:tcPr>
                  <w:tcW w:w="1045" w:type="pct"/>
                  <w:gridSpan w:val="2"/>
                  <w:tcBorders>
                    <w:top w:val="single" w:color="000000" w:sz="4" w:space="0"/>
                    <w:left w:val="single" w:color="000000" w:sz="4" w:space="0"/>
                    <w:bottom w:val="single" w:color="000000" w:sz="4" w:space="0"/>
                    <w:right w:val="single" w:color="000000" w:sz="4" w:space="0"/>
                  </w:tcBorders>
                  <w:vAlign w:val="center"/>
                </w:tcPr>
                <w:p w14:paraId="024EBF77">
                  <w:pPr>
                    <w:pStyle w:val="80"/>
                    <w:rPr>
                      <w:color w:val="auto"/>
                      <w:sz w:val="21"/>
                      <w:szCs w:val="21"/>
                      <w:highlight w:val="none"/>
                    </w:rPr>
                  </w:pPr>
                  <w:r>
                    <w:rPr>
                      <w:color w:val="auto"/>
                      <w:sz w:val="21"/>
                      <w:szCs w:val="21"/>
                      <w:highlight w:val="none"/>
                    </w:rPr>
                    <w:t>无意义</w:t>
                  </w:r>
                </w:p>
              </w:tc>
              <w:tc>
                <w:tcPr>
                  <w:tcW w:w="1212" w:type="pct"/>
                  <w:gridSpan w:val="3"/>
                  <w:tcBorders>
                    <w:top w:val="single" w:color="000000" w:sz="4" w:space="0"/>
                    <w:left w:val="single" w:color="000000" w:sz="4" w:space="0"/>
                    <w:bottom w:val="single" w:color="000000" w:sz="4" w:space="0"/>
                    <w:right w:val="single" w:color="000000" w:sz="4" w:space="0"/>
                  </w:tcBorders>
                  <w:vAlign w:val="center"/>
                </w:tcPr>
                <w:p w14:paraId="2213F287">
                  <w:pPr>
                    <w:pStyle w:val="80"/>
                    <w:rPr>
                      <w:color w:val="auto"/>
                      <w:sz w:val="21"/>
                      <w:szCs w:val="21"/>
                      <w:highlight w:val="none"/>
                    </w:rPr>
                  </w:pPr>
                  <w:r>
                    <w:rPr>
                      <w:color w:val="auto"/>
                      <w:sz w:val="21"/>
                      <w:szCs w:val="21"/>
                      <w:highlight w:val="none"/>
                    </w:rPr>
                    <w:t>爆炸下限%（v%v）：</w:t>
                  </w:r>
                </w:p>
              </w:tc>
              <w:tc>
                <w:tcPr>
                  <w:tcW w:w="1528" w:type="pct"/>
                  <w:gridSpan w:val="2"/>
                  <w:tcBorders>
                    <w:top w:val="single" w:color="000000" w:sz="4" w:space="0"/>
                    <w:left w:val="single" w:color="000000" w:sz="4" w:space="0"/>
                    <w:bottom w:val="single" w:color="000000" w:sz="4" w:space="0"/>
                    <w:right w:val="nil"/>
                  </w:tcBorders>
                  <w:vAlign w:val="center"/>
                </w:tcPr>
                <w:p w14:paraId="724BE4A8">
                  <w:pPr>
                    <w:pStyle w:val="80"/>
                    <w:rPr>
                      <w:color w:val="auto"/>
                      <w:sz w:val="21"/>
                      <w:szCs w:val="21"/>
                      <w:highlight w:val="none"/>
                    </w:rPr>
                  </w:pPr>
                  <w:r>
                    <w:rPr>
                      <w:color w:val="auto"/>
                      <w:sz w:val="21"/>
                      <w:szCs w:val="21"/>
                      <w:highlight w:val="none"/>
                    </w:rPr>
                    <w:t>无意义</w:t>
                  </w:r>
                </w:p>
              </w:tc>
            </w:tr>
            <w:tr w14:paraId="16E01878">
              <w:tblPrEx>
                <w:tblCellMar>
                  <w:top w:w="0" w:type="dxa"/>
                  <w:left w:w="108" w:type="dxa"/>
                  <w:bottom w:w="0" w:type="dxa"/>
                  <w:right w:w="108" w:type="dxa"/>
                </w:tblCellMar>
              </w:tblPrEx>
              <w:trPr>
                <w:cantSplit/>
              </w:trPr>
              <w:tc>
                <w:tcPr>
                  <w:tcW w:w="461" w:type="pct"/>
                  <w:gridSpan w:val="2"/>
                  <w:vMerge w:val="continue"/>
                  <w:tcBorders>
                    <w:top w:val="single" w:color="000000" w:sz="4" w:space="0"/>
                    <w:left w:val="nil"/>
                    <w:bottom w:val="single" w:color="000000" w:sz="4" w:space="0"/>
                    <w:right w:val="single" w:color="000000" w:sz="4" w:space="0"/>
                  </w:tcBorders>
                  <w:vAlign w:val="center"/>
                </w:tcPr>
                <w:p w14:paraId="027838F7">
                  <w:pPr>
                    <w:pStyle w:val="80"/>
                    <w:rPr>
                      <w:color w:val="auto"/>
                      <w:sz w:val="21"/>
                      <w:szCs w:val="21"/>
                      <w:highlight w:val="none"/>
                    </w:rPr>
                  </w:pP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14:paraId="592DFB59">
                  <w:pPr>
                    <w:pStyle w:val="80"/>
                    <w:rPr>
                      <w:color w:val="auto"/>
                      <w:sz w:val="21"/>
                      <w:szCs w:val="21"/>
                      <w:highlight w:val="none"/>
                    </w:rPr>
                  </w:pPr>
                  <w:r>
                    <w:rPr>
                      <w:color w:val="auto"/>
                      <w:sz w:val="21"/>
                      <w:szCs w:val="21"/>
                      <w:highlight w:val="none"/>
                    </w:rPr>
                    <w:t>危险特性</w:t>
                  </w:r>
                </w:p>
              </w:tc>
              <w:tc>
                <w:tcPr>
                  <w:tcW w:w="3786" w:type="pct"/>
                  <w:gridSpan w:val="7"/>
                  <w:tcBorders>
                    <w:top w:val="single" w:color="000000" w:sz="4" w:space="0"/>
                    <w:left w:val="single" w:color="000000" w:sz="4" w:space="0"/>
                    <w:bottom w:val="single" w:color="000000" w:sz="4" w:space="0"/>
                    <w:right w:val="nil"/>
                  </w:tcBorders>
                  <w:vAlign w:val="center"/>
                </w:tcPr>
                <w:p w14:paraId="54107833">
                  <w:pPr>
                    <w:widowControl/>
                    <w:jc w:val="left"/>
                    <w:rPr>
                      <w:color w:val="auto"/>
                      <w:szCs w:val="21"/>
                      <w:highlight w:val="none"/>
                    </w:rPr>
                  </w:pPr>
                  <w:r>
                    <w:rPr>
                      <w:rFonts w:hint="eastAsia" w:ascii="宋体" w:hAnsi="宋体" w:cs="宋体"/>
                      <w:color w:val="auto"/>
                      <w:kern w:val="0"/>
                      <w:szCs w:val="21"/>
                      <w:highlight w:val="none"/>
                      <w:lang w:bidi="ar"/>
                    </w:rPr>
                    <w:t>受</w:t>
                  </w:r>
                  <w:r>
                    <w:rPr>
                      <w:rFonts w:ascii="宋体" w:hAnsi="宋体" w:cs="宋体"/>
                      <w:color w:val="auto"/>
                      <w:kern w:val="0"/>
                      <w:szCs w:val="21"/>
                      <w:highlight w:val="none"/>
                      <w:lang w:bidi="ar"/>
                    </w:rPr>
                    <w:t>高热</w:t>
                  </w:r>
                  <w:r>
                    <w:rPr>
                      <w:rFonts w:hint="eastAsia" w:ascii="宋体" w:hAnsi="宋体" w:cs="宋体"/>
                      <w:color w:val="auto"/>
                      <w:kern w:val="0"/>
                      <w:szCs w:val="21"/>
                      <w:highlight w:val="none"/>
                      <w:lang w:bidi="ar"/>
                    </w:rPr>
                    <w:t>分解产生有毒的</w:t>
                  </w:r>
                  <w:r>
                    <w:rPr>
                      <w:rFonts w:ascii="宋体" w:hAnsi="宋体" w:cs="宋体"/>
                      <w:color w:val="auto"/>
                      <w:kern w:val="0"/>
                      <w:szCs w:val="21"/>
                      <w:highlight w:val="none"/>
                      <w:lang w:bidi="ar"/>
                    </w:rPr>
                    <w:t>腐蚀性烟</w:t>
                  </w:r>
                  <w:r>
                    <w:rPr>
                      <w:rFonts w:hint="eastAsia" w:ascii="宋体" w:hAnsi="宋体" w:cs="宋体"/>
                      <w:color w:val="auto"/>
                      <w:kern w:val="0"/>
                      <w:szCs w:val="21"/>
                      <w:highlight w:val="none"/>
                      <w:lang w:bidi="ar"/>
                    </w:rPr>
                    <w:t>气。自身具有腐蚀性；分解产生有毒氯气</w:t>
                  </w:r>
                </w:p>
              </w:tc>
            </w:tr>
            <w:tr w14:paraId="133C1BD1">
              <w:tblPrEx>
                <w:tblCellMar>
                  <w:top w:w="0" w:type="dxa"/>
                  <w:left w:w="108" w:type="dxa"/>
                  <w:bottom w:w="0" w:type="dxa"/>
                  <w:right w:w="108" w:type="dxa"/>
                </w:tblCellMar>
              </w:tblPrEx>
              <w:trPr>
                <w:cantSplit/>
              </w:trPr>
              <w:tc>
                <w:tcPr>
                  <w:tcW w:w="1213" w:type="pct"/>
                  <w:gridSpan w:val="4"/>
                  <w:tcBorders>
                    <w:top w:val="single" w:color="000000" w:sz="4" w:space="0"/>
                    <w:left w:val="nil"/>
                    <w:bottom w:val="single" w:color="000000" w:sz="4" w:space="0"/>
                    <w:right w:val="single" w:color="000000" w:sz="4" w:space="0"/>
                  </w:tcBorders>
                  <w:vAlign w:val="center"/>
                </w:tcPr>
                <w:p w14:paraId="2E176233">
                  <w:pPr>
                    <w:pStyle w:val="80"/>
                    <w:rPr>
                      <w:color w:val="auto"/>
                      <w:sz w:val="21"/>
                      <w:szCs w:val="21"/>
                      <w:highlight w:val="none"/>
                    </w:rPr>
                  </w:pPr>
                  <w:r>
                    <w:rPr>
                      <w:rFonts w:hint="eastAsia"/>
                      <w:color w:val="auto"/>
                      <w:sz w:val="21"/>
                      <w:szCs w:val="21"/>
                      <w:highlight w:val="none"/>
                    </w:rPr>
                    <w:t>防护</w:t>
                  </w:r>
                </w:p>
              </w:tc>
              <w:tc>
                <w:tcPr>
                  <w:tcW w:w="3786" w:type="pct"/>
                  <w:gridSpan w:val="7"/>
                  <w:tcBorders>
                    <w:top w:val="single" w:color="000000" w:sz="4" w:space="0"/>
                    <w:left w:val="single" w:color="000000" w:sz="4" w:space="0"/>
                    <w:bottom w:val="single" w:color="000000" w:sz="4" w:space="0"/>
                    <w:right w:val="nil"/>
                  </w:tcBorders>
                  <w:vAlign w:val="center"/>
                </w:tcPr>
                <w:p w14:paraId="521F179E">
                  <w:pPr>
                    <w:widowControl/>
                    <w:jc w:val="left"/>
                    <w:rPr>
                      <w:color w:val="auto"/>
                      <w:szCs w:val="21"/>
                      <w:highlight w:val="none"/>
                    </w:rPr>
                  </w:pPr>
                  <w:r>
                    <w:rPr>
                      <w:rFonts w:hint="eastAsia" w:ascii="宋体" w:hAnsi="宋体" w:cs="宋体"/>
                      <w:color w:val="auto"/>
                      <w:kern w:val="0"/>
                      <w:szCs w:val="21"/>
                      <w:highlight w:val="none"/>
                      <w:lang w:bidi="ar"/>
                    </w:rPr>
                    <w:t xml:space="preserve">工程控制：生产过程密闭，全面通风。提供安全淋浴和洗眼设备。 </w:t>
                  </w:r>
                </w:p>
                <w:p w14:paraId="0DD9E11E">
                  <w:pPr>
                    <w:widowControl/>
                    <w:jc w:val="left"/>
                    <w:rPr>
                      <w:color w:val="auto"/>
                      <w:szCs w:val="21"/>
                      <w:highlight w:val="none"/>
                    </w:rPr>
                  </w:pPr>
                  <w:r>
                    <w:rPr>
                      <w:rFonts w:hint="eastAsia" w:ascii="宋体" w:hAnsi="宋体" w:cs="宋体"/>
                      <w:color w:val="auto"/>
                      <w:kern w:val="0"/>
                      <w:szCs w:val="21"/>
                      <w:highlight w:val="none"/>
                      <w:lang w:bidi="ar"/>
                    </w:rPr>
                    <w:t xml:space="preserve">呼吸系统防护：高浓度环境中，应该佩戴直接式防毒面具（半面罩）。 </w:t>
                  </w:r>
                </w:p>
                <w:p w14:paraId="7A9DF1C5">
                  <w:pPr>
                    <w:widowControl/>
                    <w:jc w:val="left"/>
                    <w:rPr>
                      <w:color w:val="auto"/>
                      <w:szCs w:val="21"/>
                      <w:highlight w:val="none"/>
                    </w:rPr>
                  </w:pPr>
                  <w:r>
                    <w:rPr>
                      <w:rFonts w:hint="eastAsia" w:ascii="宋体" w:hAnsi="宋体" w:cs="宋体"/>
                      <w:color w:val="auto"/>
                      <w:kern w:val="0"/>
                      <w:szCs w:val="21"/>
                      <w:highlight w:val="none"/>
                      <w:lang w:bidi="ar"/>
                    </w:rPr>
                    <w:t xml:space="preserve">眼睛防护：戴化学安全防护眼镜。 </w:t>
                  </w:r>
                </w:p>
                <w:p w14:paraId="18510369">
                  <w:pPr>
                    <w:widowControl/>
                    <w:jc w:val="left"/>
                    <w:rPr>
                      <w:color w:val="auto"/>
                      <w:szCs w:val="21"/>
                      <w:highlight w:val="none"/>
                    </w:rPr>
                  </w:pPr>
                  <w:r>
                    <w:rPr>
                      <w:rFonts w:hint="eastAsia" w:ascii="宋体" w:hAnsi="宋体" w:cs="宋体"/>
                      <w:color w:val="auto"/>
                      <w:kern w:val="0"/>
                      <w:szCs w:val="21"/>
                      <w:highlight w:val="none"/>
                      <w:lang w:bidi="ar"/>
                    </w:rPr>
                    <w:t xml:space="preserve">身体防护：穿防腐工作服。 </w:t>
                  </w:r>
                </w:p>
                <w:p w14:paraId="76FC9BE6">
                  <w:pPr>
                    <w:widowControl/>
                    <w:jc w:val="left"/>
                    <w:rPr>
                      <w:color w:val="auto"/>
                      <w:szCs w:val="21"/>
                      <w:highlight w:val="none"/>
                    </w:rPr>
                  </w:pPr>
                  <w:r>
                    <w:rPr>
                      <w:rFonts w:hint="eastAsia" w:ascii="宋体" w:hAnsi="宋体" w:cs="宋体"/>
                      <w:color w:val="auto"/>
                      <w:kern w:val="0"/>
                      <w:szCs w:val="21"/>
                      <w:highlight w:val="none"/>
                      <w:lang w:bidi="ar"/>
                    </w:rPr>
                    <w:t xml:space="preserve">手防护：戴橡胶手套。 </w:t>
                  </w:r>
                </w:p>
                <w:p w14:paraId="53F5AEB4">
                  <w:pPr>
                    <w:widowControl/>
                    <w:jc w:val="left"/>
                    <w:rPr>
                      <w:color w:val="auto"/>
                      <w:szCs w:val="21"/>
                      <w:highlight w:val="none"/>
                    </w:rPr>
                  </w:pPr>
                  <w:r>
                    <w:rPr>
                      <w:rFonts w:hint="eastAsia" w:ascii="宋体" w:hAnsi="宋体" w:cs="宋体"/>
                      <w:color w:val="auto"/>
                      <w:kern w:val="0"/>
                      <w:szCs w:val="21"/>
                      <w:highlight w:val="none"/>
                      <w:lang w:bidi="ar"/>
                    </w:rPr>
                    <w:t>其他防护：工作场所禁止吸烟、进食和饮水。工作毕，淋浴更衣。注意个人清洁卫生</w:t>
                  </w:r>
                </w:p>
              </w:tc>
            </w:tr>
            <w:tr w14:paraId="34BF3861">
              <w:tblPrEx>
                <w:tblCellMar>
                  <w:top w:w="0" w:type="dxa"/>
                  <w:left w:w="108" w:type="dxa"/>
                  <w:bottom w:w="0" w:type="dxa"/>
                  <w:right w:w="108" w:type="dxa"/>
                </w:tblCellMar>
              </w:tblPrEx>
              <w:trPr>
                <w:cantSplit/>
              </w:trPr>
              <w:tc>
                <w:tcPr>
                  <w:tcW w:w="1213" w:type="pct"/>
                  <w:gridSpan w:val="4"/>
                  <w:tcBorders>
                    <w:top w:val="single" w:color="000000" w:sz="4" w:space="0"/>
                    <w:bottom w:val="single" w:color="000000" w:sz="4" w:space="0"/>
                  </w:tcBorders>
                  <w:vAlign w:val="center"/>
                </w:tcPr>
                <w:p w14:paraId="0403CE09">
                  <w:pPr>
                    <w:pStyle w:val="80"/>
                    <w:rPr>
                      <w:color w:val="auto"/>
                      <w:sz w:val="21"/>
                      <w:szCs w:val="21"/>
                      <w:highlight w:val="none"/>
                    </w:rPr>
                  </w:pPr>
                  <w:r>
                    <w:rPr>
                      <w:rFonts w:hint="eastAsia"/>
                      <w:color w:val="auto"/>
                      <w:sz w:val="21"/>
                      <w:szCs w:val="21"/>
                      <w:highlight w:val="none"/>
                    </w:rPr>
                    <w:t>泄漏</w:t>
                  </w:r>
                </w:p>
              </w:tc>
              <w:tc>
                <w:tcPr>
                  <w:tcW w:w="3786" w:type="pct"/>
                  <w:gridSpan w:val="7"/>
                  <w:tcBorders>
                    <w:top w:val="single" w:color="000000" w:sz="4" w:space="0"/>
                    <w:left w:val="single" w:color="000000" w:sz="4" w:space="0"/>
                    <w:bottom w:val="single" w:color="000000" w:sz="4" w:space="0"/>
                  </w:tcBorders>
                  <w:vAlign w:val="center"/>
                </w:tcPr>
                <w:p w14:paraId="2103F016">
                  <w:pPr>
                    <w:widowControl/>
                    <w:jc w:val="left"/>
                    <w:rPr>
                      <w:color w:val="auto"/>
                      <w:szCs w:val="21"/>
                      <w:highlight w:val="none"/>
                    </w:rPr>
                  </w:pPr>
                  <w:r>
                    <w:rPr>
                      <w:rFonts w:hint="eastAsia" w:ascii="宋体" w:hAnsi="宋体" w:cs="宋体"/>
                      <w:color w:val="auto"/>
                      <w:kern w:val="0"/>
                      <w:szCs w:val="21"/>
                      <w:highlight w:val="none"/>
                      <w:lang w:bidi="ar"/>
                    </w:rPr>
                    <w:t xml:space="preserve">迅速撤离泄漏污染区人员至安全区，并进行隔离，严格限制出入。建议应急处理人员戴自给 </w:t>
                  </w:r>
                </w:p>
                <w:p w14:paraId="2F1E340A">
                  <w:pPr>
                    <w:widowControl/>
                    <w:jc w:val="left"/>
                    <w:rPr>
                      <w:color w:val="auto"/>
                      <w:szCs w:val="21"/>
                      <w:highlight w:val="none"/>
                    </w:rPr>
                  </w:pPr>
                  <w:r>
                    <w:rPr>
                      <w:rFonts w:hint="eastAsia" w:ascii="宋体" w:hAnsi="宋体" w:cs="宋体"/>
                      <w:color w:val="auto"/>
                      <w:kern w:val="0"/>
                      <w:szCs w:val="21"/>
                      <w:highlight w:val="none"/>
                      <w:lang w:bidi="ar"/>
                    </w:rPr>
                    <w:t>正压式呼吸器，穿一般作业工作服。不要直接接触泄漏物。尽可能切断泄漏源。</w:t>
                  </w:r>
                </w:p>
              </w:tc>
            </w:tr>
            <w:tr w14:paraId="5EEEA08F">
              <w:tblPrEx>
                <w:tblCellMar>
                  <w:top w:w="0" w:type="dxa"/>
                  <w:left w:w="108" w:type="dxa"/>
                  <w:bottom w:w="0" w:type="dxa"/>
                  <w:right w:w="108" w:type="dxa"/>
                </w:tblCellMar>
              </w:tblPrEx>
              <w:trPr>
                <w:cantSplit/>
              </w:trPr>
              <w:tc>
                <w:tcPr>
                  <w:tcW w:w="1213" w:type="pct"/>
                  <w:gridSpan w:val="4"/>
                  <w:tcBorders>
                    <w:top w:val="single" w:color="000000" w:sz="4" w:space="0"/>
                    <w:bottom w:val="single" w:color="000000" w:sz="12" w:space="0"/>
                  </w:tcBorders>
                  <w:vAlign w:val="center"/>
                </w:tcPr>
                <w:p w14:paraId="26E2A56D">
                  <w:pPr>
                    <w:pStyle w:val="80"/>
                    <w:rPr>
                      <w:color w:val="auto"/>
                      <w:sz w:val="21"/>
                      <w:szCs w:val="21"/>
                      <w:highlight w:val="none"/>
                    </w:rPr>
                  </w:pPr>
                  <w:r>
                    <w:rPr>
                      <w:rFonts w:hint="eastAsia"/>
                      <w:color w:val="auto"/>
                      <w:sz w:val="21"/>
                      <w:szCs w:val="21"/>
                      <w:highlight w:val="none"/>
                    </w:rPr>
                    <w:t>急救</w:t>
                  </w:r>
                </w:p>
              </w:tc>
              <w:tc>
                <w:tcPr>
                  <w:tcW w:w="3786" w:type="pct"/>
                  <w:gridSpan w:val="7"/>
                  <w:tcBorders>
                    <w:top w:val="single" w:color="000000" w:sz="4" w:space="0"/>
                    <w:left w:val="single" w:color="000000" w:sz="4" w:space="0"/>
                    <w:bottom w:val="single" w:color="000000" w:sz="12" w:space="0"/>
                  </w:tcBorders>
                  <w:vAlign w:val="center"/>
                </w:tcPr>
                <w:p w14:paraId="5FF10550">
                  <w:pPr>
                    <w:widowControl/>
                    <w:jc w:val="left"/>
                    <w:rPr>
                      <w:color w:val="auto"/>
                      <w:szCs w:val="21"/>
                      <w:highlight w:val="none"/>
                    </w:rPr>
                  </w:pPr>
                  <w:r>
                    <w:rPr>
                      <w:rFonts w:hint="eastAsia" w:ascii="宋体" w:hAnsi="宋体" w:cs="宋体"/>
                      <w:color w:val="auto"/>
                      <w:kern w:val="0"/>
                      <w:szCs w:val="21"/>
                      <w:highlight w:val="none"/>
                      <w:lang w:bidi="ar"/>
                    </w:rPr>
                    <w:t xml:space="preserve">皮肤接触：脱去被污染的衣着，用大量流动清水冲洗。 </w:t>
                  </w:r>
                </w:p>
                <w:p w14:paraId="3C65A92D">
                  <w:pPr>
                    <w:widowControl/>
                    <w:jc w:val="left"/>
                    <w:rPr>
                      <w:color w:val="auto"/>
                      <w:szCs w:val="21"/>
                      <w:highlight w:val="none"/>
                    </w:rPr>
                  </w:pPr>
                  <w:r>
                    <w:rPr>
                      <w:rFonts w:hint="eastAsia" w:ascii="宋体" w:hAnsi="宋体" w:cs="宋体"/>
                      <w:color w:val="auto"/>
                      <w:kern w:val="0"/>
                      <w:szCs w:val="21"/>
                      <w:highlight w:val="none"/>
                      <w:lang w:eastAsia="zh-CN" w:bidi="ar"/>
                    </w:rPr>
                    <w:t>眼睛</w:t>
                  </w:r>
                  <w:r>
                    <w:rPr>
                      <w:rFonts w:hint="eastAsia" w:ascii="宋体" w:hAnsi="宋体" w:cs="宋体"/>
                      <w:color w:val="auto"/>
                      <w:kern w:val="0"/>
                      <w:szCs w:val="21"/>
                      <w:highlight w:val="none"/>
                      <w:lang w:bidi="ar"/>
                    </w:rPr>
                    <w:t xml:space="preserve">接触：提起眼睑，用流动清水或生理盐水冲洗。就医。 </w:t>
                  </w:r>
                </w:p>
                <w:p w14:paraId="2317F865">
                  <w:pPr>
                    <w:widowControl/>
                    <w:jc w:val="left"/>
                    <w:rPr>
                      <w:color w:val="auto"/>
                      <w:szCs w:val="21"/>
                      <w:highlight w:val="none"/>
                    </w:rPr>
                  </w:pPr>
                  <w:r>
                    <w:rPr>
                      <w:rFonts w:hint="eastAsia" w:ascii="宋体" w:hAnsi="宋体" w:cs="宋体"/>
                      <w:color w:val="auto"/>
                      <w:kern w:val="0"/>
                      <w:szCs w:val="21"/>
                      <w:highlight w:val="none"/>
                      <w:lang w:bidi="ar"/>
                    </w:rPr>
                    <w:t xml:space="preserve">吸入：迅速脱离现场至空气新鲜处。保持呼吸道畅通。如呼吸困难，给输氧。如呼吸停止， </w:t>
                  </w:r>
                </w:p>
                <w:p w14:paraId="69A0F462">
                  <w:pPr>
                    <w:widowControl/>
                    <w:jc w:val="left"/>
                    <w:rPr>
                      <w:color w:val="auto"/>
                      <w:szCs w:val="21"/>
                      <w:highlight w:val="none"/>
                    </w:rPr>
                  </w:pPr>
                  <w:r>
                    <w:rPr>
                      <w:rFonts w:hint="eastAsia" w:ascii="宋体" w:hAnsi="宋体" w:cs="宋体"/>
                      <w:color w:val="auto"/>
                      <w:kern w:val="0"/>
                      <w:szCs w:val="21"/>
                      <w:highlight w:val="none"/>
                      <w:lang w:bidi="ar"/>
                    </w:rPr>
                    <w:t xml:space="preserve">立即进行人工呼吸。就医。 </w:t>
                  </w:r>
                </w:p>
                <w:p w14:paraId="5ECC4E8F">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食入：饮足量温水，催吐。就医</w:t>
                  </w:r>
                </w:p>
              </w:tc>
            </w:tr>
          </w:tbl>
          <w:p w14:paraId="03927B46">
            <w:pPr>
              <w:widowControl/>
              <w:spacing w:line="360" w:lineRule="auto"/>
              <w:ind w:firstLine="456" w:firstLineChars="200"/>
              <w:jc w:val="left"/>
              <w:rPr>
                <w:color w:val="auto"/>
                <w:spacing w:val="-6"/>
                <w:kern w:val="0"/>
                <w:sz w:val="24"/>
                <w:highlight w:val="none"/>
              </w:rPr>
            </w:pPr>
          </w:p>
          <w:p w14:paraId="258FE06F">
            <w:pPr>
              <w:adjustRightInd w:val="0"/>
              <w:snapToGrid w:val="0"/>
              <w:ind w:firstLine="602" w:firstLineChars="250"/>
              <w:jc w:val="center"/>
              <w:rPr>
                <w:b/>
                <w:bCs/>
                <w:color w:val="auto"/>
                <w:sz w:val="24"/>
                <w:highlight w:val="none"/>
              </w:rPr>
            </w:pPr>
            <w:r>
              <w:rPr>
                <w:b/>
                <w:bCs/>
                <w:color w:val="auto"/>
                <w:sz w:val="24"/>
                <w:highlight w:val="none"/>
              </w:rPr>
              <w:t>表</w:t>
            </w:r>
            <w:r>
              <w:rPr>
                <w:rFonts w:hint="eastAsia"/>
                <w:b/>
                <w:bCs/>
                <w:color w:val="auto"/>
                <w:sz w:val="24"/>
                <w:highlight w:val="none"/>
              </w:rPr>
              <w:t>4-17</w:t>
            </w:r>
            <w:r>
              <w:rPr>
                <w:b/>
                <w:bCs/>
                <w:color w:val="auto"/>
                <w:sz w:val="24"/>
                <w:highlight w:val="none"/>
              </w:rPr>
              <w:t xml:space="preserve">  </w:t>
            </w:r>
            <w:r>
              <w:rPr>
                <w:rFonts w:hint="eastAsia"/>
                <w:b/>
                <w:bCs/>
                <w:color w:val="auto"/>
                <w:sz w:val="24"/>
                <w:highlight w:val="none"/>
              </w:rPr>
              <w:t>酒精理</w:t>
            </w:r>
            <w:r>
              <w:rPr>
                <w:b/>
                <w:bCs/>
                <w:color w:val="auto"/>
                <w:sz w:val="24"/>
                <w:highlight w:val="none"/>
              </w:rPr>
              <w:t>化性质和危险特性一览表</w:t>
            </w:r>
          </w:p>
          <w:tbl>
            <w:tblPr>
              <w:tblStyle w:val="28"/>
              <w:tblW w:w="4998" w:type="pct"/>
              <w:tblInd w:w="0" w:type="dxa"/>
              <w:tblLayout w:type="fixed"/>
              <w:tblCellMar>
                <w:top w:w="0" w:type="dxa"/>
                <w:left w:w="108" w:type="dxa"/>
                <w:bottom w:w="0" w:type="dxa"/>
                <w:right w:w="108" w:type="dxa"/>
              </w:tblCellMar>
            </w:tblPr>
            <w:tblGrid>
              <w:gridCol w:w="765"/>
              <w:gridCol w:w="12"/>
              <w:gridCol w:w="1382"/>
              <w:gridCol w:w="22"/>
              <w:gridCol w:w="729"/>
              <w:gridCol w:w="892"/>
              <w:gridCol w:w="246"/>
              <w:gridCol w:w="1056"/>
              <w:gridCol w:w="738"/>
              <w:gridCol w:w="1203"/>
              <w:gridCol w:w="1370"/>
            </w:tblGrid>
            <w:tr w14:paraId="0D4656B1">
              <w:tblPrEx>
                <w:tblCellMar>
                  <w:top w:w="0" w:type="dxa"/>
                  <w:left w:w="108" w:type="dxa"/>
                  <w:bottom w:w="0" w:type="dxa"/>
                  <w:right w:w="108" w:type="dxa"/>
                </w:tblCellMar>
              </w:tblPrEx>
              <w:trPr>
                <w:cantSplit/>
                <w:trHeight w:val="23" w:hRule="atLeast"/>
              </w:trPr>
              <w:tc>
                <w:tcPr>
                  <w:tcW w:w="454" w:type="pct"/>
                  <w:vMerge w:val="restart"/>
                  <w:tcBorders>
                    <w:top w:val="single" w:color="000000" w:sz="12" w:space="0"/>
                    <w:bottom w:val="single" w:color="000000" w:sz="4" w:space="0"/>
                  </w:tcBorders>
                  <w:vAlign w:val="center"/>
                </w:tcPr>
                <w:p w14:paraId="1BA1B80D">
                  <w:pPr>
                    <w:pStyle w:val="80"/>
                    <w:rPr>
                      <w:color w:val="auto"/>
                      <w:sz w:val="21"/>
                      <w:szCs w:val="21"/>
                      <w:highlight w:val="none"/>
                    </w:rPr>
                  </w:pPr>
                  <w:r>
                    <w:rPr>
                      <w:color w:val="auto"/>
                      <w:sz w:val="21"/>
                      <w:szCs w:val="21"/>
                      <w:highlight w:val="none"/>
                    </w:rPr>
                    <w:t>标识</w:t>
                  </w:r>
                </w:p>
              </w:tc>
              <w:tc>
                <w:tcPr>
                  <w:tcW w:w="2578" w:type="pct"/>
                  <w:gridSpan w:val="7"/>
                  <w:tcBorders>
                    <w:top w:val="single" w:color="000000" w:sz="12" w:space="0"/>
                    <w:left w:val="single" w:color="000000" w:sz="4" w:space="0"/>
                    <w:bottom w:val="single" w:color="000000" w:sz="4" w:space="0"/>
                  </w:tcBorders>
                  <w:vAlign w:val="center"/>
                </w:tcPr>
                <w:p w14:paraId="261E8744">
                  <w:pPr>
                    <w:pStyle w:val="80"/>
                    <w:rPr>
                      <w:color w:val="auto"/>
                      <w:sz w:val="21"/>
                      <w:szCs w:val="21"/>
                      <w:highlight w:val="none"/>
                    </w:rPr>
                  </w:pPr>
                  <w:r>
                    <w:rPr>
                      <w:color w:val="auto"/>
                      <w:sz w:val="21"/>
                      <w:szCs w:val="21"/>
                      <w:highlight w:val="none"/>
                    </w:rPr>
                    <w:t>中文名：</w:t>
                  </w:r>
                  <w:r>
                    <w:rPr>
                      <w:rFonts w:hint="eastAsia"/>
                      <w:color w:val="auto"/>
                      <w:sz w:val="21"/>
                      <w:szCs w:val="21"/>
                      <w:highlight w:val="none"/>
                    </w:rPr>
                    <w:t>乙醇</w:t>
                  </w:r>
                </w:p>
              </w:tc>
              <w:tc>
                <w:tcPr>
                  <w:tcW w:w="1967" w:type="pct"/>
                  <w:gridSpan w:val="3"/>
                  <w:tcBorders>
                    <w:top w:val="single" w:color="000000" w:sz="12" w:space="0"/>
                    <w:left w:val="single" w:color="000000" w:sz="4" w:space="0"/>
                    <w:bottom w:val="single" w:color="000000" w:sz="4" w:space="0"/>
                  </w:tcBorders>
                  <w:vAlign w:val="center"/>
                </w:tcPr>
                <w:p w14:paraId="7C380C8C">
                  <w:pPr>
                    <w:widowControl/>
                    <w:jc w:val="left"/>
                    <w:rPr>
                      <w:color w:val="auto"/>
                      <w:szCs w:val="21"/>
                      <w:highlight w:val="none"/>
                    </w:rPr>
                  </w:pPr>
                  <w:r>
                    <w:rPr>
                      <w:color w:val="auto"/>
                      <w:szCs w:val="21"/>
                      <w:highlight w:val="none"/>
                    </w:rPr>
                    <w:t>英文名：ethyl alcohol</w:t>
                  </w:r>
                </w:p>
              </w:tc>
            </w:tr>
            <w:tr w14:paraId="133D3E53">
              <w:tblPrEx>
                <w:tblCellMar>
                  <w:top w:w="0" w:type="dxa"/>
                  <w:left w:w="108" w:type="dxa"/>
                  <w:bottom w:w="0" w:type="dxa"/>
                  <w:right w:w="108" w:type="dxa"/>
                </w:tblCellMar>
              </w:tblPrEx>
              <w:trPr>
                <w:cantSplit/>
                <w:trHeight w:val="23" w:hRule="atLeast"/>
              </w:trPr>
              <w:tc>
                <w:tcPr>
                  <w:tcW w:w="454" w:type="pct"/>
                  <w:vMerge w:val="continue"/>
                  <w:tcBorders>
                    <w:top w:val="single" w:color="000000" w:sz="4" w:space="0"/>
                    <w:bottom w:val="single" w:color="000000" w:sz="4" w:space="0"/>
                  </w:tcBorders>
                  <w:vAlign w:val="center"/>
                </w:tcPr>
                <w:p w14:paraId="5E787347">
                  <w:pPr>
                    <w:pStyle w:val="80"/>
                    <w:rPr>
                      <w:color w:val="auto"/>
                      <w:sz w:val="21"/>
                      <w:szCs w:val="21"/>
                      <w:highlight w:val="none"/>
                    </w:rPr>
                  </w:pPr>
                </w:p>
              </w:tc>
              <w:tc>
                <w:tcPr>
                  <w:tcW w:w="2578" w:type="pct"/>
                  <w:gridSpan w:val="7"/>
                  <w:tcBorders>
                    <w:top w:val="single" w:color="000000" w:sz="4" w:space="0"/>
                    <w:left w:val="single" w:color="000000" w:sz="4" w:space="0"/>
                    <w:bottom w:val="single" w:color="000000" w:sz="4" w:space="0"/>
                  </w:tcBorders>
                  <w:vAlign w:val="center"/>
                </w:tcPr>
                <w:p w14:paraId="4DEB66B9">
                  <w:pPr>
                    <w:widowControl/>
                    <w:jc w:val="left"/>
                    <w:rPr>
                      <w:color w:val="auto"/>
                      <w:szCs w:val="21"/>
                      <w:highlight w:val="none"/>
                    </w:rPr>
                  </w:pPr>
                  <w:r>
                    <w:rPr>
                      <w:color w:val="auto"/>
                      <w:szCs w:val="21"/>
                      <w:highlight w:val="none"/>
                    </w:rPr>
                    <w:t>分子式：C</w:t>
                  </w:r>
                  <w:r>
                    <w:rPr>
                      <w:color w:val="auto"/>
                      <w:szCs w:val="21"/>
                      <w:highlight w:val="none"/>
                      <w:vertAlign w:val="subscript"/>
                    </w:rPr>
                    <w:t>2</w:t>
                  </w:r>
                  <w:r>
                    <w:rPr>
                      <w:color w:val="auto"/>
                      <w:szCs w:val="21"/>
                      <w:highlight w:val="none"/>
                    </w:rPr>
                    <w:t>H</w:t>
                  </w:r>
                  <w:r>
                    <w:rPr>
                      <w:color w:val="auto"/>
                      <w:szCs w:val="21"/>
                      <w:highlight w:val="none"/>
                      <w:vertAlign w:val="subscript"/>
                    </w:rPr>
                    <w:t>6</w:t>
                  </w:r>
                  <w:r>
                    <w:rPr>
                      <w:color w:val="auto"/>
                      <w:szCs w:val="21"/>
                      <w:highlight w:val="none"/>
                    </w:rPr>
                    <w:t>O</w:t>
                  </w:r>
                  <w:r>
                    <w:rPr>
                      <w:rFonts w:hint="eastAsia"/>
                      <w:color w:val="auto"/>
                      <w:szCs w:val="21"/>
                      <w:highlight w:val="none"/>
                    </w:rPr>
                    <w:t>；</w:t>
                  </w:r>
                  <w:r>
                    <w:rPr>
                      <w:color w:val="auto"/>
                      <w:szCs w:val="21"/>
                      <w:highlight w:val="none"/>
                    </w:rPr>
                    <w:t>分子量：</w:t>
                  </w:r>
                  <w:r>
                    <w:rPr>
                      <w:rFonts w:hint="eastAsia"/>
                      <w:color w:val="auto"/>
                      <w:szCs w:val="21"/>
                      <w:highlight w:val="none"/>
                    </w:rPr>
                    <w:t>46.07</w:t>
                  </w:r>
                </w:p>
              </w:tc>
              <w:tc>
                <w:tcPr>
                  <w:tcW w:w="1967" w:type="pct"/>
                  <w:gridSpan w:val="3"/>
                  <w:tcBorders>
                    <w:top w:val="single" w:color="000000" w:sz="4" w:space="0"/>
                    <w:left w:val="single" w:color="000000" w:sz="4" w:space="0"/>
                    <w:bottom w:val="single" w:color="000000" w:sz="4" w:space="0"/>
                  </w:tcBorders>
                  <w:vAlign w:val="center"/>
                </w:tcPr>
                <w:p w14:paraId="5AD0B1AE">
                  <w:pPr>
                    <w:pStyle w:val="80"/>
                    <w:rPr>
                      <w:color w:val="auto"/>
                      <w:sz w:val="21"/>
                      <w:szCs w:val="21"/>
                      <w:highlight w:val="none"/>
                    </w:rPr>
                  </w:pPr>
                  <w:r>
                    <w:rPr>
                      <w:color w:val="auto"/>
                      <w:sz w:val="21"/>
                      <w:szCs w:val="21"/>
                      <w:highlight w:val="none"/>
                    </w:rPr>
                    <w:t>CAS号：</w:t>
                  </w:r>
                  <w:r>
                    <w:rPr>
                      <w:rFonts w:hint="eastAsia"/>
                      <w:color w:val="auto"/>
                      <w:sz w:val="21"/>
                      <w:szCs w:val="21"/>
                      <w:highlight w:val="none"/>
                    </w:rPr>
                    <w:t>64</w:t>
                  </w:r>
                  <w:r>
                    <w:rPr>
                      <w:color w:val="auto"/>
                      <w:sz w:val="21"/>
                      <w:szCs w:val="21"/>
                      <w:highlight w:val="none"/>
                    </w:rPr>
                    <w:t>-</w:t>
                  </w:r>
                  <w:r>
                    <w:rPr>
                      <w:rFonts w:hint="eastAsia"/>
                      <w:color w:val="auto"/>
                      <w:sz w:val="21"/>
                      <w:szCs w:val="21"/>
                      <w:highlight w:val="none"/>
                    </w:rPr>
                    <w:t>17</w:t>
                  </w:r>
                  <w:r>
                    <w:rPr>
                      <w:color w:val="auto"/>
                      <w:sz w:val="21"/>
                      <w:szCs w:val="21"/>
                      <w:highlight w:val="none"/>
                    </w:rPr>
                    <w:t>-</w:t>
                  </w:r>
                  <w:r>
                    <w:rPr>
                      <w:rFonts w:hint="eastAsia"/>
                      <w:color w:val="auto"/>
                      <w:sz w:val="21"/>
                      <w:szCs w:val="21"/>
                      <w:highlight w:val="none"/>
                    </w:rPr>
                    <w:t>5</w:t>
                  </w:r>
                </w:p>
              </w:tc>
            </w:tr>
            <w:tr w14:paraId="719BE257">
              <w:tblPrEx>
                <w:tblCellMar>
                  <w:top w:w="0" w:type="dxa"/>
                  <w:left w:w="108" w:type="dxa"/>
                  <w:bottom w:w="0" w:type="dxa"/>
                  <w:right w:w="108" w:type="dxa"/>
                </w:tblCellMar>
              </w:tblPrEx>
              <w:trPr>
                <w:cantSplit/>
                <w:trHeight w:val="23" w:hRule="atLeast"/>
              </w:trPr>
              <w:tc>
                <w:tcPr>
                  <w:tcW w:w="454" w:type="pct"/>
                  <w:vMerge w:val="continue"/>
                  <w:tcBorders>
                    <w:top w:val="single" w:color="000000" w:sz="4" w:space="0"/>
                    <w:bottom w:val="single" w:color="000000" w:sz="4" w:space="0"/>
                  </w:tcBorders>
                  <w:vAlign w:val="center"/>
                </w:tcPr>
                <w:p w14:paraId="2F8CAF06">
                  <w:pPr>
                    <w:pStyle w:val="80"/>
                    <w:rPr>
                      <w:color w:val="auto"/>
                      <w:sz w:val="21"/>
                      <w:szCs w:val="21"/>
                      <w:highlight w:val="none"/>
                    </w:rPr>
                  </w:pPr>
                </w:p>
              </w:tc>
              <w:tc>
                <w:tcPr>
                  <w:tcW w:w="2578" w:type="pct"/>
                  <w:gridSpan w:val="7"/>
                  <w:tcBorders>
                    <w:top w:val="single" w:color="000000" w:sz="4" w:space="0"/>
                    <w:left w:val="single" w:color="000000" w:sz="4" w:space="0"/>
                    <w:bottom w:val="single" w:color="000000" w:sz="4" w:space="0"/>
                  </w:tcBorders>
                  <w:vAlign w:val="center"/>
                </w:tcPr>
                <w:p w14:paraId="43234DD9">
                  <w:pPr>
                    <w:pStyle w:val="80"/>
                    <w:jc w:val="both"/>
                    <w:rPr>
                      <w:color w:val="auto"/>
                      <w:sz w:val="21"/>
                      <w:szCs w:val="21"/>
                      <w:highlight w:val="none"/>
                    </w:rPr>
                  </w:pPr>
                  <w:r>
                    <w:rPr>
                      <w:color w:val="auto"/>
                      <w:sz w:val="21"/>
                      <w:szCs w:val="21"/>
                      <w:highlight w:val="none"/>
                    </w:rPr>
                    <w:t>危险货物编号：</w:t>
                  </w:r>
                  <w:r>
                    <w:rPr>
                      <w:rFonts w:hint="eastAsia"/>
                      <w:color w:val="auto"/>
                      <w:sz w:val="21"/>
                      <w:szCs w:val="21"/>
                      <w:highlight w:val="none"/>
                    </w:rPr>
                    <w:t>32061</w:t>
                  </w:r>
                  <w:r>
                    <w:rPr>
                      <w:color w:val="auto"/>
                      <w:sz w:val="21"/>
                      <w:szCs w:val="21"/>
                      <w:highlight w:val="none"/>
                    </w:rPr>
                    <w:t xml:space="preserve"> </w:t>
                  </w:r>
                </w:p>
              </w:tc>
              <w:tc>
                <w:tcPr>
                  <w:tcW w:w="1967" w:type="pct"/>
                  <w:gridSpan w:val="3"/>
                  <w:tcBorders>
                    <w:top w:val="single" w:color="000000" w:sz="4" w:space="0"/>
                    <w:left w:val="single" w:color="000000" w:sz="4" w:space="0"/>
                    <w:bottom w:val="single" w:color="000000" w:sz="4" w:space="0"/>
                  </w:tcBorders>
                  <w:vAlign w:val="center"/>
                </w:tcPr>
                <w:p w14:paraId="3C6E616A">
                  <w:pPr>
                    <w:pStyle w:val="80"/>
                    <w:rPr>
                      <w:color w:val="auto"/>
                      <w:sz w:val="21"/>
                      <w:szCs w:val="21"/>
                      <w:highlight w:val="none"/>
                    </w:rPr>
                  </w:pPr>
                  <w:r>
                    <w:rPr>
                      <w:color w:val="auto"/>
                      <w:sz w:val="21"/>
                      <w:szCs w:val="21"/>
                      <w:highlight w:val="none"/>
                    </w:rPr>
                    <w:t>UN编号：</w:t>
                  </w:r>
                </w:p>
              </w:tc>
            </w:tr>
            <w:tr w14:paraId="5A073C53">
              <w:tblPrEx>
                <w:tblCellMar>
                  <w:top w:w="0" w:type="dxa"/>
                  <w:left w:w="108" w:type="dxa"/>
                  <w:bottom w:w="0" w:type="dxa"/>
                  <w:right w:w="108" w:type="dxa"/>
                </w:tblCellMar>
              </w:tblPrEx>
              <w:trPr>
                <w:cantSplit/>
                <w:trHeight w:val="23" w:hRule="atLeast"/>
              </w:trPr>
              <w:tc>
                <w:tcPr>
                  <w:tcW w:w="454" w:type="pct"/>
                  <w:tcBorders>
                    <w:top w:val="single" w:color="000000" w:sz="4" w:space="0"/>
                    <w:bottom w:val="single" w:color="auto" w:sz="4" w:space="0"/>
                  </w:tcBorders>
                  <w:vAlign w:val="center"/>
                </w:tcPr>
                <w:p w14:paraId="044724B6">
                  <w:pPr>
                    <w:pStyle w:val="80"/>
                    <w:rPr>
                      <w:color w:val="auto"/>
                      <w:sz w:val="21"/>
                      <w:szCs w:val="21"/>
                      <w:highlight w:val="none"/>
                    </w:rPr>
                  </w:pPr>
                  <w:r>
                    <w:rPr>
                      <w:color w:val="auto"/>
                      <w:sz w:val="21"/>
                      <w:szCs w:val="21"/>
                      <w:highlight w:val="none"/>
                    </w:rPr>
                    <w:t>理化</w:t>
                  </w:r>
                </w:p>
                <w:p w14:paraId="38580C65">
                  <w:pPr>
                    <w:pStyle w:val="80"/>
                    <w:rPr>
                      <w:color w:val="auto"/>
                      <w:sz w:val="21"/>
                      <w:szCs w:val="21"/>
                      <w:highlight w:val="none"/>
                    </w:rPr>
                  </w:pPr>
                  <w:r>
                    <w:rPr>
                      <w:color w:val="auto"/>
                      <w:sz w:val="21"/>
                      <w:szCs w:val="21"/>
                      <w:highlight w:val="none"/>
                    </w:rPr>
                    <w:t>性质</w:t>
                  </w:r>
                </w:p>
              </w:tc>
              <w:tc>
                <w:tcPr>
                  <w:tcW w:w="828" w:type="pct"/>
                  <w:gridSpan w:val="2"/>
                  <w:tcBorders>
                    <w:top w:val="single" w:color="000000" w:sz="4" w:space="0"/>
                    <w:left w:val="single" w:color="000000" w:sz="4" w:space="0"/>
                    <w:bottom w:val="single" w:color="auto" w:sz="4" w:space="0"/>
                  </w:tcBorders>
                  <w:vAlign w:val="center"/>
                </w:tcPr>
                <w:p w14:paraId="24E053F6">
                  <w:pPr>
                    <w:pStyle w:val="80"/>
                    <w:rPr>
                      <w:color w:val="auto"/>
                      <w:sz w:val="21"/>
                      <w:szCs w:val="21"/>
                      <w:highlight w:val="none"/>
                    </w:rPr>
                  </w:pPr>
                  <w:r>
                    <w:rPr>
                      <w:color w:val="auto"/>
                      <w:sz w:val="21"/>
                      <w:szCs w:val="21"/>
                      <w:highlight w:val="none"/>
                    </w:rPr>
                    <w:t>外观与性状</w:t>
                  </w:r>
                </w:p>
              </w:tc>
              <w:tc>
                <w:tcPr>
                  <w:tcW w:w="3717" w:type="pct"/>
                  <w:gridSpan w:val="8"/>
                  <w:tcBorders>
                    <w:top w:val="single" w:color="000000" w:sz="4" w:space="0"/>
                    <w:left w:val="single" w:color="000000" w:sz="4" w:space="0"/>
                    <w:bottom w:val="single" w:color="auto" w:sz="4" w:space="0"/>
                  </w:tcBorders>
                  <w:vAlign w:val="center"/>
                </w:tcPr>
                <w:p w14:paraId="4D01D2F7">
                  <w:pPr>
                    <w:pStyle w:val="80"/>
                    <w:rPr>
                      <w:color w:val="auto"/>
                      <w:sz w:val="21"/>
                      <w:szCs w:val="21"/>
                      <w:highlight w:val="none"/>
                    </w:rPr>
                  </w:pPr>
                  <w:r>
                    <w:rPr>
                      <w:color w:val="auto"/>
                      <w:sz w:val="21"/>
                      <w:szCs w:val="21"/>
                      <w:highlight w:val="none"/>
                    </w:rPr>
                    <w:t>无色液体，有酒香。</w:t>
                  </w:r>
                </w:p>
              </w:tc>
            </w:tr>
            <w:tr w14:paraId="653B2637">
              <w:tblPrEx>
                <w:tblCellMar>
                  <w:top w:w="0" w:type="dxa"/>
                  <w:left w:w="108" w:type="dxa"/>
                  <w:bottom w:w="0" w:type="dxa"/>
                  <w:right w:w="108" w:type="dxa"/>
                </w:tblCellMar>
              </w:tblPrEx>
              <w:trPr>
                <w:cantSplit/>
                <w:trHeight w:val="23" w:hRule="atLeast"/>
              </w:trPr>
              <w:tc>
                <w:tcPr>
                  <w:tcW w:w="454" w:type="pct"/>
                  <w:vMerge w:val="restart"/>
                  <w:tcBorders>
                    <w:top w:val="single" w:color="auto" w:sz="4" w:space="0"/>
                  </w:tcBorders>
                  <w:vAlign w:val="center"/>
                </w:tcPr>
                <w:p w14:paraId="793E1AAF">
                  <w:pPr>
                    <w:pStyle w:val="80"/>
                    <w:rPr>
                      <w:color w:val="auto"/>
                      <w:sz w:val="21"/>
                      <w:szCs w:val="21"/>
                      <w:highlight w:val="none"/>
                    </w:rPr>
                  </w:pPr>
                  <w:r>
                    <w:rPr>
                      <w:color w:val="auto"/>
                      <w:sz w:val="21"/>
                      <w:szCs w:val="21"/>
                      <w:highlight w:val="none"/>
                    </w:rPr>
                    <w:t>理化</w:t>
                  </w:r>
                </w:p>
                <w:p w14:paraId="620B3CAA">
                  <w:pPr>
                    <w:pStyle w:val="80"/>
                    <w:rPr>
                      <w:color w:val="auto"/>
                      <w:sz w:val="21"/>
                      <w:szCs w:val="21"/>
                      <w:highlight w:val="none"/>
                    </w:rPr>
                  </w:pPr>
                  <w:r>
                    <w:rPr>
                      <w:color w:val="auto"/>
                      <w:sz w:val="21"/>
                      <w:szCs w:val="21"/>
                      <w:highlight w:val="none"/>
                    </w:rPr>
                    <w:t>性质</w:t>
                  </w:r>
                </w:p>
              </w:tc>
              <w:tc>
                <w:tcPr>
                  <w:tcW w:w="828" w:type="pct"/>
                  <w:gridSpan w:val="2"/>
                  <w:tcBorders>
                    <w:top w:val="single" w:color="auto" w:sz="4" w:space="0"/>
                    <w:left w:val="single" w:color="000000" w:sz="4" w:space="0"/>
                    <w:bottom w:val="single" w:color="000000" w:sz="4" w:space="0"/>
                  </w:tcBorders>
                  <w:vAlign w:val="center"/>
                </w:tcPr>
                <w:p w14:paraId="1931DFD7">
                  <w:pPr>
                    <w:pStyle w:val="80"/>
                    <w:rPr>
                      <w:color w:val="auto"/>
                      <w:sz w:val="21"/>
                      <w:szCs w:val="21"/>
                      <w:highlight w:val="none"/>
                    </w:rPr>
                  </w:pPr>
                  <w:r>
                    <w:rPr>
                      <w:color w:val="auto"/>
                      <w:sz w:val="21"/>
                      <w:szCs w:val="21"/>
                      <w:highlight w:val="none"/>
                    </w:rPr>
                    <w:t>主要用途</w:t>
                  </w:r>
                </w:p>
              </w:tc>
              <w:tc>
                <w:tcPr>
                  <w:tcW w:w="3717" w:type="pct"/>
                  <w:gridSpan w:val="8"/>
                  <w:tcBorders>
                    <w:top w:val="single" w:color="auto" w:sz="4" w:space="0"/>
                    <w:left w:val="single" w:color="000000" w:sz="4" w:space="0"/>
                    <w:bottom w:val="single" w:color="000000" w:sz="4" w:space="0"/>
                  </w:tcBorders>
                  <w:vAlign w:val="center"/>
                </w:tcPr>
                <w:p w14:paraId="6D9C39C9">
                  <w:pPr>
                    <w:pStyle w:val="80"/>
                    <w:rPr>
                      <w:color w:val="auto"/>
                      <w:sz w:val="21"/>
                      <w:szCs w:val="21"/>
                      <w:highlight w:val="none"/>
                    </w:rPr>
                  </w:pPr>
                  <w:r>
                    <w:rPr>
                      <w:rFonts w:hint="eastAsia"/>
                      <w:color w:val="auto"/>
                      <w:sz w:val="21"/>
                      <w:szCs w:val="21"/>
                      <w:highlight w:val="none"/>
                      <w:shd w:val="clear" w:color="auto" w:fill="FFFFFF"/>
                    </w:rPr>
                    <w:t>用于消毒</w:t>
                  </w:r>
                  <w:r>
                    <w:rPr>
                      <w:color w:val="auto"/>
                      <w:sz w:val="21"/>
                      <w:szCs w:val="21"/>
                      <w:highlight w:val="none"/>
                      <w:shd w:val="clear" w:color="auto" w:fill="FFFFFF"/>
                    </w:rPr>
                    <w:t>等</w:t>
                  </w:r>
                </w:p>
              </w:tc>
            </w:tr>
            <w:tr w14:paraId="42966B03">
              <w:trPr>
                <w:cantSplit/>
                <w:trHeight w:val="23" w:hRule="atLeast"/>
              </w:trPr>
              <w:tc>
                <w:tcPr>
                  <w:tcW w:w="454" w:type="pct"/>
                  <w:vMerge w:val="continue"/>
                  <w:vAlign w:val="center"/>
                </w:tcPr>
                <w:p w14:paraId="3D7CD765">
                  <w:pPr>
                    <w:pStyle w:val="80"/>
                    <w:rPr>
                      <w:color w:val="auto"/>
                      <w:sz w:val="21"/>
                      <w:szCs w:val="21"/>
                      <w:highlight w:val="none"/>
                    </w:rPr>
                  </w:pPr>
                </w:p>
              </w:tc>
              <w:tc>
                <w:tcPr>
                  <w:tcW w:w="828" w:type="pct"/>
                  <w:gridSpan w:val="2"/>
                  <w:tcBorders>
                    <w:top w:val="single" w:color="000000" w:sz="4" w:space="0"/>
                    <w:left w:val="single" w:color="000000" w:sz="4" w:space="0"/>
                    <w:bottom w:val="single" w:color="000000" w:sz="4" w:space="0"/>
                  </w:tcBorders>
                  <w:vAlign w:val="center"/>
                </w:tcPr>
                <w:p w14:paraId="42E38EC3">
                  <w:pPr>
                    <w:pStyle w:val="80"/>
                    <w:rPr>
                      <w:color w:val="auto"/>
                      <w:sz w:val="21"/>
                      <w:szCs w:val="21"/>
                      <w:highlight w:val="none"/>
                    </w:rPr>
                  </w:pPr>
                  <w:r>
                    <w:rPr>
                      <w:color w:val="auto"/>
                      <w:sz w:val="21"/>
                      <w:szCs w:val="21"/>
                      <w:highlight w:val="none"/>
                    </w:rPr>
                    <w:t>熔点（℃）</w:t>
                  </w:r>
                </w:p>
              </w:tc>
              <w:tc>
                <w:tcPr>
                  <w:tcW w:w="446" w:type="pct"/>
                  <w:gridSpan w:val="2"/>
                  <w:tcBorders>
                    <w:top w:val="single" w:color="000000" w:sz="4" w:space="0"/>
                    <w:left w:val="single" w:color="000000" w:sz="4" w:space="0"/>
                    <w:bottom w:val="single" w:color="000000" w:sz="4" w:space="0"/>
                  </w:tcBorders>
                  <w:vAlign w:val="center"/>
                </w:tcPr>
                <w:p w14:paraId="5A3BCE17">
                  <w:pPr>
                    <w:pStyle w:val="80"/>
                    <w:rPr>
                      <w:color w:val="auto"/>
                      <w:sz w:val="21"/>
                      <w:szCs w:val="21"/>
                      <w:highlight w:val="none"/>
                    </w:rPr>
                  </w:pPr>
                  <w:r>
                    <w:rPr>
                      <w:color w:val="auto"/>
                      <w:sz w:val="21"/>
                      <w:szCs w:val="21"/>
                      <w:highlight w:val="none"/>
                    </w:rPr>
                    <w:t>-</w:t>
                  </w:r>
                  <w:r>
                    <w:rPr>
                      <w:rFonts w:hint="eastAsia"/>
                      <w:color w:val="auto"/>
                      <w:sz w:val="21"/>
                      <w:szCs w:val="21"/>
                      <w:highlight w:val="none"/>
                    </w:rPr>
                    <w:t>114.1</w:t>
                  </w:r>
                </w:p>
              </w:tc>
              <w:tc>
                <w:tcPr>
                  <w:tcW w:w="676" w:type="pct"/>
                  <w:gridSpan w:val="2"/>
                  <w:tcBorders>
                    <w:top w:val="single" w:color="000000" w:sz="4" w:space="0"/>
                    <w:left w:val="single" w:color="000000" w:sz="4" w:space="0"/>
                    <w:bottom w:val="single" w:color="000000" w:sz="4" w:space="0"/>
                  </w:tcBorders>
                  <w:vAlign w:val="center"/>
                </w:tcPr>
                <w:p w14:paraId="06316574">
                  <w:pPr>
                    <w:pStyle w:val="80"/>
                    <w:rPr>
                      <w:color w:val="auto"/>
                      <w:sz w:val="21"/>
                      <w:szCs w:val="21"/>
                      <w:highlight w:val="none"/>
                    </w:rPr>
                  </w:pPr>
                  <w:r>
                    <w:rPr>
                      <w:color w:val="auto"/>
                      <w:sz w:val="21"/>
                      <w:szCs w:val="21"/>
                      <w:highlight w:val="none"/>
                    </w:rPr>
                    <w:t>相对密度(水=1)</w:t>
                  </w:r>
                </w:p>
              </w:tc>
              <w:tc>
                <w:tcPr>
                  <w:tcW w:w="627" w:type="pct"/>
                  <w:tcBorders>
                    <w:top w:val="single" w:color="000000" w:sz="4" w:space="0"/>
                    <w:left w:val="single" w:color="000000" w:sz="4" w:space="0"/>
                    <w:bottom w:val="single" w:color="000000" w:sz="4" w:space="0"/>
                  </w:tcBorders>
                  <w:vAlign w:val="center"/>
                </w:tcPr>
                <w:p w14:paraId="75A5812B">
                  <w:pPr>
                    <w:pStyle w:val="80"/>
                    <w:rPr>
                      <w:color w:val="auto"/>
                      <w:sz w:val="21"/>
                      <w:szCs w:val="21"/>
                      <w:highlight w:val="none"/>
                    </w:rPr>
                  </w:pPr>
                  <w:r>
                    <w:rPr>
                      <w:rFonts w:hint="eastAsia"/>
                      <w:color w:val="auto"/>
                      <w:sz w:val="21"/>
                      <w:szCs w:val="21"/>
                      <w:highlight w:val="none"/>
                    </w:rPr>
                    <w:t>0.79</w:t>
                  </w:r>
                </w:p>
              </w:tc>
              <w:tc>
                <w:tcPr>
                  <w:tcW w:w="1153" w:type="pct"/>
                  <w:gridSpan w:val="2"/>
                  <w:tcBorders>
                    <w:top w:val="single" w:color="000000" w:sz="4" w:space="0"/>
                    <w:left w:val="single" w:color="000000" w:sz="4" w:space="0"/>
                    <w:bottom w:val="single" w:color="000000" w:sz="4" w:space="0"/>
                  </w:tcBorders>
                  <w:vAlign w:val="center"/>
                </w:tcPr>
                <w:p w14:paraId="71855468">
                  <w:pPr>
                    <w:pStyle w:val="80"/>
                    <w:rPr>
                      <w:color w:val="auto"/>
                      <w:sz w:val="21"/>
                      <w:szCs w:val="21"/>
                      <w:highlight w:val="none"/>
                    </w:rPr>
                  </w:pPr>
                  <w:r>
                    <w:rPr>
                      <w:color w:val="auto"/>
                      <w:sz w:val="21"/>
                      <w:szCs w:val="21"/>
                      <w:highlight w:val="none"/>
                    </w:rPr>
                    <w:t>相对密度(空气=1)</w:t>
                  </w:r>
                </w:p>
              </w:tc>
              <w:tc>
                <w:tcPr>
                  <w:tcW w:w="814" w:type="pct"/>
                  <w:tcBorders>
                    <w:top w:val="single" w:color="000000" w:sz="4" w:space="0"/>
                    <w:left w:val="single" w:color="000000" w:sz="4" w:space="0"/>
                    <w:bottom w:val="single" w:color="000000" w:sz="4" w:space="0"/>
                  </w:tcBorders>
                  <w:vAlign w:val="center"/>
                </w:tcPr>
                <w:p w14:paraId="7886BF17">
                  <w:pPr>
                    <w:pStyle w:val="80"/>
                    <w:rPr>
                      <w:color w:val="auto"/>
                      <w:sz w:val="21"/>
                      <w:szCs w:val="21"/>
                      <w:highlight w:val="none"/>
                    </w:rPr>
                  </w:pPr>
                  <w:r>
                    <w:rPr>
                      <w:rFonts w:hint="eastAsia"/>
                      <w:color w:val="auto"/>
                      <w:sz w:val="21"/>
                      <w:szCs w:val="21"/>
                      <w:highlight w:val="none"/>
                    </w:rPr>
                    <w:t>1.59</w:t>
                  </w:r>
                </w:p>
              </w:tc>
            </w:tr>
            <w:tr w14:paraId="5C9A0036">
              <w:tblPrEx>
                <w:tblCellMar>
                  <w:top w:w="0" w:type="dxa"/>
                  <w:left w:w="108" w:type="dxa"/>
                  <w:bottom w:w="0" w:type="dxa"/>
                  <w:right w:w="108" w:type="dxa"/>
                </w:tblCellMar>
              </w:tblPrEx>
              <w:trPr>
                <w:cantSplit/>
                <w:trHeight w:val="23" w:hRule="atLeast"/>
              </w:trPr>
              <w:tc>
                <w:tcPr>
                  <w:tcW w:w="454" w:type="pct"/>
                  <w:vMerge w:val="continue"/>
                  <w:vAlign w:val="center"/>
                </w:tcPr>
                <w:p w14:paraId="0C86B990">
                  <w:pPr>
                    <w:pStyle w:val="80"/>
                    <w:rPr>
                      <w:color w:val="auto"/>
                      <w:sz w:val="21"/>
                      <w:szCs w:val="21"/>
                      <w:highlight w:val="none"/>
                    </w:rPr>
                  </w:pPr>
                </w:p>
              </w:tc>
              <w:tc>
                <w:tcPr>
                  <w:tcW w:w="828" w:type="pct"/>
                  <w:gridSpan w:val="2"/>
                  <w:tcBorders>
                    <w:top w:val="single" w:color="000000" w:sz="4" w:space="0"/>
                    <w:left w:val="single" w:color="000000" w:sz="4" w:space="0"/>
                    <w:bottom w:val="single" w:color="000000" w:sz="4" w:space="0"/>
                  </w:tcBorders>
                  <w:vAlign w:val="center"/>
                </w:tcPr>
                <w:p w14:paraId="0D86B952">
                  <w:pPr>
                    <w:pStyle w:val="80"/>
                    <w:rPr>
                      <w:color w:val="auto"/>
                      <w:sz w:val="21"/>
                      <w:szCs w:val="21"/>
                      <w:highlight w:val="none"/>
                    </w:rPr>
                  </w:pPr>
                  <w:r>
                    <w:rPr>
                      <w:color w:val="auto"/>
                      <w:sz w:val="21"/>
                      <w:szCs w:val="21"/>
                      <w:highlight w:val="none"/>
                    </w:rPr>
                    <w:t>沸点（℃）</w:t>
                  </w:r>
                </w:p>
              </w:tc>
              <w:tc>
                <w:tcPr>
                  <w:tcW w:w="446" w:type="pct"/>
                  <w:gridSpan w:val="2"/>
                  <w:tcBorders>
                    <w:top w:val="single" w:color="000000" w:sz="4" w:space="0"/>
                    <w:left w:val="single" w:color="000000" w:sz="4" w:space="0"/>
                    <w:bottom w:val="single" w:color="000000" w:sz="4" w:space="0"/>
                  </w:tcBorders>
                  <w:vAlign w:val="center"/>
                </w:tcPr>
                <w:p w14:paraId="01277EF5">
                  <w:pPr>
                    <w:pStyle w:val="80"/>
                    <w:rPr>
                      <w:color w:val="auto"/>
                      <w:sz w:val="21"/>
                      <w:szCs w:val="21"/>
                      <w:highlight w:val="none"/>
                    </w:rPr>
                  </w:pPr>
                  <w:r>
                    <w:rPr>
                      <w:rFonts w:hint="eastAsia"/>
                      <w:color w:val="auto"/>
                      <w:sz w:val="21"/>
                      <w:szCs w:val="21"/>
                      <w:highlight w:val="none"/>
                    </w:rPr>
                    <w:t>78.3</w:t>
                  </w:r>
                </w:p>
              </w:tc>
              <w:tc>
                <w:tcPr>
                  <w:tcW w:w="676" w:type="pct"/>
                  <w:gridSpan w:val="2"/>
                  <w:tcBorders>
                    <w:top w:val="single" w:color="000000" w:sz="4" w:space="0"/>
                    <w:left w:val="single" w:color="000000" w:sz="4" w:space="0"/>
                    <w:bottom w:val="single" w:color="000000" w:sz="4" w:space="0"/>
                  </w:tcBorders>
                  <w:vAlign w:val="center"/>
                </w:tcPr>
                <w:p w14:paraId="2272E38D">
                  <w:pPr>
                    <w:pStyle w:val="80"/>
                    <w:rPr>
                      <w:color w:val="auto"/>
                      <w:sz w:val="21"/>
                      <w:szCs w:val="21"/>
                      <w:highlight w:val="none"/>
                    </w:rPr>
                  </w:pPr>
                  <w:r>
                    <w:rPr>
                      <w:color w:val="auto"/>
                      <w:sz w:val="21"/>
                      <w:szCs w:val="21"/>
                      <w:highlight w:val="none"/>
                    </w:rPr>
                    <w:t>闪点(℃)</w:t>
                  </w:r>
                </w:p>
              </w:tc>
              <w:tc>
                <w:tcPr>
                  <w:tcW w:w="627" w:type="pct"/>
                  <w:tcBorders>
                    <w:top w:val="single" w:color="000000" w:sz="4" w:space="0"/>
                    <w:left w:val="single" w:color="000000" w:sz="4" w:space="0"/>
                    <w:bottom w:val="single" w:color="000000" w:sz="4" w:space="0"/>
                  </w:tcBorders>
                  <w:vAlign w:val="center"/>
                </w:tcPr>
                <w:p w14:paraId="159E8284">
                  <w:pPr>
                    <w:pStyle w:val="80"/>
                    <w:rPr>
                      <w:color w:val="auto"/>
                      <w:sz w:val="21"/>
                      <w:szCs w:val="21"/>
                      <w:highlight w:val="none"/>
                    </w:rPr>
                  </w:pPr>
                  <w:r>
                    <w:rPr>
                      <w:rFonts w:hint="eastAsia"/>
                      <w:color w:val="auto"/>
                      <w:sz w:val="21"/>
                      <w:szCs w:val="21"/>
                      <w:highlight w:val="none"/>
                    </w:rPr>
                    <w:t>12</w:t>
                  </w:r>
                </w:p>
              </w:tc>
              <w:tc>
                <w:tcPr>
                  <w:tcW w:w="1153" w:type="pct"/>
                  <w:gridSpan w:val="2"/>
                  <w:tcBorders>
                    <w:top w:val="single" w:color="000000" w:sz="4" w:space="0"/>
                    <w:left w:val="single" w:color="000000" w:sz="4" w:space="0"/>
                    <w:bottom w:val="single" w:color="000000" w:sz="4" w:space="0"/>
                  </w:tcBorders>
                  <w:vAlign w:val="center"/>
                </w:tcPr>
                <w:p w14:paraId="67A53051">
                  <w:pPr>
                    <w:pStyle w:val="80"/>
                    <w:rPr>
                      <w:color w:val="auto"/>
                      <w:sz w:val="21"/>
                      <w:szCs w:val="21"/>
                      <w:highlight w:val="none"/>
                    </w:rPr>
                  </w:pPr>
                  <w:r>
                    <w:rPr>
                      <w:color w:val="auto"/>
                      <w:sz w:val="21"/>
                      <w:szCs w:val="21"/>
                      <w:highlight w:val="none"/>
                    </w:rPr>
                    <w:t>饱和蒸气压（kPa）</w:t>
                  </w:r>
                </w:p>
              </w:tc>
              <w:tc>
                <w:tcPr>
                  <w:tcW w:w="814" w:type="pct"/>
                  <w:tcBorders>
                    <w:top w:val="single" w:color="000000" w:sz="4" w:space="0"/>
                    <w:left w:val="single" w:color="000000" w:sz="4" w:space="0"/>
                    <w:bottom w:val="single" w:color="000000" w:sz="4" w:space="0"/>
                  </w:tcBorders>
                  <w:vAlign w:val="center"/>
                </w:tcPr>
                <w:p w14:paraId="54E895B7">
                  <w:pPr>
                    <w:pStyle w:val="80"/>
                    <w:rPr>
                      <w:color w:val="auto"/>
                      <w:sz w:val="21"/>
                      <w:szCs w:val="21"/>
                      <w:highlight w:val="none"/>
                    </w:rPr>
                  </w:pPr>
                  <w:r>
                    <w:rPr>
                      <w:rFonts w:hint="eastAsia"/>
                      <w:color w:val="auto"/>
                      <w:sz w:val="21"/>
                      <w:szCs w:val="21"/>
                      <w:highlight w:val="none"/>
                      <w:shd w:val="clear" w:color="auto" w:fill="FFFFFF"/>
                    </w:rPr>
                    <w:t>5.33</w:t>
                  </w:r>
                </w:p>
              </w:tc>
            </w:tr>
            <w:tr w14:paraId="6CC2459C">
              <w:tblPrEx>
                <w:tblCellMar>
                  <w:top w:w="0" w:type="dxa"/>
                  <w:left w:w="108" w:type="dxa"/>
                  <w:bottom w:w="0" w:type="dxa"/>
                  <w:right w:w="108" w:type="dxa"/>
                </w:tblCellMar>
              </w:tblPrEx>
              <w:trPr>
                <w:cantSplit/>
                <w:trHeight w:val="23" w:hRule="atLeast"/>
              </w:trPr>
              <w:tc>
                <w:tcPr>
                  <w:tcW w:w="454" w:type="pct"/>
                  <w:vMerge w:val="continue"/>
                  <w:vAlign w:val="center"/>
                </w:tcPr>
                <w:p w14:paraId="5CD2767B">
                  <w:pPr>
                    <w:pStyle w:val="80"/>
                    <w:rPr>
                      <w:color w:val="auto"/>
                      <w:sz w:val="21"/>
                      <w:szCs w:val="21"/>
                      <w:highlight w:val="none"/>
                    </w:rPr>
                  </w:pPr>
                </w:p>
              </w:tc>
              <w:tc>
                <w:tcPr>
                  <w:tcW w:w="828" w:type="pct"/>
                  <w:gridSpan w:val="2"/>
                  <w:tcBorders>
                    <w:top w:val="single" w:color="000000" w:sz="4" w:space="0"/>
                    <w:left w:val="single" w:color="000000" w:sz="4" w:space="0"/>
                    <w:bottom w:val="single" w:color="000000" w:sz="4" w:space="0"/>
                  </w:tcBorders>
                  <w:vAlign w:val="center"/>
                </w:tcPr>
                <w:p w14:paraId="33634524">
                  <w:pPr>
                    <w:pStyle w:val="80"/>
                    <w:rPr>
                      <w:color w:val="auto"/>
                      <w:sz w:val="21"/>
                      <w:szCs w:val="21"/>
                      <w:highlight w:val="none"/>
                    </w:rPr>
                  </w:pPr>
                  <w:r>
                    <w:rPr>
                      <w:color w:val="auto"/>
                      <w:sz w:val="21"/>
                      <w:szCs w:val="21"/>
                      <w:highlight w:val="none"/>
                    </w:rPr>
                    <w:t>温度、压力</w:t>
                  </w:r>
                </w:p>
              </w:tc>
              <w:tc>
                <w:tcPr>
                  <w:tcW w:w="446" w:type="pct"/>
                  <w:gridSpan w:val="2"/>
                  <w:tcBorders>
                    <w:top w:val="single" w:color="000000" w:sz="4" w:space="0"/>
                    <w:left w:val="single" w:color="000000" w:sz="4" w:space="0"/>
                    <w:bottom w:val="single" w:color="000000" w:sz="4" w:space="0"/>
                  </w:tcBorders>
                  <w:vAlign w:val="center"/>
                </w:tcPr>
                <w:p w14:paraId="4079FBAC">
                  <w:pPr>
                    <w:pStyle w:val="80"/>
                    <w:rPr>
                      <w:color w:val="auto"/>
                      <w:sz w:val="21"/>
                      <w:szCs w:val="21"/>
                      <w:highlight w:val="none"/>
                    </w:rPr>
                  </w:pPr>
                  <w:r>
                    <w:rPr>
                      <w:color w:val="auto"/>
                      <w:sz w:val="21"/>
                      <w:szCs w:val="21"/>
                      <w:highlight w:val="none"/>
                    </w:rPr>
                    <w:t>临界温度(℃)</w:t>
                  </w:r>
                </w:p>
              </w:tc>
              <w:tc>
                <w:tcPr>
                  <w:tcW w:w="676" w:type="pct"/>
                  <w:gridSpan w:val="2"/>
                  <w:tcBorders>
                    <w:top w:val="single" w:color="000000" w:sz="4" w:space="0"/>
                    <w:left w:val="single" w:color="000000" w:sz="4" w:space="0"/>
                    <w:bottom w:val="single" w:color="000000" w:sz="4" w:space="0"/>
                  </w:tcBorders>
                  <w:vAlign w:val="center"/>
                </w:tcPr>
                <w:p w14:paraId="7C8D6E9C">
                  <w:pPr>
                    <w:pStyle w:val="80"/>
                    <w:rPr>
                      <w:color w:val="auto"/>
                      <w:sz w:val="21"/>
                      <w:szCs w:val="21"/>
                      <w:highlight w:val="none"/>
                    </w:rPr>
                  </w:pPr>
                  <w:r>
                    <w:rPr>
                      <w:rFonts w:hint="eastAsia"/>
                      <w:color w:val="auto"/>
                      <w:sz w:val="21"/>
                      <w:szCs w:val="21"/>
                      <w:highlight w:val="none"/>
                    </w:rPr>
                    <w:t>243.1</w:t>
                  </w:r>
                </w:p>
              </w:tc>
              <w:tc>
                <w:tcPr>
                  <w:tcW w:w="1780" w:type="pct"/>
                  <w:gridSpan w:val="3"/>
                  <w:tcBorders>
                    <w:top w:val="single" w:color="000000" w:sz="4" w:space="0"/>
                    <w:left w:val="single" w:color="000000" w:sz="4" w:space="0"/>
                    <w:bottom w:val="single" w:color="000000" w:sz="4" w:space="0"/>
                  </w:tcBorders>
                  <w:vAlign w:val="center"/>
                </w:tcPr>
                <w:p w14:paraId="683270C0">
                  <w:pPr>
                    <w:pStyle w:val="80"/>
                    <w:rPr>
                      <w:color w:val="auto"/>
                      <w:sz w:val="21"/>
                      <w:szCs w:val="21"/>
                      <w:highlight w:val="none"/>
                    </w:rPr>
                  </w:pPr>
                  <w:r>
                    <w:rPr>
                      <w:color w:val="auto"/>
                      <w:sz w:val="21"/>
                      <w:szCs w:val="21"/>
                      <w:highlight w:val="none"/>
                    </w:rPr>
                    <w:t>临界压力(MPa)：</w:t>
                  </w:r>
                </w:p>
              </w:tc>
              <w:tc>
                <w:tcPr>
                  <w:tcW w:w="814" w:type="pct"/>
                  <w:tcBorders>
                    <w:top w:val="single" w:color="000000" w:sz="4" w:space="0"/>
                    <w:left w:val="single" w:color="000000" w:sz="4" w:space="0"/>
                    <w:bottom w:val="single" w:color="000000" w:sz="4" w:space="0"/>
                  </w:tcBorders>
                  <w:vAlign w:val="center"/>
                </w:tcPr>
                <w:p w14:paraId="4029C669">
                  <w:pPr>
                    <w:pStyle w:val="80"/>
                    <w:rPr>
                      <w:color w:val="auto"/>
                      <w:sz w:val="21"/>
                      <w:szCs w:val="21"/>
                      <w:highlight w:val="none"/>
                    </w:rPr>
                  </w:pPr>
                  <w:r>
                    <w:rPr>
                      <w:rFonts w:hint="eastAsia"/>
                      <w:color w:val="auto"/>
                      <w:sz w:val="21"/>
                      <w:szCs w:val="21"/>
                      <w:highlight w:val="none"/>
                    </w:rPr>
                    <w:t>6.38</w:t>
                  </w:r>
                </w:p>
              </w:tc>
            </w:tr>
            <w:tr w14:paraId="201CBE0C">
              <w:tblPrEx>
                <w:tblCellMar>
                  <w:top w:w="0" w:type="dxa"/>
                  <w:left w:w="108" w:type="dxa"/>
                  <w:bottom w:w="0" w:type="dxa"/>
                  <w:right w:w="108" w:type="dxa"/>
                </w:tblCellMar>
              </w:tblPrEx>
              <w:trPr>
                <w:cantSplit/>
                <w:trHeight w:val="23" w:hRule="atLeast"/>
              </w:trPr>
              <w:tc>
                <w:tcPr>
                  <w:tcW w:w="454" w:type="pct"/>
                  <w:vMerge w:val="continue"/>
                  <w:tcBorders>
                    <w:bottom w:val="single" w:color="auto" w:sz="4" w:space="0"/>
                  </w:tcBorders>
                  <w:vAlign w:val="center"/>
                </w:tcPr>
                <w:p w14:paraId="342A5ABD">
                  <w:pPr>
                    <w:pStyle w:val="80"/>
                    <w:rPr>
                      <w:color w:val="auto"/>
                      <w:sz w:val="21"/>
                      <w:szCs w:val="21"/>
                      <w:highlight w:val="none"/>
                    </w:rPr>
                  </w:pPr>
                </w:p>
              </w:tc>
              <w:tc>
                <w:tcPr>
                  <w:tcW w:w="828" w:type="pct"/>
                  <w:gridSpan w:val="2"/>
                  <w:tcBorders>
                    <w:top w:val="single" w:color="000000" w:sz="4" w:space="0"/>
                    <w:left w:val="single" w:color="000000" w:sz="4" w:space="0"/>
                    <w:bottom w:val="single" w:color="auto" w:sz="4" w:space="0"/>
                  </w:tcBorders>
                  <w:vAlign w:val="center"/>
                </w:tcPr>
                <w:p w14:paraId="09680356">
                  <w:pPr>
                    <w:pStyle w:val="80"/>
                    <w:rPr>
                      <w:color w:val="auto"/>
                      <w:sz w:val="21"/>
                      <w:szCs w:val="21"/>
                      <w:highlight w:val="none"/>
                    </w:rPr>
                  </w:pPr>
                  <w:r>
                    <w:rPr>
                      <w:color w:val="auto"/>
                      <w:sz w:val="21"/>
                      <w:szCs w:val="21"/>
                      <w:highlight w:val="none"/>
                    </w:rPr>
                    <w:t>溶解性</w:t>
                  </w:r>
                </w:p>
              </w:tc>
              <w:tc>
                <w:tcPr>
                  <w:tcW w:w="3717" w:type="pct"/>
                  <w:gridSpan w:val="8"/>
                  <w:tcBorders>
                    <w:top w:val="single" w:color="000000" w:sz="4" w:space="0"/>
                    <w:left w:val="single" w:color="000000" w:sz="4" w:space="0"/>
                    <w:bottom w:val="single" w:color="auto" w:sz="4" w:space="0"/>
                  </w:tcBorders>
                  <w:vAlign w:val="center"/>
                </w:tcPr>
                <w:p w14:paraId="71DEE16D">
                  <w:pPr>
                    <w:pStyle w:val="80"/>
                    <w:rPr>
                      <w:color w:val="auto"/>
                      <w:sz w:val="21"/>
                      <w:szCs w:val="21"/>
                      <w:highlight w:val="none"/>
                    </w:rPr>
                  </w:pPr>
                  <w:r>
                    <w:rPr>
                      <w:color w:val="auto"/>
                      <w:sz w:val="21"/>
                      <w:szCs w:val="21"/>
                      <w:highlight w:val="none"/>
                    </w:rPr>
                    <w:t>与水混溶，可混溶于醚、氯仿、甘油等多数有机溶剂。</w:t>
                  </w:r>
                </w:p>
              </w:tc>
            </w:tr>
            <w:tr w14:paraId="791D4F55">
              <w:tblPrEx>
                <w:tblCellMar>
                  <w:top w:w="0" w:type="dxa"/>
                  <w:left w:w="108" w:type="dxa"/>
                  <w:bottom w:w="0" w:type="dxa"/>
                  <w:right w:w="108" w:type="dxa"/>
                </w:tblCellMar>
              </w:tblPrEx>
              <w:trPr>
                <w:cantSplit/>
              </w:trPr>
              <w:tc>
                <w:tcPr>
                  <w:tcW w:w="454" w:type="pct"/>
                  <w:vMerge w:val="restart"/>
                  <w:tcBorders>
                    <w:top w:val="single" w:color="auto" w:sz="4" w:space="0"/>
                    <w:bottom w:val="single" w:color="000000" w:sz="4" w:space="0"/>
                  </w:tcBorders>
                  <w:vAlign w:val="center"/>
                </w:tcPr>
                <w:p w14:paraId="51AF60F4">
                  <w:pPr>
                    <w:pStyle w:val="80"/>
                    <w:rPr>
                      <w:color w:val="auto"/>
                      <w:sz w:val="21"/>
                      <w:szCs w:val="21"/>
                      <w:highlight w:val="none"/>
                    </w:rPr>
                  </w:pPr>
                  <w:r>
                    <w:rPr>
                      <w:color w:val="auto"/>
                      <w:sz w:val="21"/>
                      <w:szCs w:val="21"/>
                      <w:highlight w:val="none"/>
                    </w:rPr>
                    <w:t>毒性</w:t>
                  </w:r>
                </w:p>
                <w:p w14:paraId="059B641E">
                  <w:pPr>
                    <w:pStyle w:val="80"/>
                    <w:rPr>
                      <w:color w:val="auto"/>
                      <w:sz w:val="21"/>
                      <w:szCs w:val="21"/>
                      <w:highlight w:val="none"/>
                    </w:rPr>
                  </w:pPr>
                  <w:r>
                    <w:rPr>
                      <w:color w:val="auto"/>
                      <w:sz w:val="21"/>
                      <w:szCs w:val="21"/>
                      <w:highlight w:val="none"/>
                    </w:rPr>
                    <w:t>及健</w:t>
                  </w:r>
                </w:p>
                <w:p w14:paraId="7794E78E">
                  <w:pPr>
                    <w:pStyle w:val="80"/>
                    <w:rPr>
                      <w:color w:val="auto"/>
                      <w:sz w:val="21"/>
                      <w:szCs w:val="21"/>
                      <w:highlight w:val="none"/>
                    </w:rPr>
                  </w:pPr>
                  <w:r>
                    <w:rPr>
                      <w:color w:val="auto"/>
                      <w:sz w:val="21"/>
                      <w:szCs w:val="21"/>
                      <w:highlight w:val="none"/>
                    </w:rPr>
                    <w:t>康危</w:t>
                  </w:r>
                </w:p>
                <w:p w14:paraId="25527FB0">
                  <w:pPr>
                    <w:pStyle w:val="80"/>
                    <w:rPr>
                      <w:color w:val="auto"/>
                      <w:sz w:val="21"/>
                      <w:szCs w:val="21"/>
                      <w:highlight w:val="none"/>
                    </w:rPr>
                  </w:pPr>
                  <w:r>
                    <w:rPr>
                      <w:color w:val="auto"/>
                      <w:sz w:val="21"/>
                      <w:szCs w:val="21"/>
                      <w:highlight w:val="none"/>
                    </w:rPr>
                    <w:t>害</w:t>
                  </w:r>
                </w:p>
              </w:tc>
              <w:tc>
                <w:tcPr>
                  <w:tcW w:w="828" w:type="pct"/>
                  <w:gridSpan w:val="2"/>
                  <w:tcBorders>
                    <w:top w:val="single" w:color="auto" w:sz="4" w:space="0"/>
                    <w:left w:val="single" w:color="000000" w:sz="4" w:space="0"/>
                    <w:bottom w:val="single" w:color="000000" w:sz="4" w:space="0"/>
                  </w:tcBorders>
                  <w:vAlign w:val="center"/>
                </w:tcPr>
                <w:p w14:paraId="79F89CAD">
                  <w:pPr>
                    <w:pStyle w:val="80"/>
                    <w:rPr>
                      <w:color w:val="auto"/>
                      <w:sz w:val="21"/>
                      <w:szCs w:val="21"/>
                      <w:highlight w:val="none"/>
                    </w:rPr>
                  </w:pPr>
                  <w:r>
                    <w:rPr>
                      <w:color w:val="auto"/>
                      <w:sz w:val="21"/>
                      <w:szCs w:val="21"/>
                      <w:highlight w:val="none"/>
                    </w:rPr>
                    <w:t>侵入途径</w:t>
                  </w:r>
                </w:p>
              </w:tc>
              <w:tc>
                <w:tcPr>
                  <w:tcW w:w="3717" w:type="pct"/>
                  <w:gridSpan w:val="8"/>
                  <w:tcBorders>
                    <w:top w:val="single" w:color="auto" w:sz="4" w:space="0"/>
                    <w:left w:val="single" w:color="000000" w:sz="4" w:space="0"/>
                    <w:bottom w:val="single" w:color="000000" w:sz="4" w:space="0"/>
                  </w:tcBorders>
                  <w:vAlign w:val="center"/>
                </w:tcPr>
                <w:p w14:paraId="633CC2AC">
                  <w:pPr>
                    <w:pStyle w:val="80"/>
                    <w:rPr>
                      <w:color w:val="auto"/>
                      <w:sz w:val="21"/>
                      <w:szCs w:val="21"/>
                      <w:highlight w:val="none"/>
                    </w:rPr>
                  </w:pPr>
                  <w:r>
                    <w:rPr>
                      <w:color w:val="auto"/>
                      <w:sz w:val="21"/>
                      <w:szCs w:val="21"/>
                      <w:highlight w:val="none"/>
                    </w:rPr>
                    <w:t>吸入、食入、经皮吸收</w:t>
                  </w:r>
                </w:p>
              </w:tc>
            </w:tr>
            <w:tr w14:paraId="1C7D30C0">
              <w:tblPrEx>
                <w:tblCellMar>
                  <w:top w:w="0" w:type="dxa"/>
                  <w:left w:w="108" w:type="dxa"/>
                  <w:bottom w:w="0" w:type="dxa"/>
                  <w:right w:w="108" w:type="dxa"/>
                </w:tblCellMar>
              </w:tblPrEx>
              <w:trPr>
                <w:cantSplit/>
              </w:trPr>
              <w:tc>
                <w:tcPr>
                  <w:tcW w:w="454" w:type="pct"/>
                  <w:vMerge w:val="continue"/>
                  <w:tcBorders>
                    <w:top w:val="single" w:color="000000" w:sz="4" w:space="0"/>
                    <w:bottom w:val="single" w:color="auto" w:sz="4" w:space="0"/>
                  </w:tcBorders>
                  <w:vAlign w:val="center"/>
                </w:tcPr>
                <w:p w14:paraId="025EBBA0">
                  <w:pPr>
                    <w:pStyle w:val="80"/>
                    <w:rPr>
                      <w:color w:val="auto"/>
                      <w:sz w:val="21"/>
                      <w:szCs w:val="21"/>
                      <w:highlight w:val="none"/>
                    </w:rPr>
                  </w:pPr>
                </w:p>
              </w:tc>
              <w:tc>
                <w:tcPr>
                  <w:tcW w:w="828" w:type="pct"/>
                  <w:gridSpan w:val="2"/>
                  <w:tcBorders>
                    <w:top w:val="single" w:color="000000" w:sz="4" w:space="0"/>
                    <w:left w:val="single" w:color="000000" w:sz="4" w:space="0"/>
                    <w:bottom w:val="single" w:color="auto" w:sz="4" w:space="0"/>
                  </w:tcBorders>
                  <w:vAlign w:val="center"/>
                </w:tcPr>
                <w:p w14:paraId="61E2CE9F">
                  <w:pPr>
                    <w:pStyle w:val="80"/>
                    <w:rPr>
                      <w:color w:val="auto"/>
                      <w:sz w:val="21"/>
                      <w:szCs w:val="21"/>
                      <w:highlight w:val="none"/>
                    </w:rPr>
                  </w:pPr>
                  <w:r>
                    <w:rPr>
                      <w:color w:val="auto"/>
                      <w:sz w:val="21"/>
                      <w:szCs w:val="21"/>
                      <w:highlight w:val="none"/>
                    </w:rPr>
                    <w:t>毒性</w:t>
                  </w:r>
                </w:p>
              </w:tc>
              <w:tc>
                <w:tcPr>
                  <w:tcW w:w="3717" w:type="pct"/>
                  <w:gridSpan w:val="8"/>
                  <w:tcBorders>
                    <w:top w:val="single" w:color="000000" w:sz="4" w:space="0"/>
                    <w:left w:val="single" w:color="000000" w:sz="4" w:space="0"/>
                    <w:bottom w:val="single" w:color="auto" w:sz="4" w:space="0"/>
                  </w:tcBorders>
                  <w:vAlign w:val="center"/>
                </w:tcPr>
                <w:p w14:paraId="07F92A9F">
                  <w:pPr>
                    <w:spacing w:line="315" w:lineRule="atLeast"/>
                    <w:jc w:val="center"/>
                    <w:rPr>
                      <w:color w:val="auto"/>
                      <w:szCs w:val="21"/>
                      <w:highlight w:val="none"/>
                    </w:rPr>
                  </w:pPr>
                  <w:r>
                    <w:rPr>
                      <w:color w:val="auto"/>
                      <w:szCs w:val="21"/>
                      <w:highlight w:val="none"/>
                    </w:rPr>
                    <w:t>LD50 7060mg/kg（兔经口）；7430mg/kg（兔经皮）；</w:t>
                  </w:r>
                </w:p>
                <w:p w14:paraId="25546EBF">
                  <w:pPr>
                    <w:spacing w:line="315" w:lineRule="atLeast"/>
                    <w:jc w:val="center"/>
                    <w:rPr>
                      <w:color w:val="auto"/>
                      <w:szCs w:val="21"/>
                      <w:highlight w:val="none"/>
                    </w:rPr>
                  </w:pPr>
                  <w:r>
                    <w:rPr>
                      <w:color w:val="auto"/>
                      <w:szCs w:val="21"/>
                      <w:highlight w:val="none"/>
                    </w:rPr>
                    <w:t>LC50 37620mg/m3，10 小时（大鼠吸入）</w:t>
                  </w:r>
                </w:p>
              </w:tc>
            </w:tr>
            <w:tr w14:paraId="58076759">
              <w:tblPrEx>
                <w:tblCellMar>
                  <w:top w:w="0" w:type="dxa"/>
                  <w:left w:w="108" w:type="dxa"/>
                  <w:bottom w:w="0" w:type="dxa"/>
                  <w:right w:w="108" w:type="dxa"/>
                </w:tblCellMar>
              </w:tblPrEx>
              <w:trPr>
                <w:cantSplit/>
              </w:trPr>
              <w:tc>
                <w:tcPr>
                  <w:tcW w:w="461" w:type="pct"/>
                  <w:gridSpan w:val="2"/>
                  <w:tcBorders>
                    <w:top w:val="single" w:color="auto" w:sz="4" w:space="0"/>
                    <w:bottom w:val="single" w:color="000000" w:sz="4" w:space="0"/>
                  </w:tcBorders>
                  <w:vAlign w:val="center"/>
                </w:tcPr>
                <w:p w14:paraId="7E46E3C9">
                  <w:pPr>
                    <w:pStyle w:val="80"/>
                    <w:rPr>
                      <w:color w:val="auto"/>
                      <w:sz w:val="21"/>
                      <w:szCs w:val="21"/>
                      <w:highlight w:val="none"/>
                    </w:rPr>
                  </w:pPr>
                  <w:r>
                    <w:rPr>
                      <w:color w:val="auto"/>
                      <w:sz w:val="21"/>
                      <w:szCs w:val="21"/>
                      <w:highlight w:val="none"/>
                    </w:rPr>
                    <w:t>毒性</w:t>
                  </w:r>
                </w:p>
                <w:p w14:paraId="009D957A">
                  <w:pPr>
                    <w:pStyle w:val="80"/>
                    <w:rPr>
                      <w:color w:val="auto"/>
                      <w:sz w:val="21"/>
                      <w:szCs w:val="21"/>
                      <w:highlight w:val="none"/>
                    </w:rPr>
                  </w:pPr>
                  <w:r>
                    <w:rPr>
                      <w:color w:val="auto"/>
                      <w:sz w:val="21"/>
                      <w:szCs w:val="21"/>
                      <w:highlight w:val="none"/>
                    </w:rPr>
                    <w:t>及健</w:t>
                  </w:r>
                </w:p>
                <w:p w14:paraId="387C1BBF">
                  <w:pPr>
                    <w:pStyle w:val="80"/>
                    <w:rPr>
                      <w:color w:val="auto"/>
                      <w:sz w:val="21"/>
                      <w:szCs w:val="21"/>
                      <w:highlight w:val="none"/>
                    </w:rPr>
                  </w:pPr>
                  <w:r>
                    <w:rPr>
                      <w:color w:val="auto"/>
                      <w:sz w:val="21"/>
                      <w:szCs w:val="21"/>
                      <w:highlight w:val="none"/>
                    </w:rPr>
                    <w:t>康危</w:t>
                  </w:r>
                </w:p>
                <w:p w14:paraId="0C415199">
                  <w:pPr>
                    <w:pStyle w:val="80"/>
                    <w:rPr>
                      <w:color w:val="auto"/>
                      <w:sz w:val="21"/>
                      <w:szCs w:val="21"/>
                      <w:highlight w:val="none"/>
                    </w:rPr>
                  </w:pPr>
                  <w:r>
                    <w:rPr>
                      <w:color w:val="auto"/>
                      <w:sz w:val="21"/>
                      <w:szCs w:val="21"/>
                      <w:highlight w:val="none"/>
                    </w:rPr>
                    <w:t>害</w:t>
                  </w:r>
                </w:p>
              </w:tc>
              <w:tc>
                <w:tcPr>
                  <w:tcW w:w="834" w:type="pct"/>
                  <w:gridSpan w:val="2"/>
                  <w:tcBorders>
                    <w:top w:val="single" w:color="auto" w:sz="4" w:space="0"/>
                    <w:left w:val="single" w:color="000000" w:sz="4" w:space="0"/>
                    <w:bottom w:val="single" w:color="000000" w:sz="4" w:space="0"/>
                  </w:tcBorders>
                  <w:vAlign w:val="center"/>
                </w:tcPr>
                <w:p w14:paraId="40E4060A">
                  <w:pPr>
                    <w:pStyle w:val="80"/>
                    <w:rPr>
                      <w:color w:val="auto"/>
                      <w:sz w:val="21"/>
                      <w:szCs w:val="21"/>
                      <w:highlight w:val="none"/>
                    </w:rPr>
                  </w:pPr>
                  <w:r>
                    <w:rPr>
                      <w:color w:val="auto"/>
                      <w:sz w:val="21"/>
                      <w:szCs w:val="21"/>
                      <w:highlight w:val="none"/>
                    </w:rPr>
                    <w:t>健康危害</w:t>
                  </w:r>
                </w:p>
              </w:tc>
              <w:tc>
                <w:tcPr>
                  <w:tcW w:w="3704" w:type="pct"/>
                  <w:gridSpan w:val="7"/>
                  <w:tcBorders>
                    <w:top w:val="single" w:color="auto" w:sz="4" w:space="0"/>
                    <w:left w:val="single" w:color="000000" w:sz="4" w:space="0"/>
                    <w:bottom w:val="single" w:color="000000" w:sz="4" w:space="0"/>
                  </w:tcBorders>
                  <w:vAlign w:val="center"/>
                </w:tcPr>
                <w:p w14:paraId="06C894F6">
                  <w:pPr>
                    <w:widowControl/>
                    <w:jc w:val="left"/>
                    <w:rPr>
                      <w:color w:val="auto"/>
                      <w:szCs w:val="21"/>
                      <w:highlight w:val="none"/>
                    </w:rPr>
                  </w:pPr>
                  <w:r>
                    <w:rPr>
                      <w:color w:val="auto"/>
                      <w:szCs w:val="21"/>
                      <w:highlight w:val="none"/>
                    </w:rPr>
                    <w:t>本品为中枢神经抑制剂。首先引起兴奋，随后抑制。急性中毒：急性中毒多发生于口服。一般可分为兴奋、催眠、麻醉、窒息四阶段。患者进入第三或第四阶段，出现意识丧失、瞳孔扩大、呼吸不规律、休克、心力循环衰竭及呼吸停止。慢性影响：在生产中长期接触高浓度本品可引起鼻、眼、</w:t>
                  </w:r>
                  <w:r>
                    <w:rPr>
                      <w:rFonts w:hint="eastAsia"/>
                      <w:color w:val="auto"/>
                      <w:szCs w:val="21"/>
                      <w:highlight w:val="none"/>
                      <w:lang w:eastAsia="zh-CN"/>
                    </w:rPr>
                    <w:t>黏膜</w:t>
                  </w:r>
                  <w:r>
                    <w:rPr>
                      <w:color w:val="auto"/>
                      <w:szCs w:val="21"/>
                      <w:highlight w:val="none"/>
                    </w:rPr>
                    <w:t>刺激症状，以及头痛、头晕、疲乏、易激动、震颤、恶心等。长期酗酒可引起多发性神经病、慢性胃炎、脂肪肝、肝硬化、心肌损害及器质性神经病等。皮肤长期接触可引起干燥、脱屑、皲裂和皮炎。</w:t>
                  </w:r>
                </w:p>
              </w:tc>
            </w:tr>
            <w:tr w14:paraId="7C6D4B91">
              <w:tblPrEx>
                <w:tblCellMar>
                  <w:top w:w="0" w:type="dxa"/>
                  <w:left w:w="108" w:type="dxa"/>
                  <w:bottom w:w="0" w:type="dxa"/>
                  <w:right w:w="108" w:type="dxa"/>
                </w:tblCellMar>
              </w:tblPrEx>
              <w:trPr>
                <w:cantSplit/>
              </w:trPr>
              <w:tc>
                <w:tcPr>
                  <w:tcW w:w="461" w:type="pct"/>
                  <w:gridSpan w:val="2"/>
                  <w:vMerge w:val="restart"/>
                  <w:tcBorders>
                    <w:top w:val="single" w:color="000000" w:sz="4" w:space="0"/>
                    <w:left w:val="nil"/>
                    <w:bottom w:val="single" w:color="000000" w:sz="4" w:space="0"/>
                    <w:right w:val="single" w:color="000000" w:sz="4" w:space="0"/>
                  </w:tcBorders>
                  <w:vAlign w:val="center"/>
                </w:tcPr>
                <w:p w14:paraId="2F14B433">
                  <w:pPr>
                    <w:pStyle w:val="80"/>
                    <w:rPr>
                      <w:color w:val="auto"/>
                      <w:sz w:val="21"/>
                      <w:szCs w:val="21"/>
                      <w:highlight w:val="none"/>
                    </w:rPr>
                  </w:pPr>
                  <w:r>
                    <w:rPr>
                      <w:color w:val="auto"/>
                      <w:sz w:val="21"/>
                      <w:szCs w:val="21"/>
                      <w:highlight w:val="none"/>
                    </w:rPr>
                    <w:t>燃烧</w:t>
                  </w:r>
                </w:p>
                <w:p w14:paraId="4851CD76">
                  <w:pPr>
                    <w:pStyle w:val="80"/>
                    <w:rPr>
                      <w:color w:val="auto"/>
                      <w:sz w:val="21"/>
                      <w:szCs w:val="21"/>
                      <w:highlight w:val="none"/>
                    </w:rPr>
                  </w:pPr>
                  <w:r>
                    <w:rPr>
                      <w:color w:val="auto"/>
                      <w:sz w:val="21"/>
                      <w:szCs w:val="21"/>
                      <w:highlight w:val="none"/>
                    </w:rPr>
                    <w:t>爆炸</w:t>
                  </w:r>
                </w:p>
                <w:p w14:paraId="054405E8">
                  <w:pPr>
                    <w:pStyle w:val="80"/>
                    <w:rPr>
                      <w:color w:val="auto"/>
                      <w:sz w:val="21"/>
                      <w:szCs w:val="21"/>
                      <w:highlight w:val="none"/>
                    </w:rPr>
                  </w:pPr>
                  <w:r>
                    <w:rPr>
                      <w:color w:val="auto"/>
                      <w:sz w:val="21"/>
                      <w:szCs w:val="21"/>
                      <w:highlight w:val="none"/>
                    </w:rPr>
                    <w:t>危险</w:t>
                  </w:r>
                </w:p>
                <w:p w14:paraId="1DA34730">
                  <w:pPr>
                    <w:pStyle w:val="80"/>
                    <w:rPr>
                      <w:color w:val="auto"/>
                      <w:sz w:val="21"/>
                      <w:szCs w:val="21"/>
                      <w:highlight w:val="none"/>
                    </w:rPr>
                  </w:pPr>
                  <w:r>
                    <w:rPr>
                      <w:color w:val="auto"/>
                      <w:sz w:val="21"/>
                      <w:szCs w:val="21"/>
                      <w:highlight w:val="none"/>
                    </w:rPr>
                    <w:t>性</w:t>
                  </w:r>
                </w:p>
              </w:tc>
              <w:tc>
                <w:tcPr>
                  <w:tcW w:w="834" w:type="pct"/>
                  <w:gridSpan w:val="2"/>
                  <w:tcBorders>
                    <w:top w:val="single" w:color="000000" w:sz="4" w:space="0"/>
                    <w:left w:val="single" w:color="000000" w:sz="4" w:space="0"/>
                    <w:bottom w:val="single" w:color="000000" w:sz="4" w:space="0"/>
                    <w:right w:val="single" w:color="000000" w:sz="4" w:space="0"/>
                  </w:tcBorders>
                  <w:vAlign w:val="center"/>
                </w:tcPr>
                <w:p w14:paraId="1BEEAEDE">
                  <w:pPr>
                    <w:pStyle w:val="80"/>
                    <w:rPr>
                      <w:color w:val="auto"/>
                      <w:sz w:val="21"/>
                      <w:szCs w:val="21"/>
                      <w:highlight w:val="none"/>
                    </w:rPr>
                  </w:pPr>
                  <w:r>
                    <w:rPr>
                      <w:color w:val="auto"/>
                      <w:sz w:val="21"/>
                      <w:szCs w:val="21"/>
                      <w:highlight w:val="none"/>
                    </w:rPr>
                    <w:t>燃爆危险</w:t>
                  </w:r>
                </w:p>
              </w:tc>
              <w:tc>
                <w:tcPr>
                  <w:tcW w:w="963" w:type="pct"/>
                  <w:gridSpan w:val="2"/>
                  <w:tcBorders>
                    <w:top w:val="single" w:color="000000" w:sz="4" w:space="0"/>
                    <w:left w:val="single" w:color="000000" w:sz="4" w:space="0"/>
                    <w:bottom w:val="single" w:color="000000" w:sz="4" w:space="0"/>
                    <w:right w:val="single" w:color="000000" w:sz="4" w:space="0"/>
                  </w:tcBorders>
                  <w:vAlign w:val="center"/>
                </w:tcPr>
                <w:p w14:paraId="2EB7377E">
                  <w:pPr>
                    <w:pStyle w:val="80"/>
                    <w:rPr>
                      <w:color w:val="auto"/>
                      <w:sz w:val="21"/>
                      <w:szCs w:val="21"/>
                      <w:highlight w:val="none"/>
                    </w:rPr>
                  </w:pPr>
                  <w:r>
                    <w:rPr>
                      <w:rFonts w:hint="eastAsia"/>
                      <w:color w:val="auto"/>
                      <w:sz w:val="21"/>
                      <w:szCs w:val="21"/>
                      <w:highlight w:val="none"/>
                    </w:rPr>
                    <w:t>易燃</w:t>
                  </w:r>
                </w:p>
              </w:tc>
              <w:tc>
                <w:tcPr>
                  <w:tcW w:w="1212" w:type="pct"/>
                  <w:gridSpan w:val="3"/>
                  <w:tcBorders>
                    <w:top w:val="single" w:color="000000" w:sz="4" w:space="0"/>
                    <w:left w:val="single" w:color="000000" w:sz="4" w:space="0"/>
                    <w:bottom w:val="single" w:color="000000" w:sz="4" w:space="0"/>
                    <w:right w:val="single" w:color="000000" w:sz="4" w:space="0"/>
                  </w:tcBorders>
                  <w:vAlign w:val="center"/>
                </w:tcPr>
                <w:p w14:paraId="45D8A322">
                  <w:pPr>
                    <w:pStyle w:val="80"/>
                    <w:rPr>
                      <w:color w:val="auto"/>
                      <w:sz w:val="21"/>
                      <w:szCs w:val="21"/>
                      <w:highlight w:val="none"/>
                    </w:rPr>
                  </w:pPr>
                  <w:r>
                    <w:rPr>
                      <w:color w:val="auto"/>
                      <w:sz w:val="21"/>
                      <w:szCs w:val="21"/>
                      <w:highlight w:val="none"/>
                    </w:rPr>
                    <w:t>燃烧分解物</w:t>
                  </w:r>
                </w:p>
              </w:tc>
              <w:tc>
                <w:tcPr>
                  <w:tcW w:w="1528" w:type="pct"/>
                  <w:gridSpan w:val="2"/>
                  <w:tcBorders>
                    <w:top w:val="single" w:color="000000" w:sz="4" w:space="0"/>
                    <w:left w:val="single" w:color="000000" w:sz="4" w:space="0"/>
                    <w:bottom w:val="single" w:color="000000" w:sz="4" w:space="0"/>
                    <w:right w:val="nil"/>
                  </w:tcBorders>
                  <w:vAlign w:val="center"/>
                </w:tcPr>
                <w:p w14:paraId="22F71855">
                  <w:pPr>
                    <w:pStyle w:val="80"/>
                    <w:rPr>
                      <w:color w:val="auto"/>
                      <w:sz w:val="21"/>
                      <w:szCs w:val="21"/>
                      <w:highlight w:val="none"/>
                    </w:rPr>
                  </w:pPr>
                  <w:r>
                    <w:rPr>
                      <w:rFonts w:hint="eastAsia"/>
                      <w:color w:val="auto"/>
                      <w:sz w:val="21"/>
                      <w:szCs w:val="21"/>
                      <w:highlight w:val="none"/>
                    </w:rPr>
                    <w:t>一氧化碳、二氧化碳</w:t>
                  </w:r>
                </w:p>
              </w:tc>
            </w:tr>
            <w:tr w14:paraId="53328582">
              <w:trPr>
                <w:cantSplit/>
              </w:trPr>
              <w:tc>
                <w:tcPr>
                  <w:tcW w:w="461" w:type="pct"/>
                  <w:gridSpan w:val="2"/>
                  <w:vMerge w:val="continue"/>
                  <w:tcBorders>
                    <w:top w:val="single" w:color="000000" w:sz="4" w:space="0"/>
                    <w:left w:val="nil"/>
                    <w:bottom w:val="single" w:color="000000" w:sz="4" w:space="0"/>
                    <w:right w:val="single" w:color="000000" w:sz="4" w:space="0"/>
                  </w:tcBorders>
                  <w:vAlign w:val="center"/>
                </w:tcPr>
                <w:p w14:paraId="07F8FFF3">
                  <w:pPr>
                    <w:pStyle w:val="80"/>
                    <w:rPr>
                      <w:color w:val="auto"/>
                      <w:sz w:val="21"/>
                      <w:szCs w:val="21"/>
                      <w:highlight w:val="none"/>
                    </w:rPr>
                  </w:pPr>
                </w:p>
              </w:tc>
              <w:tc>
                <w:tcPr>
                  <w:tcW w:w="834" w:type="pct"/>
                  <w:gridSpan w:val="2"/>
                  <w:tcBorders>
                    <w:top w:val="single" w:color="000000" w:sz="4" w:space="0"/>
                    <w:left w:val="single" w:color="000000" w:sz="4" w:space="0"/>
                    <w:bottom w:val="single" w:color="000000" w:sz="4" w:space="0"/>
                    <w:right w:val="single" w:color="000000" w:sz="4" w:space="0"/>
                  </w:tcBorders>
                  <w:vAlign w:val="center"/>
                </w:tcPr>
                <w:p w14:paraId="767FD3EF">
                  <w:pPr>
                    <w:pStyle w:val="80"/>
                    <w:rPr>
                      <w:color w:val="auto"/>
                      <w:sz w:val="21"/>
                      <w:szCs w:val="21"/>
                      <w:highlight w:val="none"/>
                    </w:rPr>
                  </w:pPr>
                  <w:r>
                    <w:rPr>
                      <w:color w:val="auto"/>
                      <w:sz w:val="21"/>
                      <w:szCs w:val="21"/>
                      <w:highlight w:val="none"/>
                    </w:rPr>
                    <w:t>闪点(℃)</w:t>
                  </w:r>
                </w:p>
              </w:tc>
              <w:tc>
                <w:tcPr>
                  <w:tcW w:w="963" w:type="pct"/>
                  <w:gridSpan w:val="2"/>
                  <w:tcBorders>
                    <w:top w:val="single" w:color="000000" w:sz="4" w:space="0"/>
                    <w:left w:val="single" w:color="000000" w:sz="4" w:space="0"/>
                    <w:bottom w:val="single" w:color="000000" w:sz="4" w:space="0"/>
                    <w:right w:val="single" w:color="000000" w:sz="4" w:space="0"/>
                  </w:tcBorders>
                  <w:vAlign w:val="center"/>
                </w:tcPr>
                <w:p w14:paraId="20F25CAE">
                  <w:pPr>
                    <w:pStyle w:val="80"/>
                    <w:rPr>
                      <w:color w:val="auto"/>
                      <w:sz w:val="21"/>
                      <w:szCs w:val="21"/>
                      <w:highlight w:val="none"/>
                    </w:rPr>
                  </w:pPr>
                  <w:r>
                    <w:rPr>
                      <w:rFonts w:hint="eastAsia"/>
                      <w:color w:val="auto"/>
                      <w:sz w:val="21"/>
                      <w:szCs w:val="21"/>
                      <w:highlight w:val="none"/>
                    </w:rPr>
                    <w:t>12</w:t>
                  </w:r>
                </w:p>
              </w:tc>
              <w:tc>
                <w:tcPr>
                  <w:tcW w:w="1212" w:type="pct"/>
                  <w:gridSpan w:val="3"/>
                  <w:tcBorders>
                    <w:top w:val="single" w:color="000000" w:sz="4" w:space="0"/>
                    <w:left w:val="single" w:color="000000" w:sz="4" w:space="0"/>
                    <w:bottom w:val="single" w:color="000000" w:sz="4" w:space="0"/>
                    <w:right w:val="single" w:color="000000" w:sz="4" w:space="0"/>
                  </w:tcBorders>
                  <w:vAlign w:val="center"/>
                </w:tcPr>
                <w:p w14:paraId="0CDA4592">
                  <w:pPr>
                    <w:pStyle w:val="80"/>
                    <w:rPr>
                      <w:color w:val="auto"/>
                      <w:sz w:val="21"/>
                      <w:szCs w:val="21"/>
                      <w:highlight w:val="none"/>
                    </w:rPr>
                  </w:pPr>
                  <w:r>
                    <w:rPr>
                      <w:color w:val="auto"/>
                      <w:sz w:val="21"/>
                      <w:szCs w:val="21"/>
                      <w:highlight w:val="none"/>
                    </w:rPr>
                    <w:t>爆炸上限%（v%v）：</w:t>
                  </w:r>
                </w:p>
              </w:tc>
              <w:tc>
                <w:tcPr>
                  <w:tcW w:w="1528" w:type="pct"/>
                  <w:gridSpan w:val="2"/>
                  <w:tcBorders>
                    <w:top w:val="single" w:color="000000" w:sz="4" w:space="0"/>
                    <w:left w:val="single" w:color="000000" w:sz="4" w:space="0"/>
                    <w:bottom w:val="single" w:color="000000" w:sz="4" w:space="0"/>
                    <w:right w:val="nil"/>
                  </w:tcBorders>
                  <w:vAlign w:val="center"/>
                </w:tcPr>
                <w:p w14:paraId="2CABBB05">
                  <w:pPr>
                    <w:pStyle w:val="80"/>
                    <w:rPr>
                      <w:color w:val="auto"/>
                      <w:sz w:val="21"/>
                      <w:szCs w:val="21"/>
                      <w:highlight w:val="none"/>
                    </w:rPr>
                  </w:pPr>
                  <w:r>
                    <w:rPr>
                      <w:rFonts w:hint="eastAsia"/>
                      <w:color w:val="auto"/>
                      <w:sz w:val="21"/>
                      <w:szCs w:val="21"/>
                      <w:highlight w:val="none"/>
                    </w:rPr>
                    <w:t>19.0</w:t>
                  </w:r>
                </w:p>
              </w:tc>
            </w:tr>
            <w:tr w14:paraId="08AB5A2B">
              <w:tblPrEx>
                <w:tblCellMar>
                  <w:top w:w="0" w:type="dxa"/>
                  <w:left w:w="108" w:type="dxa"/>
                  <w:bottom w:w="0" w:type="dxa"/>
                  <w:right w:w="108" w:type="dxa"/>
                </w:tblCellMar>
              </w:tblPrEx>
              <w:trPr>
                <w:cantSplit/>
              </w:trPr>
              <w:tc>
                <w:tcPr>
                  <w:tcW w:w="461" w:type="pct"/>
                  <w:gridSpan w:val="2"/>
                  <w:vMerge w:val="continue"/>
                  <w:tcBorders>
                    <w:top w:val="single" w:color="000000" w:sz="4" w:space="0"/>
                    <w:left w:val="nil"/>
                    <w:bottom w:val="single" w:color="000000" w:sz="4" w:space="0"/>
                    <w:right w:val="single" w:color="000000" w:sz="4" w:space="0"/>
                  </w:tcBorders>
                  <w:vAlign w:val="center"/>
                </w:tcPr>
                <w:p w14:paraId="5438AC22">
                  <w:pPr>
                    <w:pStyle w:val="80"/>
                    <w:rPr>
                      <w:color w:val="auto"/>
                      <w:sz w:val="21"/>
                      <w:szCs w:val="21"/>
                      <w:highlight w:val="none"/>
                    </w:rPr>
                  </w:pPr>
                </w:p>
              </w:tc>
              <w:tc>
                <w:tcPr>
                  <w:tcW w:w="834" w:type="pct"/>
                  <w:gridSpan w:val="2"/>
                  <w:tcBorders>
                    <w:top w:val="single" w:color="000000" w:sz="4" w:space="0"/>
                    <w:left w:val="single" w:color="000000" w:sz="4" w:space="0"/>
                    <w:bottom w:val="single" w:color="000000" w:sz="4" w:space="0"/>
                    <w:right w:val="single" w:color="000000" w:sz="4" w:space="0"/>
                  </w:tcBorders>
                  <w:vAlign w:val="center"/>
                </w:tcPr>
                <w:p w14:paraId="1D308160">
                  <w:pPr>
                    <w:pStyle w:val="80"/>
                    <w:rPr>
                      <w:color w:val="auto"/>
                      <w:sz w:val="21"/>
                      <w:szCs w:val="21"/>
                      <w:highlight w:val="none"/>
                    </w:rPr>
                  </w:pPr>
                  <w:r>
                    <w:rPr>
                      <w:color w:val="auto"/>
                      <w:sz w:val="21"/>
                      <w:szCs w:val="21"/>
                      <w:highlight w:val="none"/>
                    </w:rPr>
                    <w:t>引燃温度(℃)</w:t>
                  </w:r>
                </w:p>
              </w:tc>
              <w:tc>
                <w:tcPr>
                  <w:tcW w:w="963" w:type="pct"/>
                  <w:gridSpan w:val="2"/>
                  <w:tcBorders>
                    <w:top w:val="single" w:color="000000" w:sz="4" w:space="0"/>
                    <w:left w:val="single" w:color="000000" w:sz="4" w:space="0"/>
                    <w:bottom w:val="single" w:color="000000" w:sz="4" w:space="0"/>
                    <w:right w:val="single" w:color="000000" w:sz="4" w:space="0"/>
                  </w:tcBorders>
                  <w:vAlign w:val="center"/>
                </w:tcPr>
                <w:p w14:paraId="68DFFE5D">
                  <w:pPr>
                    <w:pStyle w:val="80"/>
                    <w:rPr>
                      <w:color w:val="auto"/>
                      <w:sz w:val="21"/>
                      <w:szCs w:val="21"/>
                      <w:highlight w:val="none"/>
                    </w:rPr>
                  </w:pPr>
                  <w:r>
                    <w:rPr>
                      <w:rFonts w:hint="eastAsia"/>
                      <w:color w:val="auto"/>
                      <w:sz w:val="21"/>
                      <w:szCs w:val="21"/>
                      <w:highlight w:val="none"/>
                    </w:rPr>
                    <w:t>363</w:t>
                  </w:r>
                </w:p>
              </w:tc>
              <w:tc>
                <w:tcPr>
                  <w:tcW w:w="1212" w:type="pct"/>
                  <w:gridSpan w:val="3"/>
                  <w:tcBorders>
                    <w:top w:val="single" w:color="000000" w:sz="4" w:space="0"/>
                    <w:left w:val="single" w:color="000000" w:sz="4" w:space="0"/>
                    <w:bottom w:val="single" w:color="000000" w:sz="4" w:space="0"/>
                    <w:right w:val="single" w:color="000000" w:sz="4" w:space="0"/>
                  </w:tcBorders>
                  <w:vAlign w:val="center"/>
                </w:tcPr>
                <w:p w14:paraId="742E225A">
                  <w:pPr>
                    <w:pStyle w:val="80"/>
                    <w:rPr>
                      <w:color w:val="auto"/>
                      <w:sz w:val="21"/>
                      <w:szCs w:val="21"/>
                      <w:highlight w:val="none"/>
                    </w:rPr>
                  </w:pPr>
                  <w:r>
                    <w:rPr>
                      <w:color w:val="auto"/>
                      <w:sz w:val="21"/>
                      <w:szCs w:val="21"/>
                      <w:highlight w:val="none"/>
                    </w:rPr>
                    <w:t>爆炸下限%（v%v）：</w:t>
                  </w:r>
                </w:p>
              </w:tc>
              <w:tc>
                <w:tcPr>
                  <w:tcW w:w="1528" w:type="pct"/>
                  <w:gridSpan w:val="2"/>
                  <w:tcBorders>
                    <w:top w:val="single" w:color="000000" w:sz="4" w:space="0"/>
                    <w:left w:val="single" w:color="000000" w:sz="4" w:space="0"/>
                    <w:bottom w:val="single" w:color="000000" w:sz="4" w:space="0"/>
                    <w:right w:val="nil"/>
                  </w:tcBorders>
                  <w:vAlign w:val="center"/>
                </w:tcPr>
                <w:p w14:paraId="28E8DE78">
                  <w:pPr>
                    <w:pStyle w:val="80"/>
                    <w:rPr>
                      <w:color w:val="auto"/>
                      <w:sz w:val="21"/>
                      <w:szCs w:val="21"/>
                      <w:highlight w:val="none"/>
                    </w:rPr>
                  </w:pPr>
                  <w:r>
                    <w:rPr>
                      <w:rFonts w:hint="eastAsia"/>
                      <w:color w:val="auto"/>
                      <w:sz w:val="21"/>
                      <w:szCs w:val="21"/>
                      <w:highlight w:val="none"/>
                    </w:rPr>
                    <w:t>3.3</w:t>
                  </w:r>
                </w:p>
              </w:tc>
            </w:tr>
            <w:tr w14:paraId="4168357C">
              <w:tblPrEx>
                <w:tblCellMar>
                  <w:top w:w="0" w:type="dxa"/>
                  <w:left w:w="108" w:type="dxa"/>
                  <w:bottom w:w="0" w:type="dxa"/>
                  <w:right w:w="108" w:type="dxa"/>
                </w:tblCellMar>
              </w:tblPrEx>
              <w:trPr>
                <w:cantSplit/>
              </w:trPr>
              <w:tc>
                <w:tcPr>
                  <w:tcW w:w="461" w:type="pct"/>
                  <w:gridSpan w:val="2"/>
                  <w:vMerge w:val="continue"/>
                  <w:tcBorders>
                    <w:top w:val="single" w:color="000000" w:sz="4" w:space="0"/>
                    <w:left w:val="nil"/>
                    <w:bottom w:val="single" w:color="000000" w:sz="4" w:space="0"/>
                    <w:right w:val="single" w:color="000000" w:sz="4" w:space="0"/>
                  </w:tcBorders>
                  <w:vAlign w:val="center"/>
                </w:tcPr>
                <w:p w14:paraId="30AEDC6B">
                  <w:pPr>
                    <w:pStyle w:val="80"/>
                    <w:rPr>
                      <w:color w:val="auto"/>
                      <w:sz w:val="21"/>
                      <w:szCs w:val="21"/>
                      <w:highlight w:val="none"/>
                    </w:rPr>
                  </w:pPr>
                </w:p>
              </w:tc>
              <w:tc>
                <w:tcPr>
                  <w:tcW w:w="834" w:type="pct"/>
                  <w:gridSpan w:val="2"/>
                  <w:tcBorders>
                    <w:top w:val="single" w:color="000000" w:sz="4" w:space="0"/>
                    <w:left w:val="single" w:color="000000" w:sz="4" w:space="0"/>
                    <w:bottom w:val="single" w:color="000000" w:sz="4" w:space="0"/>
                    <w:right w:val="single" w:color="000000" w:sz="4" w:space="0"/>
                  </w:tcBorders>
                  <w:vAlign w:val="center"/>
                </w:tcPr>
                <w:p w14:paraId="3F4AC292">
                  <w:pPr>
                    <w:pStyle w:val="80"/>
                    <w:rPr>
                      <w:color w:val="auto"/>
                      <w:sz w:val="21"/>
                      <w:szCs w:val="21"/>
                      <w:highlight w:val="none"/>
                    </w:rPr>
                  </w:pPr>
                  <w:r>
                    <w:rPr>
                      <w:color w:val="auto"/>
                      <w:sz w:val="21"/>
                      <w:szCs w:val="21"/>
                      <w:highlight w:val="none"/>
                    </w:rPr>
                    <w:t>危险特性</w:t>
                  </w:r>
                </w:p>
              </w:tc>
              <w:tc>
                <w:tcPr>
                  <w:tcW w:w="3704" w:type="pct"/>
                  <w:gridSpan w:val="7"/>
                  <w:tcBorders>
                    <w:top w:val="single" w:color="000000" w:sz="4" w:space="0"/>
                    <w:left w:val="single" w:color="000000" w:sz="4" w:space="0"/>
                    <w:bottom w:val="single" w:color="000000" w:sz="4" w:space="0"/>
                    <w:right w:val="nil"/>
                  </w:tcBorders>
                  <w:vAlign w:val="center"/>
                </w:tcPr>
                <w:p w14:paraId="321742BE">
                  <w:pPr>
                    <w:widowControl/>
                    <w:jc w:val="left"/>
                    <w:rPr>
                      <w:color w:val="auto"/>
                      <w:szCs w:val="21"/>
                      <w:highlight w:val="none"/>
                    </w:rPr>
                  </w:pPr>
                  <w:r>
                    <w:rPr>
                      <w:color w:val="auto"/>
                      <w:szCs w:val="21"/>
                      <w:highlight w:val="none"/>
                    </w:rPr>
                    <w:t>易燃，其蒸气与空气可形成爆炸性混合物。遇明火、高热能引起燃烧爆炸。与氧化剂接触发生化学反应或引起燃烧。在火场中，受热的容器有爆炸危险。其蒸气比空气重，能在较低处扩散到相当远的地方，遇明火会引着回燃。</w:t>
                  </w:r>
                </w:p>
              </w:tc>
            </w:tr>
            <w:tr w14:paraId="3F9BEE87">
              <w:tblPrEx>
                <w:tblCellMar>
                  <w:top w:w="0" w:type="dxa"/>
                  <w:left w:w="108" w:type="dxa"/>
                  <w:bottom w:w="0" w:type="dxa"/>
                  <w:right w:w="108" w:type="dxa"/>
                </w:tblCellMar>
              </w:tblPrEx>
              <w:trPr>
                <w:cantSplit/>
              </w:trPr>
              <w:tc>
                <w:tcPr>
                  <w:tcW w:w="1295" w:type="pct"/>
                  <w:gridSpan w:val="4"/>
                  <w:tcBorders>
                    <w:top w:val="single" w:color="000000" w:sz="4" w:space="0"/>
                    <w:left w:val="nil"/>
                    <w:bottom w:val="single" w:color="000000" w:sz="4" w:space="0"/>
                    <w:right w:val="single" w:color="000000" w:sz="4" w:space="0"/>
                  </w:tcBorders>
                  <w:vAlign w:val="center"/>
                </w:tcPr>
                <w:p w14:paraId="55D8B44E">
                  <w:pPr>
                    <w:pStyle w:val="80"/>
                    <w:rPr>
                      <w:color w:val="auto"/>
                      <w:sz w:val="21"/>
                      <w:szCs w:val="21"/>
                      <w:highlight w:val="none"/>
                    </w:rPr>
                  </w:pPr>
                  <w:r>
                    <w:rPr>
                      <w:rFonts w:hint="eastAsia"/>
                      <w:color w:val="auto"/>
                      <w:sz w:val="21"/>
                      <w:szCs w:val="21"/>
                      <w:highlight w:val="none"/>
                    </w:rPr>
                    <w:t>防护</w:t>
                  </w:r>
                </w:p>
              </w:tc>
              <w:tc>
                <w:tcPr>
                  <w:tcW w:w="3704" w:type="pct"/>
                  <w:gridSpan w:val="7"/>
                  <w:tcBorders>
                    <w:top w:val="single" w:color="000000" w:sz="4" w:space="0"/>
                    <w:left w:val="single" w:color="000000" w:sz="4" w:space="0"/>
                    <w:bottom w:val="single" w:color="000000" w:sz="4" w:space="0"/>
                    <w:right w:val="nil"/>
                  </w:tcBorders>
                  <w:vAlign w:val="center"/>
                </w:tcPr>
                <w:p w14:paraId="758A0181">
                  <w:pPr>
                    <w:widowControl/>
                    <w:jc w:val="left"/>
                    <w:rPr>
                      <w:color w:val="auto"/>
                      <w:szCs w:val="21"/>
                      <w:highlight w:val="none"/>
                    </w:rPr>
                  </w:pPr>
                  <w:r>
                    <w:rPr>
                      <w:color w:val="auto"/>
                      <w:szCs w:val="21"/>
                      <w:highlight w:val="none"/>
                    </w:rPr>
                    <w:t xml:space="preserve">工程控制：生产过程密闭，全面通风。提供安全淋浴和洗眼设备。 </w:t>
                  </w:r>
                </w:p>
                <w:p w14:paraId="4A68A4A7">
                  <w:pPr>
                    <w:widowControl/>
                    <w:jc w:val="left"/>
                    <w:rPr>
                      <w:color w:val="auto"/>
                      <w:szCs w:val="21"/>
                      <w:highlight w:val="none"/>
                    </w:rPr>
                  </w:pPr>
                  <w:r>
                    <w:rPr>
                      <w:color w:val="auto"/>
                      <w:szCs w:val="21"/>
                      <w:highlight w:val="none"/>
                    </w:rPr>
                    <w:t>呼吸系统防护：一般不需要特殊防护，高浓度接触时佩戴过滤式防毒面具（半面罩）。</w:t>
                  </w:r>
                </w:p>
                <w:p w14:paraId="2B817F00">
                  <w:pPr>
                    <w:widowControl/>
                    <w:jc w:val="left"/>
                    <w:rPr>
                      <w:color w:val="auto"/>
                      <w:szCs w:val="21"/>
                      <w:highlight w:val="none"/>
                    </w:rPr>
                  </w:pPr>
                  <w:r>
                    <w:rPr>
                      <w:color w:val="auto"/>
                      <w:szCs w:val="21"/>
                      <w:highlight w:val="none"/>
                    </w:rPr>
                    <w:t>身体防护：穿防静电工作服。</w:t>
                  </w:r>
                </w:p>
                <w:p w14:paraId="21F1DECC">
                  <w:pPr>
                    <w:widowControl/>
                    <w:jc w:val="left"/>
                    <w:rPr>
                      <w:color w:val="auto"/>
                      <w:szCs w:val="21"/>
                      <w:highlight w:val="none"/>
                    </w:rPr>
                  </w:pPr>
                  <w:r>
                    <w:rPr>
                      <w:color w:val="auto"/>
                      <w:szCs w:val="21"/>
                      <w:highlight w:val="none"/>
                    </w:rPr>
                    <w:t>手防护：戴一般作业手套。</w:t>
                  </w:r>
                </w:p>
                <w:p w14:paraId="56FCE9A3">
                  <w:pPr>
                    <w:widowControl/>
                    <w:jc w:val="left"/>
                    <w:rPr>
                      <w:color w:val="auto"/>
                      <w:szCs w:val="21"/>
                      <w:highlight w:val="none"/>
                    </w:rPr>
                  </w:pPr>
                  <w:r>
                    <w:rPr>
                      <w:color w:val="auto"/>
                      <w:szCs w:val="21"/>
                      <w:highlight w:val="none"/>
                    </w:rPr>
                    <w:t>其他防护：工作场所禁止吸烟。</w:t>
                  </w:r>
                </w:p>
              </w:tc>
            </w:tr>
            <w:tr w14:paraId="09041E92">
              <w:tblPrEx>
                <w:tblCellMar>
                  <w:top w:w="0" w:type="dxa"/>
                  <w:left w:w="108" w:type="dxa"/>
                  <w:bottom w:w="0" w:type="dxa"/>
                  <w:right w:w="108" w:type="dxa"/>
                </w:tblCellMar>
              </w:tblPrEx>
              <w:trPr>
                <w:cantSplit/>
              </w:trPr>
              <w:tc>
                <w:tcPr>
                  <w:tcW w:w="1295" w:type="pct"/>
                  <w:gridSpan w:val="4"/>
                  <w:tcBorders>
                    <w:top w:val="single" w:color="000000" w:sz="4" w:space="0"/>
                    <w:bottom w:val="single" w:color="000000" w:sz="4" w:space="0"/>
                  </w:tcBorders>
                  <w:vAlign w:val="center"/>
                </w:tcPr>
                <w:p w14:paraId="5C1A827D">
                  <w:pPr>
                    <w:pStyle w:val="80"/>
                    <w:rPr>
                      <w:color w:val="auto"/>
                      <w:sz w:val="21"/>
                      <w:szCs w:val="21"/>
                      <w:highlight w:val="none"/>
                    </w:rPr>
                  </w:pPr>
                  <w:r>
                    <w:rPr>
                      <w:rFonts w:hint="eastAsia"/>
                      <w:color w:val="auto"/>
                      <w:sz w:val="21"/>
                      <w:szCs w:val="21"/>
                      <w:highlight w:val="none"/>
                    </w:rPr>
                    <w:t>泄漏</w:t>
                  </w:r>
                </w:p>
              </w:tc>
              <w:tc>
                <w:tcPr>
                  <w:tcW w:w="3704" w:type="pct"/>
                  <w:gridSpan w:val="7"/>
                  <w:tcBorders>
                    <w:top w:val="single" w:color="000000" w:sz="4" w:space="0"/>
                    <w:left w:val="single" w:color="000000" w:sz="4" w:space="0"/>
                    <w:bottom w:val="single" w:color="000000" w:sz="4" w:space="0"/>
                  </w:tcBorders>
                  <w:vAlign w:val="center"/>
                </w:tcPr>
                <w:p w14:paraId="000CE043">
                  <w:pPr>
                    <w:pStyle w:val="80"/>
                    <w:rPr>
                      <w:color w:val="auto"/>
                      <w:sz w:val="21"/>
                      <w:szCs w:val="21"/>
                      <w:highlight w:val="none"/>
                    </w:rPr>
                  </w:pPr>
                  <w:r>
                    <w:rPr>
                      <w:rFonts w:hint="eastAsia"/>
                      <w:color w:val="auto"/>
                      <w:sz w:val="21"/>
                      <w:szCs w:val="21"/>
                      <w:highlight w:val="none"/>
                    </w:rPr>
                    <w:t>迅速撤离泄漏污染区人员至安全区，并进行隔离，严格限制出入。切断火源。建议应急处理 人员戴自给式呼吸器，穿消防防护服。尽可能切断泄漏源，防止进入下水道排洪沟等限制性 空间。小量泄漏：用砂土或</w:t>
                  </w:r>
                  <w:r>
                    <w:rPr>
                      <w:rFonts w:hint="eastAsia"/>
                      <w:color w:val="auto"/>
                      <w:sz w:val="21"/>
                      <w:szCs w:val="21"/>
                      <w:highlight w:val="none"/>
                      <w:lang w:eastAsia="zh-CN"/>
                    </w:rPr>
                    <w:t>其他不</w:t>
                  </w:r>
                  <w:r>
                    <w:rPr>
                      <w:rFonts w:hint="eastAsia"/>
                      <w:color w:val="auto"/>
                      <w:sz w:val="21"/>
                      <w:szCs w:val="21"/>
                      <w:highlight w:val="none"/>
                    </w:rPr>
                    <w:t>燃材料吸附或吸收。也可以用大量水冲洗，洗水稀释后放入废水系统。大量泄漏：构筑围堤或挖坑收容；用泡沫覆盖，降低蒸气灾害。用防爆泵转移 至槽车或专用收集器内，回收或运至废物处理场所处置。</w:t>
                  </w:r>
                </w:p>
              </w:tc>
            </w:tr>
            <w:tr w14:paraId="1B9F228F">
              <w:tblPrEx>
                <w:tblCellMar>
                  <w:top w:w="0" w:type="dxa"/>
                  <w:left w:w="108" w:type="dxa"/>
                  <w:bottom w:w="0" w:type="dxa"/>
                  <w:right w:w="108" w:type="dxa"/>
                </w:tblCellMar>
              </w:tblPrEx>
              <w:trPr>
                <w:cantSplit/>
              </w:trPr>
              <w:tc>
                <w:tcPr>
                  <w:tcW w:w="1295" w:type="pct"/>
                  <w:gridSpan w:val="4"/>
                  <w:tcBorders>
                    <w:top w:val="single" w:color="000000" w:sz="4" w:space="0"/>
                    <w:bottom w:val="single" w:color="000000" w:sz="12" w:space="0"/>
                  </w:tcBorders>
                  <w:vAlign w:val="center"/>
                </w:tcPr>
                <w:p w14:paraId="7E156B4D">
                  <w:pPr>
                    <w:pStyle w:val="80"/>
                    <w:rPr>
                      <w:color w:val="auto"/>
                      <w:sz w:val="21"/>
                      <w:szCs w:val="21"/>
                      <w:highlight w:val="none"/>
                    </w:rPr>
                  </w:pPr>
                  <w:r>
                    <w:rPr>
                      <w:rFonts w:hint="eastAsia"/>
                      <w:color w:val="auto"/>
                      <w:sz w:val="21"/>
                      <w:szCs w:val="21"/>
                      <w:highlight w:val="none"/>
                    </w:rPr>
                    <w:t>急救</w:t>
                  </w:r>
                </w:p>
              </w:tc>
              <w:tc>
                <w:tcPr>
                  <w:tcW w:w="3704" w:type="pct"/>
                  <w:gridSpan w:val="7"/>
                  <w:tcBorders>
                    <w:top w:val="single" w:color="000000" w:sz="4" w:space="0"/>
                    <w:left w:val="single" w:color="000000" w:sz="4" w:space="0"/>
                    <w:bottom w:val="single" w:color="000000" w:sz="12" w:space="0"/>
                  </w:tcBorders>
                  <w:vAlign w:val="center"/>
                </w:tcPr>
                <w:p w14:paraId="16C27389">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皮肤接触：脱去被污染的衣着，用流动清水冲洗。</w:t>
                  </w:r>
                </w:p>
                <w:p w14:paraId="3CD71B46">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眼睛</w:t>
                  </w:r>
                  <w:r>
                    <w:rPr>
                      <w:rFonts w:hint="eastAsia" w:ascii="宋体" w:hAnsi="宋体" w:cs="宋体"/>
                      <w:color w:val="auto"/>
                      <w:kern w:val="0"/>
                      <w:szCs w:val="21"/>
                      <w:highlight w:val="none"/>
                      <w:lang w:bidi="ar"/>
                    </w:rPr>
                    <w:t>接触：提起眼睑，用流动清水或生理盐水冲洗。就医。</w:t>
                  </w:r>
                </w:p>
                <w:p w14:paraId="233E115E">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吸入：迅速脱离现场至空气新鲜处。就医。</w:t>
                  </w:r>
                </w:p>
                <w:p w14:paraId="1F2CFAD3">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食入：饮足量温水，催吐。就医。</w:t>
                  </w:r>
                </w:p>
              </w:tc>
            </w:tr>
          </w:tbl>
          <w:p w14:paraId="5183B206">
            <w:pPr>
              <w:widowControl/>
              <w:spacing w:line="360" w:lineRule="auto"/>
              <w:ind w:firstLine="456" w:firstLineChars="200"/>
              <w:jc w:val="left"/>
              <w:rPr>
                <w:rFonts w:hint="eastAsia"/>
                <w:color w:val="auto"/>
                <w:spacing w:val="-6"/>
                <w:kern w:val="0"/>
                <w:sz w:val="24"/>
                <w:highlight w:val="none"/>
              </w:rPr>
            </w:pPr>
          </w:p>
          <w:p w14:paraId="114C9815">
            <w:pPr>
              <w:widowControl/>
              <w:spacing w:line="360" w:lineRule="auto"/>
              <w:ind w:firstLine="456" w:firstLineChars="200"/>
              <w:jc w:val="left"/>
              <w:rPr>
                <w:color w:val="auto"/>
                <w:spacing w:val="-6"/>
                <w:kern w:val="0"/>
                <w:sz w:val="24"/>
                <w:highlight w:val="none"/>
              </w:rPr>
            </w:pPr>
            <w:r>
              <w:rPr>
                <w:rFonts w:hint="eastAsia"/>
                <w:color w:val="auto"/>
                <w:spacing w:val="-6"/>
                <w:kern w:val="0"/>
                <w:sz w:val="24"/>
                <w:highlight w:val="none"/>
              </w:rPr>
              <w:t>2生产系统风险识别</w:t>
            </w:r>
          </w:p>
          <w:p w14:paraId="427323FD">
            <w:pPr>
              <w:widowControl/>
              <w:spacing w:line="360" w:lineRule="auto"/>
              <w:ind w:firstLine="456" w:firstLineChars="200"/>
              <w:jc w:val="left"/>
              <w:rPr>
                <w:color w:val="auto"/>
                <w:spacing w:val="-6"/>
                <w:kern w:val="0"/>
                <w:sz w:val="24"/>
                <w:highlight w:val="none"/>
              </w:rPr>
            </w:pPr>
            <w:r>
              <w:rPr>
                <w:rFonts w:hint="eastAsia"/>
                <w:color w:val="auto"/>
                <w:spacing w:val="-6"/>
                <w:kern w:val="0"/>
                <w:sz w:val="24"/>
                <w:highlight w:val="none"/>
              </w:rPr>
              <w:t>生产系统危险性识别，主要根据《建设项目环境风险评价技术导则》（HJ169-2018）附录B对医院运营过程和使用原料所涉及的危险生产系统危险性识别，包括主要储运设施、辅助生产设施，以及环境保护设施等。</w:t>
            </w:r>
          </w:p>
          <w:p w14:paraId="563869E4">
            <w:pPr>
              <w:widowControl/>
              <w:spacing w:line="360" w:lineRule="auto"/>
              <w:ind w:firstLine="456" w:firstLineChars="200"/>
              <w:jc w:val="left"/>
              <w:rPr>
                <w:color w:val="auto"/>
                <w:spacing w:val="-6"/>
                <w:kern w:val="0"/>
                <w:sz w:val="24"/>
                <w:highlight w:val="none"/>
              </w:rPr>
            </w:pPr>
            <w:r>
              <w:rPr>
                <w:rFonts w:hint="eastAsia"/>
                <w:color w:val="auto"/>
                <w:spacing w:val="-6"/>
                <w:kern w:val="0"/>
                <w:sz w:val="24"/>
                <w:highlight w:val="none"/>
              </w:rPr>
              <w:t>（1）储存设施</w:t>
            </w:r>
          </w:p>
          <w:p w14:paraId="4D432685">
            <w:pPr>
              <w:widowControl/>
              <w:spacing w:line="360" w:lineRule="auto"/>
              <w:ind w:firstLine="456" w:firstLineChars="200"/>
              <w:jc w:val="left"/>
              <w:rPr>
                <w:color w:val="auto"/>
                <w:spacing w:val="-6"/>
                <w:kern w:val="0"/>
                <w:sz w:val="24"/>
                <w:highlight w:val="none"/>
              </w:rPr>
            </w:pPr>
            <w:r>
              <w:rPr>
                <w:rFonts w:hint="eastAsia"/>
                <w:color w:val="auto"/>
                <w:spacing w:val="-6"/>
                <w:kern w:val="0"/>
                <w:sz w:val="24"/>
                <w:highlight w:val="none"/>
              </w:rPr>
              <w:t>储运设施风险主要来源于污水处理站储存的次氯酸钠、药库存放的消毒酒精。</w:t>
            </w:r>
          </w:p>
          <w:p w14:paraId="24299C3A">
            <w:pPr>
              <w:widowControl/>
              <w:spacing w:line="360" w:lineRule="auto"/>
              <w:ind w:firstLine="456" w:firstLineChars="200"/>
              <w:jc w:val="left"/>
              <w:rPr>
                <w:color w:val="auto"/>
                <w:spacing w:val="-6"/>
                <w:kern w:val="0"/>
                <w:sz w:val="24"/>
                <w:highlight w:val="none"/>
              </w:rPr>
            </w:pPr>
            <w:r>
              <w:rPr>
                <w:rFonts w:hint="eastAsia"/>
                <w:color w:val="auto"/>
                <w:spacing w:val="-6"/>
                <w:kern w:val="0"/>
                <w:sz w:val="24"/>
                <w:highlight w:val="none"/>
              </w:rPr>
              <w:t>（2）工程环保设施</w:t>
            </w:r>
          </w:p>
          <w:p w14:paraId="6B5B23BA">
            <w:pPr>
              <w:widowControl/>
              <w:spacing w:line="360" w:lineRule="auto"/>
              <w:ind w:firstLine="456" w:firstLineChars="200"/>
              <w:jc w:val="left"/>
              <w:rPr>
                <w:b/>
                <w:bCs/>
                <w:color w:val="auto"/>
                <w:spacing w:val="-6"/>
                <w:kern w:val="0"/>
                <w:sz w:val="24"/>
                <w:highlight w:val="none"/>
              </w:rPr>
            </w:pPr>
            <w:r>
              <w:rPr>
                <w:rFonts w:hint="eastAsia"/>
                <w:color w:val="auto"/>
                <w:spacing w:val="-6"/>
                <w:kern w:val="0"/>
                <w:sz w:val="24"/>
                <w:highlight w:val="none"/>
              </w:rPr>
              <w:t>工程环保设施及辅助生产设施风险主要来源于废气处理设施、废水处理设施</w:t>
            </w:r>
          </w:p>
          <w:p w14:paraId="22767B6D">
            <w:pPr>
              <w:widowControl/>
              <w:spacing w:line="360" w:lineRule="auto"/>
              <w:ind w:firstLine="458" w:firstLineChars="200"/>
              <w:jc w:val="left"/>
              <w:rPr>
                <w:color w:val="auto"/>
                <w:spacing w:val="-6"/>
                <w:kern w:val="0"/>
                <w:sz w:val="24"/>
                <w:highlight w:val="none"/>
              </w:rPr>
            </w:pPr>
            <w:r>
              <w:rPr>
                <w:rFonts w:hint="eastAsia"/>
                <w:b/>
                <w:bCs/>
                <w:color w:val="auto"/>
                <w:spacing w:val="-6"/>
                <w:kern w:val="0"/>
                <w:sz w:val="24"/>
                <w:highlight w:val="none"/>
              </w:rPr>
              <w:t>6.1</w:t>
            </w:r>
            <w:r>
              <w:rPr>
                <w:b/>
                <w:bCs/>
                <w:color w:val="auto"/>
                <w:sz w:val="24"/>
                <w:highlight w:val="none"/>
              </w:rPr>
              <w:t>风险潜势初判</w:t>
            </w:r>
          </w:p>
          <w:p w14:paraId="3669CAF5">
            <w:pPr>
              <w:widowControl/>
              <w:spacing w:line="360" w:lineRule="auto"/>
              <w:ind w:firstLine="456" w:firstLineChars="200"/>
              <w:jc w:val="left"/>
              <w:rPr>
                <w:color w:val="auto"/>
                <w:spacing w:val="-4"/>
                <w:sz w:val="24"/>
                <w:highlight w:val="none"/>
              </w:rPr>
            </w:pPr>
            <w:r>
              <w:rPr>
                <w:color w:val="auto"/>
                <w:spacing w:val="-6"/>
                <w:kern w:val="0"/>
                <w:sz w:val="24"/>
                <w:highlight w:val="none"/>
              </w:rPr>
              <w:t>根据《建设项目环境风险评价技术导则》（HJ169-2018）附录B</w:t>
            </w:r>
            <w:r>
              <w:rPr>
                <w:rFonts w:hint="eastAsia"/>
                <w:color w:val="auto"/>
                <w:spacing w:val="-6"/>
                <w:kern w:val="0"/>
                <w:sz w:val="24"/>
                <w:highlight w:val="none"/>
                <w:lang w:eastAsia="zh-CN"/>
              </w:rPr>
              <w:t>及《危险化学品重大危险源辨识》（</w:t>
            </w:r>
            <w:r>
              <w:rPr>
                <w:rFonts w:hint="eastAsia"/>
                <w:color w:val="auto"/>
                <w:spacing w:val="-6"/>
                <w:kern w:val="0"/>
                <w:sz w:val="24"/>
                <w:highlight w:val="none"/>
                <w:lang w:val="en-US" w:eastAsia="zh-CN"/>
              </w:rPr>
              <w:t>GB18218-2018</w:t>
            </w:r>
            <w:r>
              <w:rPr>
                <w:rFonts w:hint="eastAsia"/>
                <w:color w:val="auto"/>
                <w:spacing w:val="-6"/>
                <w:kern w:val="0"/>
                <w:sz w:val="24"/>
                <w:highlight w:val="none"/>
                <w:lang w:eastAsia="zh-CN"/>
              </w:rPr>
              <w:t>）</w:t>
            </w:r>
            <w:r>
              <w:rPr>
                <w:color w:val="auto"/>
                <w:spacing w:val="-6"/>
                <w:kern w:val="0"/>
                <w:sz w:val="24"/>
                <w:highlight w:val="none"/>
              </w:rPr>
              <w:t>中风险物质。</w:t>
            </w:r>
            <w:r>
              <w:rPr>
                <w:color w:val="auto"/>
                <w:spacing w:val="-6"/>
                <w:sz w:val="24"/>
                <w:highlight w:val="none"/>
              </w:rPr>
              <w:t>本项目主要风险物</w:t>
            </w:r>
            <w:r>
              <w:rPr>
                <w:color w:val="auto"/>
                <w:spacing w:val="-5"/>
                <w:sz w:val="24"/>
                <w:highlight w:val="none"/>
              </w:rPr>
              <w:t>质</w:t>
            </w:r>
            <w:r>
              <w:rPr>
                <w:color w:val="auto"/>
                <w:spacing w:val="-3"/>
                <w:sz w:val="24"/>
                <w:highlight w:val="none"/>
              </w:rPr>
              <w:t>为</w:t>
            </w:r>
            <w:r>
              <w:rPr>
                <w:rFonts w:hint="eastAsia"/>
                <w:color w:val="auto"/>
                <w:spacing w:val="-3"/>
                <w:sz w:val="24"/>
                <w:highlight w:val="none"/>
              </w:rPr>
              <w:t>用来</w:t>
            </w:r>
            <w:r>
              <w:rPr>
                <w:rFonts w:hint="eastAsia"/>
                <w:color w:val="auto"/>
                <w:spacing w:val="-3"/>
                <w:sz w:val="24"/>
                <w:highlight w:val="none"/>
                <w:lang w:eastAsia="zh-CN"/>
              </w:rPr>
              <w:t>污水</w:t>
            </w:r>
            <w:r>
              <w:rPr>
                <w:rFonts w:hint="eastAsia"/>
                <w:color w:val="auto"/>
                <w:spacing w:val="-3"/>
                <w:sz w:val="24"/>
                <w:highlight w:val="none"/>
              </w:rPr>
              <w:t>消毒的</w:t>
            </w:r>
            <w:r>
              <w:rPr>
                <w:rFonts w:hint="eastAsia"/>
                <w:color w:val="auto"/>
                <w:spacing w:val="-3"/>
                <w:sz w:val="24"/>
                <w:highlight w:val="none"/>
                <w:lang w:eastAsia="zh-CN"/>
              </w:rPr>
              <w:t>次氯酸钠及日常消毒的酒精（乙醇）</w:t>
            </w:r>
            <w:r>
              <w:rPr>
                <w:color w:val="auto"/>
                <w:spacing w:val="-3"/>
                <w:sz w:val="24"/>
                <w:highlight w:val="none"/>
              </w:rPr>
              <w:t>，</w:t>
            </w:r>
            <w:r>
              <w:rPr>
                <w:color w:val="auto"/>
                <w:spacing w:val="-4"/>
                <w:sz w:val="24"/>
                <w:highlight w:val="none"/>
              </w:rPr>
              <w:t>风险物质数量及分布情况详见</w:t>
            </w:r>
            <w:r>
              <w:rPr>
                <w:rFonts w:hint="eastAsia"/>
                <w:color w:val="auto"/>
                <w:spacing w:val="-4"/>
                <w:sz w:val="24"/>
                <w:highlight w:val="none"/>
              </w:rPr>
              <w:t>下表</w:t>
            </w:r>
            <w:r>
              <w:rPr>
                <w:color w:val="auto"/>
                <w:spacing w:val="-4"/>
                <w:sz w:val="24"/>
                <w:highlight w:val="none"/>
              </w:rPr>
              <w:t>。</w:t>
            </w:r>
          </w:p>
          <w:p w14:paraId="08EC9E8B">
            <w:pPr>
              <w:autoSpaceDE w:val="0"/>
              <w:autoSpaceDN w:val="0"/>
              <w:jc w:val="center"/>
              <w:rPr>
                <w:b/>
                <w:bCs/>
                <w:i/>
                <w:iCs/>
                <w:color w:val="auto"/>
                <w:kern w:val="0"/>
                <w:sz w:val="24"/>
                <w:highlight w:val="none"/>
                <w:u w:val="single"/>
              </w:rPr>
            </w:pPr>
          </w:p>
          <w:p w14:paraId="06E8116C">
            <w:pPr>
              <w:autoSpaceDE w:val="0"/>
              <w:autoSpaceDN w:val="0"/>
              <w:jc w:val="center"/>
              <w:rPr>
                <w:b/>
                <w:bCs/>
                <w:i/>
                <w:iCs/>
                <w:color w:val="auto"/>
                <w:kern w:val="0"/>
                <w:sz w:val="24"/>
                <w:highlight w:val="none"/>
                <w:u w:val="single"/>
              </w:rPr>
            </w:pPr>
          </w:p>
          <w:p w14:paraId="139BE1FD">
            <w:pPr>
              <w:autoSpaceDE w:val="0"/>
              <w:autoSpaceDN w:val="0"/>
              <w:jc w:val="center"/>
              <w:rPr>
                <w:b/>
                <w:bCs/>
                <w:i/>
                <w:iCs/>
                <w:color w:val="auto"/>
                <w:kern w:val="0"/>
                <w:sz w:val="24"/>
                <w:highlight w:val="none"/>
                <w:u w:val="single"/>
              </w:rPr>
            </w:pPr>
            <w:r>
              <w:rPr>
                <w:b/>
                <w:bCs/>
                <w:i/>
                <w:iCs/>
                <w:color w:val="auto"/>
                <w:kern w:val="0"/>
                <w:sz w:val="24"/>
                <w:highlight w:val="none"/>
                <w:u w:val="single"/>
              </w:rPr>
              <w:t>表4-</w:t>
            </w:r>
            <w:r>
              <w:rPr>
                <w:rFonts w:hint="eastAsia"/>
                <w:b/>
                <w:bCs/>
                <w:i/>
                <w:iCs/>
                <w:color w:val="auto"/>
                <w:kern w:val="0"/>
                <w:sz w:val="24"/>
                <w:highlight w:val="none"/>
                <w:u w:val="single"/>
              </w:rPr>
              <w:t>18</w:t>
            </w:r>
            <w:r>
              <w:rPr>
                <w:b/>
                <w:bCs/>
                <w:i/>
                <w:iCs/>
                <w:color w:val="auto"/>
                <w:kern w:val="0"/>
                <w:sz w:val="24"/>
                <w:highlight w:val="none"/>
                <w:u w:val="single"/>
              </w:rPr>
              <w:t xml:space="preserve"> </w:t>
            </w:r>
            <w:r>
              <w:rPr>
                <w:rFonts w:hint="eastAsia"/>
                <w:b/>
                <w:bCs/>
                <w:i/>
                <w:iCs/>
                <w:color w:val="auto"/>
                <w:kern w:val="0"/>
                <w:sz w:val="24"/>
                <w:highlight w:val="none"/>
                <w:u w:val="single"/>
                <w:lang w:eastAsia="zh-CN"/>
              </w:rPr>
              <w:t>风险</w:t>
            </w:r>
            <w:r>
              <w:rPr>
                <w:b/>
                <w:bCs/>
                <w:i/>
                <w:iCs/>
                <w:color w:val="auto"/>
                <w:kern w:val="0"/>
                <w:sz w:val="24"/>
                <w:highlight w:val="none"/>
                <w:u w:val="single"/>
              </w:rPr>
              <w:t>物质数量及分布情况</w:t>
            </w:r>
          </w:p>
          <w:bookmarkEnd w:id="37"/>
          <w:bookmarkEnd w:id="38"/>
          <w:bookmarkEnd w:id="39"/>
          <w:tbl>
            <w:tblPr>
              <w:tblStyle w:val="52"/>
              <w:tblW w:w="4997" w:type="pct"/>
              <w:tblInd w:w="0" w:type="dxa"/>
              <w:tblBorders>
                <w:top w:val="single" w:color="000000" w:sz="12" w:space="0"/>
                <w:left w:val="none" w:color="auto" w:sz="0" w:space="0"/>
                <w:bottom w:val="single" w:color="000000" w:sz="12" w:space="0"/>
                <w:right w:val="none" w:color="auto" w:sz="0" w:space="0"/>
                <w:insideH w:val="single" w:color="000000" w:sz="2" w:space="0"/>
                <w:insideV w:val="single" w:color="000000" w:sz="6" w:space="0"/>
              </w:tblBorders>
              <w:tblLayout w:type="fixed"/>
              <w:tblCellMar>
                <w:top w:w="0" w:type="dxa"/>
                <w:left w:w="0" w:type="dxa"/>
                <w:bottom w:w="0" w:type="dxa"/>
                <w:right w:w="0" w:type="dxa"/>
              </w:tblCellMar>
            </w:tblPr>
            <w:tblGrid>
              <w:gridCol w:w="688"/>
              <w:gridCol w:w="1217"/>
              <w:gridCol w:w="1306"/>
              <w:gridCol w:w="1422"/>
              <w:gridCol w:w="946"/>
              <w:gridCol w:w="946"/>
              <w:gridCol w:w="1888"/>
            </w:tblGrid>
            <w:tr w14:paraId="240838DD">
              <w:tblPrEx>
                <w:tblBorders>
                  <w:top w:val="single" w:color="000000" w:sz="12" w:space="0"/>
                  <w:left w:val="none" w:color="auto" w:sz="0" w:space="0"/>
                  <w:bottom w:val="single" w:color="000000" w:sz="12" w:space="0"/>
                  <w:right w:val="none" w:color="auto" w:sz="0" w:space="0"/>
                  <w:insideH w:val="single" w:color="000000" w:sz="2" w:space="0"/>
                  <w:insideV w:val="single" w:color="000000" w:sz="6" w:space="0"/>
                </w:tblBorders>
                <w:tblCellMar>
                  <w:top w:w="0" w:type="dxa"/>
                  <w:left w:w="0" w:type="dxa"/>
                  <w:bottom w:w="0" w:type="dxa"/>
                  <w:right w:w="0" w:type="dxa"/>
                </w:tblCellMar>
              </w:tblPrEx>
              <w:trPr>
                <w:trHeight w:val="552" w:hRule="atLeast"/>
              </w:trPr>
              <w:tc>
                <w:tcPr>
                  <w:tcW w:w="409" w:type="pct"/>
                  <w:tcBorders>
                    <w:tl2br w:val="nil"/>
                    <w:tr2bl w:val="nil"/>
                  </w:tcBorders>
                  <w:vAlign w:val="center"/>
                </w:tcPr>
                <w:p w14:paraId="5E39573D">
                  <w:pPr>
                    <w:jc w:val="center"/>
                    <w:rPr>
                      <w:i/>
                      <w:iCs/>
                      <w:color w:val="auto"/>
                      <w:szCs w:val="21"/>
                      <w:highlight w:val="none"/>
                      <w:u w:val="single"/>
                    </w:rPr>
                  </w:pPr>
                  <w:r>
                    <w:rPr>
                      <w:i/>
                      <w:iCs/>
                      <w:color w:val="auto"/>
                      <w:spacing w:val="-2"/>
                      <w:szCs w:val="21"/>
                      <w:highlight w:val="none"/>
                      <w:u w:val="single"/>
                    </w:rPr>
                    <w:t>序</w:t>
                  </w:r>
                  <w:r>
                    <w:rPr>
                      <w:i/>
                      <w:iCs/>
                      <w:color w:val="auto"/>
                      <w:spacing w:val="-1"/>
                      <w:szCs w:val="21"/>
                      <w:highlight w:val="none"/>
                      <w:u w:val="single"/>
                    </w:rPr>
                    <w:t>号</w:t>
                  </w:r>
                </w:p>
              </w:tc>
              <w:tc>
                <w:tcPr>
                  <w:tcW w:w="723" w:type="pct"/>
                  <w:tcBorders>
                    <w:tl2br w:val="nil"/>
                    <w:tr2bl w:val="nil"/>
                  </w:tcBorders>
                  <w:vAlign w:val="center"/>
                </w:tcPr>
                <w:p w14:paraId="58D49F11">
                  <w:pPr>
                    <w:jc w:val="center"/>
                    <w:rPr>
                      <w:i/>
                      <w:iCs/>
                      <w:color w:val="auto"/>
                      <w:szCs w:val="21"/>
                      <w:highlight w:val="none"/>
                      <w:u w:val="single"/>
                    </w:rPr>
                  </w:pPr>
                  <w:r>
                    <w:rPr>
                      <w:i/>
                      <w:iCs/>
                      <w:color w:val="auto"/>
                      <w:spacing w:val="-1"/>
                      <w:szCs w:val="21"/>
                      <w:highlight w:val="none"/>
                      <w:u w:val="single"/>
                    </w:rPr>
                    <w:t>单元名称</w:t>
                  </w:r>
                </w:p>
              </w:tc>
              <w:tc>
                <w:tcPr>
                  <w:tcW w:w="776" w:type="pct"/>
                  <w:tcBorders>
                    <w:tl2br w:val="nil"/>
                    <w:tr2bl w:val="nil"/>
                  </w:tcBorders>
                  <w:vAlign w:val="center"/>
                </w:tcPr>
                <w:p w14:paraId="6FE73C32">
                  <w:pPr>
                    <w:jc w:val="center"/>
                    <w:rPr>
                      <w:i/>
                      <w:iCs/>
                      <w:color w:val="auto"/>
                      <w:szCs w:val="21"/>
                      <w:highlight w:val="none"/>
                      <w:u w:val="single"/>
                    </w:rPr>
                  </w:pPr>
                  <w:r>
                    <w:rPr>
                      <w:i/>
                      <w:iCs/>
                      <w:color w:val="auto"/>
                      <w:spacing w:val="-1"/>
                      <w:szCs w:val="21"/>
                      <w:highlight w:val="none"/>
                      <w:u w:val="single"/>
                    </w:rPr>
                    <w:t>风险物质</w:t>
                  </w:r>
                </w:p>
              </w:tc>
              <w:tc>
                <w:tcPr>
                  <w:tcW w:w="844" w:type="pct"/>
                  <w:tcBorders>
                    <w:tl2br w:val="nil"/>
                    <w:tr2bl w:val="nil"/>
                  </w:tcBorders>
                  <w:vAlign w:val="center"/>
                </w:tcPr>
                <w:p w14:paraId="14FD2F05">
                  <w:pPr>
                    <w:jc w:val="center"/>
                    <w:rPr>
                      <w:i/>
                      <w:iCs/>
                      <w:color w:val="auto"/>
                      <w:szCs w:val="21"/>
                      <w:highlight w:val="none"/>
                      <w:u w:val="single"/>
                    </w:rPr>
                  </w:pPr>
                  <w:r>
                    <w:rPr>
                      <w:i/>
                      <w:iCs/>
                      <w:color w:val="auto"/>
                      <w:spacing w:val="-1"/>
                      <w:szCs w:val="21"/>
                      <w:highlight w:val="none"/>
                      <w:u w:val="single"/>
                    </w:rPr>
                    <w:t>存储/</w:t>
                  </w:r>
                  <w:r>
                    <w:rPr>
                      <w:i/>
                      <w:iCs/>
                      <w:color w:val="auto"/>
                      <w:szCs w:val="21"/>
                      <w:highlight w:val="none"/>
                      <w:u w:val="single"/>
                    </w:rPr>
                    <w:t>在线量</w:t>
                  </w:r>
                </w:p>
                <w:p w14:paraId="5001992C">
                  <w:pPr>
                    <w:jc w:val="center"/>
                    <w:rPr>
                      <w:i/>
                      <w:iCs/>
                      <w:color w:val="auto"/>
                      <w:szCs w:val="21"/>
                      <w:highlight w:val="none"/>
                      <w:u w:val="single"/>
                    </w:rPr>
                  </w:pPr>
                  <w:r>
                    <w:rPr>
                      <w:i/>
                      <w:iCs/>
                      <w:color w:val="auto"/>
                      <w:spacing w:val="46"/>
                      <w:szCs w:val="21"/>
                      <w:highlight w:val="none"/>
                      <w:u w:val="single"/>
                    </w:rPr>
                    <w:t>(</w:t>
                  </w:r>
                  <w:r>
                    <w:rPr>
                      <w:i/>
                      <w:iCs/>
                      <w:color w:val="auto"/>
                      <w:szCs w:val="21"/>
                      <w:highlight w:val="none"/>
                      <w:u w:val="single"/>
                    </w:rPr>
                    <w:t>t</w:t>
                  </w:r>
                  <w:r>
                    <w:rPr>
                      <w:i/>
                      <w:iCs/>
                      <w:color w:val="auto"/>
                      <w:spacing w:val="46"/>
                      <w:szCs w:val="21"/>
                      <w:highlight w:val="none"/>
                      <w:u w:val="single"/>
                    </w:rPr>
                    <w:t>)</w:t>
                  </w:r>
                </w:p>
              </w:tc>
              <w:tc>
                <w:tcPr>
                  <w:tcW w:w="562" w:type="pct"/>
                  <w:tcBorders>
                    <w:tl2br w:val="nil"/>
                    <w:tr2bl w:val="nil"/>
                  </w:tcBorders>
                  <w:vAlign w:val="center"/>
                </w:tcPr>
                <w:p w14:paraId="685E1C53">
                  <w:pPr>
                    <w:jc w:val="center"/>
                    <w:rPr>
                      <w:i/>
                      <w:iCs/>
                      <w:color w:val="auto"/>
                      <w:spacing w:val="-3"/>
                      <w:szCs w:val="21"/>
                      <w:highlight w:val="none"/>
                      <w:u w:val="single"/>
                    </w:rPr>
                  </w:pPr>
                  <w:r>
                    <w:rPr>
                      <w:rFonts w:hint="eastAsia"/>
                      <w:i/>
                      <w:iCs/>
                      <w:color w:val="auto"/>
                      <w:spacing w:val="-3"/>
                      <w:szCs w:val="21"/>
                      <w:highlight w:val="none"/>
                      <w:u w:val="single"/>
                    </w:rPr>
                    <w:t>储存位置</w:t>
                  </w:r>
                </w:p>
              </w:tc>
              <w:tc>
                <w:tcPr>
                  <w:tcW w:w="562" w:type="pct"/>
                  <w:tcBorders>
                    <w:tl2br w:val="nil"/>
                    <w:tr2bl w:val="nil"/>
                  </w:tcBorders>
                  <w:vAlign w:val="center"/>
                </w:tcPr>
                <w:p w14:paraId="7D719934">
                  <w:pPr>
                    <w:jc w:val="center"/>
                    <w:rPr>
                      <w:i/>
                      <w:iCs/>
                      <w:color w:val="auto"/>
                      <w:szCs w:val="21"/>
                      <w:highlight w:val="none"/>
                      <w:u w:val="single"/>
                    </w:rPr>
                  </w:pPr>
                  <w:r>
                    <w:rPr>
                      <w:i/>
                      <w:iCs/>
                      <w:color w:val="auto"/>
                      <w:spacing w:val="-5"/>
                      <w:szCs w:val="21"/>
                      <w:highlight w:val="none"/>
                      <w:u w:val="single"/>
                    </w:rPr>
                    <w:t>临</w:t>
                  </w:r>
                  <w:r>
                    <w:rPr>
                      <w:i/>
                      <w:iCs/>
                      <w:color w:val="auto"/>
                      <w:spacing w:val="-3"/>
                      <w:szCs w:val="21"/>
                      <w:highlight w:val="none"/>
                      <w:u w:val="single"/>
                    </w:rPr>
                    <w:t>界量</w:t>
                  </w:r>
                </w:p>
                <w:p w14:paraId="0A0F662A">
                  <w:pPr>
                    <w:jc w:val="center"/>
                    <w:rPr>
                      <w:i/>
                      <w:iCs/>
                      <w:color w:val="auto"/>
                      <w:szCs w:val="21"/>
                      <w:highlight w:val="none"/>
                      <w:u w:val="single"/>
                    </w:rPr>
                  </w:pPr>
                  <w:r>
                    <w:rPr>
                      <w:i/>
                      <w:iCs/>
                      <w:color w:val="auto"/>
                      <w:spacing w:val="-3"/>
                      <w:szCs w:val="21"/>
                      <w:highlight w:val="none"/>
                      <w:u w:val="single"/>
                    </w:rPr>
                    <w:t>(</w:t>
                  </w:r>
                  <w:r>
                    <w:rPr>
                      <w:i/>
                      <w:iCs/>
                      <w:color w:val="auto"/>
                      <w:spacing w:val="-2"/>
                      <w:szCs w:val="21"/>
                      <w:highlight w:val="none"/>
                      <w:u w:val="single"/>
                    </w:rPr>
                    <w:t>t)</w:t>
                  </w:r>
                </w:p>
              </w:tc>
              <w:tc>
                <w:tcPr>
                  <w:tcW w:w="1121" w:type="pct"/>
                  <w:tcBorders>
                    <w:tl2br w:val="nil"/>
                    <w:tr2bl w:val="nil"/>
                  </w:tcBorders>
                  <w:vAlign w:val="center"/>
                </w:tcPr>
                <w:p w14:paraId="0BCF1FEB">
                  <w:pPr>
                    <w:jc w:val="center"/>
                    <w:rPr>
                      <w:i/>
                      <w:iCs/>
                      <w:color w:val="auto"/>
                      <w:szCs w:val="21"/>
                      <w:highlight w:val="none"/>
                      <w:u w:val="single"/>
                    </w:rPr>
                  </w:pPr>
                  <w:r>
                    <w:rPr>
                      <w:i/>
                      <w:iCs/>
                      <w:color w:val="auto"/>
                      <w:spacing w:val="-1"/>
                      <w:szCs w:val="21"/>
                      <w:highlight w:val="none"/>
                      <w:u w:val="single"/>
                    </w:rPr>
                    <w:t>主要环境风</w:t>
                  </w:r>
                  <w:r>
                    <w:rPr>
                      <w:i/>
                      <w:iCs/>
                      <w:color w:val="auto"/>
                      <w:szCs w:val="21"/>
                      <w:highlight w:val="none"/>
                      <w:u w:val="single"/>
                    </w:rPr>
                    <w:t>险事故</w:t>
                  </w:r>
                </w:p>
              </w:tc>
            </w:tr>
            <w:tr w14:paraId="39487D8C">
              <w:tblPrEx>
                <w:tblBorders>
                  <w:top w:val="single" w:color="000000" w:sz="12" w:space="0"/>
                  <w:left w:val="none" w:color="auto" w:sz="0" w:space="0"/>
                  <w:bottom w:val="single" w:color="000000" w:sz="12" w:space="0"/>
                  <w:right w:val="none" w:color="auto" w:sz="0" w:space="0"/>
                  <w:insideH w:val="single" w:color="000000" w:sz="2" w:space="0"/>
                  <w:insideV w:val="single" w:color="000000" w:sz="6" w:space="0"/>
                </w:tblBorders>
                <w:tblCellMar>
                  <w:top w:w="0" w:type="dxa"/>
                  <w:left w:w="0" w:type="dxa"/>
                  <w:bottom w:w="0" w:type="dxa"/>
                  <w:right w:w="0" w:type="dxa"/>
                </w:tblCellMar>
              </w:tblPrEx>
              <w:trPr>
                <w:trHeight w:val="458" w:hRule="atLeast"/>
              </w:trPr>
              <w:tc>
                <w:tcPr>
                  <w:tcW w:w="409" w:type="pct"/>
                  <w:tcBorders>
                    <w:tl2br w:val="nil"/>
                    <w:tr2bl w:val="nil"/>
                  </w:tcBorders>
                  <w:vAlign w:val="center"/>
                </w:tcPr>
                <w:p w14:paraId="6A7A3C7E">
                  <w:pPr>
                    <w:jc w:val="center"/>
                    <w:rPr>
                      <w:i/>
                      <w:iCs/>
                      <w:color w:val="auto"/>
                      <w:szCs w:val="21"/>
                      <w:highlight w:val="none"/>
                      <w:u w:val="single"/>
                    </w:rPr>
                  </w:pPr>
                  <w:r>
                    <w:rPr>
                      <w:i/>
                      <w:iCs/>
                      <w:color w:val="auto"/>
                      <w:szCs w:val="21"/>
                      <w:highlight w:val="none"/>
                      <w:u w:val="single"/>
                    </w:rPr>
                    <w:t>1</w:t>
                  </w:r>
                </w:p>
              </w:tc>
              <w:tc>
                <w:tcPr>
                  <w:tcW w:w="723" w:type="pct"/>
                  <w:tcBorders>
                    <w:tl2br w:val="nil"/>
                    <w:tr2bl w:val="nil"/>
                  </w:tcBorders>
                  <w:vAlign w:val="center"/>
                </w:tcPr>
                <w:p w14:paraId="6E6F8F2D">
                  <w:pPr>
                    <w:jc w:val="center"/>
                    <w:rPr>
                      <w:i/>
                      <w:iCs/>
                      <w:color w:val="auto"/>
                      <w:szCs w:val="21"/>
                      <w:highlight w:val="none"/>
                      <w:u w:val="single"/>
                    </w:rPr>
                  </w:pPr>
                  <w:r>
                    <w:rPr>
                      <w:rFonts w:hint="eastAsia"/>
                      <w:i/>
                      <w:iCs/>
                      <w:color w:val="auto"/>
                      <w:szCs w:val="21"/>
                      <w:highlight w:val="none"/>
                      <w:u w:val="single"/>
                    </w:rPr>
                    <w:t>污水处理</w:t>
                  </w:r>
                </w:p>
              </w:tc>
              <w:tc>
                <w:tcPr>
                  <w:tcW w:w="776" w:type="pct"/>
                  <w:tcBorders>
                    <w:tl2br w:val="nil"/>
                    <w:tr2bl w:val="nil"/>
                  </w:tcBorders>
                  <w:vAlign w:val="center"/>
                </w:tcPr>
                <w:p w14:paraId="48D4B6A5">
                  <w:pPr>
                    <w:jc w:val="center"/>
                    <w:rPr>
                      <w:i/>
                      <w:iCs/>
                      <w:color w:val="auto"/>
                      <w:szCs w:val="21"/>
                      <w:highlight w:val="none"/>
                      <w:u w:val="single"/>
                    </w:rPr>
                  </w:pPr>
                  <w:r>
                    <w:rPr>
                      <w:rFonts w:hint="eastAsia"/>
                      <w:i/>
                      <w:iCs/>
                      <w:color w:val="auto"/>
                      <w:szCs w:val="21"/>
                      <w:highlight w:val="none"/>
                      <w:u w:val="single"/>
                    </w:rPr>
                    <w:t>次氯酸钠</w:t>
                  </w:r>
                </w:p>
              </w:tc>
              <w:tc>
                <w:tcPr>
                  <w:tcW w:w="844" w:type="pct"/>
                  <w:tcBorders>
                    <w:tl2br w:val="nil"/>
                    <w:tr2bl w:val="nil"/>
                  </w:tcBorders>
                  <w:vAlign w:val="center"/>
                </w:tcPr>
                <w:p w14:paraId="236FB72D">
                  <w:pPr>
                    <w:jc w:val="center"/>
                    <w:rPr>
                      <w:i/>
                      <w:iCs/>
                      <w:color w:val="auto"/>
                      <w:szCs w:val="21"/>
                      <w:highlight w:val="none"/>
                      <w:u w:val="single"/>
                    </w:rPr>
                  </w:pPr>
                  <w:r>
                    <w:rPr>
                      <w:rFonts w:hint="eastAsia"/>
                      <w:i/>
                      <w:iCs/>
                      <w:color w:val="auto"/>
                      <w:szCs w:val="21"/>
                      <w:highlight w:val="none"/>
                      <w:u w:val="single"/>
                    </w:rPr>
                    <w:t>0.05</w:t>
                  </w:r>
                </w:p>
              </w:tc>
              <w:tc>
                <w:tcPr>
                  <w:tcW w:w="562" w:type="pct"/>
                  <w:tcBorders>
                    <w:tl2br w:val="nil"/>
                    <w:tr2bl w:val="nil"/>
                  </w:tcBorders>
                  <w:vAlign w:val="center"/>
                </w:tcPr>
                <w:p w14:paraId="0FD30E05">
                  <w:pPr>
                    <w:jc w:val="center"/>
                    <w:rPr>
                      <w:i/>
                      <w:iCs/>
                      <w:color w:val="auto"/>
                      <w:spacing w:val="-1"/>
                      <w:szCs w:val="21"/>
                      <w:highlight w:val="none"/>
                      <w:u w:val="single"/>
                    </w:rPr>
                  </w:pPr>
                  <w:r>
                    <w:rPr>
                      <w:rFonts w:hint="eastAsia"/>
                      <w:i/>
                      <w:iCs/>
                      <w:color w:val="auto"/>
                      <w:spacing w:val="-1"/>
                      <w:szCs w:val="21"/>
                      <w:highlight w:val="none"/>
                      <w:u w:val="single"/>
                    </w:rPr>
                    <w:t>污水站</w:t>
                  </w:r>
                </w:p>
              </w:tc>
              <w:tc>
                <w:tcPr>
                  <w:tcW w:w="562" w:type="pct"/>
                  <w:tcBorders>
                    <w:tl2br w:val="nil"/>
                    <w:tr2bl w:val="nil"/>
                  </w:tcBorders>
                  <w:vAlign w:val="center"/>
                </w:tcPr>
                <w:p w14:paraId="2ECD9309">
                  <w:pPr>
                    <w:jc w:val="center"/>
                    <w:rPr>
                      <w:i/>
                      <w:iCs/>
                      <w:color w:val="auto"/>
                      <w:spacing w:val="-1"/>
                      <w:szCs w:val="21"/>
                      <w:highlight w:val="none"/>
                      <w:u w:val="single"/>
                    </w:rPr>
                  </w:pPr>
                  <w:r>
                    <w:rPr>
                      <w:rFonts w:hint="eastAsia"/>
                      <w:i/>
                      <w:iCs/>
                      <w:color w:val="auto"/>
                      <w:spacing w:val="-1"/>
                      <w:szCs w:val="21"/>
                      <w:highlight w:val="none"/>
                      <w:u w:val="single"/>
                    </w:rPr>
                    <w:t>5</w:t>
                  </w:r>
                </w:p>
              </w:tc>
              <w:tc>
                <w:tcPr>
                  <w:tcW w:w="1121" w:type="pct"/>
                  <w:tcBorders>
                    <w:tl2br w:val="nil"/>
                    <w:tr2bl w:val="nil"/>
                  </w:tcBorders>
                  <w:vAlign w:val="center"/>
                </w:tcPr>
                <w:p w14:paraId="1F8E831C">
                  <w:pPr>
                    <w:jc w:val="center"/>
                    <w:rPr>
                      <w:i/>
                      <w:iCs/>
                      <w:color w:val="auto"/>
                      <w:spacing w:val="-18"/>
                      <w:szCs w:val="21"/>
                      <w:highlight w:val="none"/>
                      <w:u w:val="single"/>
                    </w:rPr>
                  </w:pPr>
                  <w:r>
                    <w:rPr>
                      <w:rFonts w:hint="eastAsia"/>
                      <w:i/>
                      <w:iCs/>
                      <w:color w:val="auto"/>
                      <w:spacing w:val="-18"/>
                      <w:szCs w:val="21"/>
                      <w:highlight w:val="none"/>
                      <w:u w:val="single"/>
                    </w:rPr>
                    <w:t>泄露、中毒</w:t>
                  </w:r>
                </w:p>
              </w:tc>
            </w:tr>
            <w:tr w14:paraId="31DDFE66">
              <w:tblPrEx>
                <w:tblBorders>
                  <w:top w:val="single" w:color="000000" w:sz="12" w:space="0"/>
                  <w:left w:val="none" w:color="auto" w:sz="0" w:space="0"/>
                  <w:bottom w:val="single" w:color="000000" w:sz="12" w:space="0"/>
                  <w:right w:val="none" w:color="auto" w:sz="0" w:space="0"/>
                  <w:insideH w:val="single" w:color="000000" w:sz="2" w:space="0"/>
                  <w:insideV w:val="single" w:color="000000" w:sz="6" w:space="0"/>
                </w:tblBorders>
                <w:tblCellMar>
                  <w:top w:w="0" w:type="dxa"/>
                  <w:left w:w="0" w:type="dxa"/>
                  <w:bottom w:w="0" w:type="dxa"/>
                  <w:right w:w="0" w:type="dxa"/>
                </w:tblCellMar>
              </w:tblPrEx>
              <w:trPr>
                <w:trHeight w:val="477" w:hRule="atLeast"/>
              </w:trPr>
              <w:tc>
                <w:tcPr>
                  <w:tcW w:w="409" w:type="pct"/>
                  <w:tcBorders>
                    <w:tl2br w:val="nil"/>
                    <w:tr2bl w:val="nil"/>
                  </w:tcBorders>
                  <w:vAlign w:val="center"/>
                </w:tcPr>
                <w:p w14:paraId="2D053C6D">
                  <w:pPr>
                    <w:jc w:val="center"/>
                    <w:rPr>
                      <w:i/>
                      <w:iCs/>
                      <w:color w:val="auto"/>
                      <w:szCs w:val="21"/>
                      <w:highlight w:val="none"/>
                      <w:u w:val="single"/>
                    </w:rPr>
                  </w:pPr>
                  <w:r>
                    <w:rPr>
                      <w:rFonts w:hint="eastAsia"/>
                      <w:i/>
                      <w:iCs/>
                      <w:color w:val="auto"/>
                      <w:szCs w:val="21"/>
                      <w:highlight w:val="none"/>
                      <w:u w:val="single"/>
                    </w:rPr>
                    <w:t>2</w:t>
                  </w:r>
                </w:p>
              </w:tc>
              <w:tc>
                <w:tcPr>
                  <w:tcW w:w="723" w:type="pct"/>
                  <w:tcBorders>
                    <w:tl2br w:val="nil"/>
                    <w:tr2bl w:val="nil"/>
                  </w:tcBorders>
                  <w:vAlign w:val="center"/>
                </w:tcPr>
                <w:p w14:paraId="3CEBEFE6">
                  <w:pPr>
                    <w:jc w:val="center"/>
                    <w:rPr>
                      <w:i/>
                      <w:iCs/>
                      <w:color w:val="auto"/>
                      <w:szCs w:val="21"/>
                      <w:highlight w:val="none"/>
                      <w:u w:val="single"/>
                    </w:rPr>
                  </w:pPr>
                  <w:r>
                    <w:rPr>
                      <w:rFonts w:hint="eastAsia"/>
                      <w:i/>
                      <w:iCs/>
                      <w:color w:val="auto"/>
                      <w:szCs w:val="21"/>
                      <w:highlight w:val="none"/>
                      <w:u w:val="single"/>
                    </w:rPr>
                    <w:t>医疗处理</w:t>
                  </w:r>
                </w:p>
              </w:tc>
              <w:tc>
                <w:tcPr>
                  <w:tcW w:w="776" w:type="pct"/>
                  <w:tcBorders>
                    <w:tl2br w:val="nil"/>
                    <w:tr2bl w:val="nil"/>
                  </w:tcBorders>
                  <w:vAlign w:val="center"/>
                </w:tcPr>
                <w:p w14:paraId="425F1D47">
                  <w:pPr>
                    <w:jc w:val="center"/>
                    <w:rPr>
                      <w:i/>
                      <w:iCs/>
                      <w:color w:val="auto"/>
                      <w:szCs w:val="21"/>
                      <w:highlight w:val="none"/>
                      <w:u w:val="single"/>
                    </w:rPr>
                  </w:pPr>
                  <w:r>
                    <w:rPr>
                      <w:rFonts w:hint="eastAsia"/>
                      <w:i/>
                      <w:iCs/>
                      <w:color w:val="auto"/>
                      <w:szCs w:val="21"/>
                      <w:highlight w:val="none"/>
                      <w:u w:val="single"/>
                    </w:rPr>
                    <w:t>酒精</w:t>
                  </w:r>
                </w:p>
              </w:tc>
              <w:tc>
                <w:tcPr>
                  <w:tcW w:w="844" w:type="pct"/>
                  <w:tcBorders>
                    <w:tl2br w:val="nil"/>
                    <w:tr2bl w:val="nil"/>
                  </w:tcBorders>
                  <w:vAlign w:val="center"/>
                </w:tcPr>
                <w:p w14:paraId="55F2F4A6">
                  <w:pPr>
                    <w:jc w:val="center"/>
                    <w:rPr>
                      <w:i/>
                      <w:iCs/>
                      <w:color w:val="auto"/>
                      <w:szCs w:val="21"/>
                      <w:highlight w:val="none"/>
                      <w:u w:val="single"/>
                    </w:rPr>
                  </w:pPr>
                  <w:r>
                    <w:rPr>
                      <w:rFonts w:hint="eastAsia"/>
                      <w:i/>
                      <w:iCs/>
                      <w:color w:val="auto"/>
                      <w:szCs w:val="21"/>
                      <w:highlight w:val="none"/>
                      <w:u w:val="single"/>
                    </w:rPr>
                    <w:t>0.5</w:t>
                  </w:r>
                </w:p>
              </w:tc>
              <w:tc>
                <w:tcPr>
                  <w:tcW w:w="562" w:type="pct"/>
                  <w:tcBorders>
                    <w:tl2br w:val="nil"/>
                    <w:tr2bl w:val="nil"/>
                  </w:tcBorders>
                  <w:vAlign w:val="center"/>
                </w:tcPr>
                <w:p w14:paraId="64A0658F">
                  <w:pPr>
                    <w:jc w:val="center"/>
                    <w:rPr>
                      <w:i/>
                      <w:iCs/>
                      <w:color w:val="auto"/>
                      <w:spacing w:val="-1"/>
                      <w:szCs w:val="21"/>
                      <w:highlight w:val="none"/>
                      <w:u w:val="single"/>
                    </w:rPr>
                  </w:pPr>
                  <w:r>
                    <w:rPr>
                      <w:rFonts w:hint="eastAsia"/>
                      <w:i/>
                      <w:iCs/>
                      <w:color w:val="auto"/>
                      <w:spacing w:val="-1"/>
                      <w:szCs w:val="21"/>
                      <w:highlight w:val="none"/>
                      <w:u w:val="single"/>
                    </w:rPr>
                    <w:t>药品室</w:t>
                  </w:r>
                </w:p>
              </w:tc>
              <w:tc>
                <w:tcPr>
                  <w:tcW w:w="562" w:type="pct"/>
                  <w:tcBorders>
                    <w:tl2br w:val="nil"/>
                    <w:tr2bl w:val="nil"/>
                  </w:tcBorders>
                  <w:vAlign w:val="center"/>
                </w:tcPr>
                <w:p w14:paraId="7865164F">
                  <w:pPr>
                    <w:jc w:val="center"/>
                    <w:rPr>
                      <w:rFonts w:hint="default" w:eastAsia="宋体"/>
                      <w:i/>
                      <w:iCs/>
                      <w:color w:val="auto"/>
                      <w:spacing w:val="-1"/>
                      <w:szCs w:val="21"/>
                      <w:highlight w:val="none"/>
                      <w:u w:val="single"/>
                      <w:lang w:val="en-US" w:eastAsia="zh-CN"/>
                    </w:rPr>
                  </w:pPr>
                  <w:r>
                    <w:rPr>
                      <w:rFonts w:hint="eastAsia"/>
                      <w:i/>
                      <w:iCs/>
                      <w:color w:val="auto"/>
                      <w:spacing w:val="-1"/>
                      <w:szCs w:val="21"/>
                      <w:highlight w:val="none"/>
                      <w:u w:val="single"/>
                      <w:lang w:val="en-US" w:eastAsia="zh-CN"/>
                    </w:rPr>
                    <w:t>500</w:t>
                  </w:r>
                </w:p>
              </w:tc>
              <w:tc>
                <w:tcPr>
                  <w:tcW w:w="1121" w:type="pct"/>
                  <w:tcBorders>
                    <w:tl2br w:val="nil"/>
                    <w:tr2bl w:val="nil"/>
                  </w:tcBorders>
                  <w:vAlign w:val="center"/>
                </w:tcPr>
                <w:p w14:paraId="5915BC19">
                  <w:pPr>
                    <w:jc w:val="center"/>
                    <w:rPr>
                      <w:i/>
                      <w:iCs/>
                      <w:color w:val="auto"/>
                      <w:spacing w:val="-18"/>
                      <w:szCs w:val="21"/>
                      <w:highlight w:val="none"/>
                      <w:u w:val="single"/>
                    </w:rPr>
                  </w:pPr>
                  <w:r>
                    <w:rPr>
                      <w:rFonts w:hint="eastAsia"/>
                      <w:i/>
                      <w:iCs/>
                      <w:color w:val="auto"/>
                      <w:spacing w:val="-18"/>
                      <w:szCs w:val="21"/>
                      <w:highlight w:val="none"/>
                      <w:u w:val="single"/>
                    </w:rPr>
                    <w:t>泄</w:t>
                  </w:r>
                  <w:r>
                    <w:rPr>
                      <w:rFonts w:hint="eastAsia"/>
                      <w:i/>
                      <w:iCs/>
                      <w:color w:val="auto"/>
                      <w:spacing w:val="-18"/>
                      <w:szCs w:val="21"/>
                      <w:highlight w:val="none"/>
                      <w:u w:val="single"/>
                      <w:lang w:eastAsia="zh-CN"/>
                    </w:rPr>
                    <w:t>漏</w:t>
                  </w:r>
                  <w:r>
                    <w:rPr>
                      <w:rFonts w:hint="eastAsia"/>
                      <w:i/>
                      <w:iCs/>
                      <w:color w:val="auto"/>
                      <w:spacing w:val="-18"/>
                      <w:szCs w:val="21"/>
                      <w:highlight w:val="none"/>
                      <w:u w:val="single"/>
                    </w:rPr>
                    <w:t>、火灾</w:t>
                  </w:r>
                </w:p>
              </w:tc>
            </w:tr>
            <w:tr w14:paraId="2BC8002B">
              <w:tblPrEx>
                <w:tblBorders>
                  <w:top w:val="single" w:color="000000" w:sz="12" w:space="0"/>
                  <w:left w:val="none" w:color="auto" w:sz="0" w:space="0"/>
                  <w:bottom w:val="single" w:color="000000" w:sz="12" w:space="0"/>
                  <w:right w:val="none" w:color="auto" w:sz="0" w:space="0"/>
                  <w:insideH w:val="single" w:color="000000" w:sz="2" w:space="0"/>
                  <w:insideV w:val="single" w:color="000000" w:sz="6" w:space="0"/>
                </w:tblBorders>
                <w:tblCellMar>
                  <w:top w:w="0" w:type="dxa"/>
                  <w:left w:w="0" w:type="dxa"/>
                  <w:bottom w:w="0" w:type="dxa"/>
                  <w:right w:w="0" w:type="dxa"/>
                </w:tblCellMar>
              </w:tblPrEx>
              <w:trPr>
                <w:trHeight w:val="477" w:hRule="atLeast"/>
              </w:trPr>
              <w:tc>
                <w:tcPr>
                  <w:tcW w:w="409" w:type="pct"/>
                  <w:tcBorders>
                    <w:tl2br w:val="nil"/>
                    <w:tr2bl w:val="nil"/>
                  </w:tcBorders>
                  <w:vAlign w:val="center"/>
                </w:tcPr>
                <w:p w14:paraId="20870341">
                  <w:pPr>
                    <w:jc w:val="center"/>
                    <w:rPr>
                      <w:rFonts w:hint="eastAsia" w:eastAsia="宋体"/>
                      <w:i/>
                      <w:iCs/>
                      <w:color w:val="auto"/>
                      <w:szCs w:val="21"/>
                      <w:highlight w:val="none"/>
                      <w:u w:val="single"/>
                      <w:lang w:val="en-US" w:eastAsia="zh-CN"/>
                    </w:rPr>
                  </w:pPr>
                  <w:r>
                    <w:rPr>
                      <w:rFonts w:hint="eastAsia"/>
                      <w:i/>
                      <w:iCs/>
                      <w:color w:val="auto"/>
                      <w:szCs w:val="21"/>
                      <w:highlight w:val="none"/>
                      <w:u w:val="single"/>
                      <w:lang w:val="en-US" w:eastAsia="zh-CN"/>
                    </w:rPr>
                    <w:t>3</w:t>
                  </w:r>
                </w:p>
              </w:tc>
              <w:tc>
                <w:tcPr>
                  <w:tcW w:w="723" w:type="pct"/>
                  <w:tcBorders>
                    <w:tl2br w:val="nil"/>
                    <w:tr2bl w:val="nil"/>
                  </w:tcBorders>
                  <w:vAlign w:val="center"/>
                </w:tcPr>
                <w:p w14:paraId="31FC3D2F">
                  <w:pPr>
                    <w:jc w:val="center"/>
                    <w:rPr>
                      <w:rFonts w:hint="default" w:eastAsia="宋体"/>
                      <w:i/>
                      <w:iCs/>
                      <w:color w:val="auto"/>
                      <w:szCs w:val="21"/>
                      <w:highlight w:val="none"/>
                      <w:u w:val="single"/>
                      <w:lang w:val="en-US" w:eastAsia="zh-CN"/>
                    </w:rPr>
                  </w:pPr>
                  <w:r>
                    <w:rPr>
                      <w:rFonts w:hint="eastAsia"/>
                      <w:i/>
                      <w:iCs/>
                      <w:color w:val="auto"/>
                      <w:szCs w:val="21"/>
                      <w:highlight w:val="none"/>
                      <w:u w:val="single"/>
                      <w:lang w:val="en-US" w:eastAsia="zh-CN"/>
                    </w:rPr>
                    <w:t>备用柴油发电机</w:t>
                  </w:r>
                </w:p>
              </w:tc>
              <w:tc>
                <w:tcPr>
                  <w:tcW w:w="776" w:type="pct"/>
                  <w:tcBorders>
                    <w:tl2br w:val="nil"/>
                    <w:tr2bl w:val="nil"/>
                  </w:tcBorders>
                  <w:vAlign w:val="center"/>
                </w:tcPr>
                <w:p w14:paraId="6C54BD12">
                  <w:pPr>
                    <w:jc w:val="center"/>
                    <w:rPr>
                      <w:rFonts w:hint="eastAsia" w:eastAsia="宋体"/>
                      <w:i/>
                      <w:iCs/>
                      <w:color w:val="auto"/>
                      <w:szCs w:val="21"/>
                      <w:highlight w:val="none"/>
                      <w:u w:val="single"/>
                      <w:lang w:eastAsia="zh-CN"/>
                    </w:rPr>
                  </w:pPr>
                  <w:r>
                    <w:rPr>
                      <w:rFonts w:hint="eastAsia"/>
                      <w:i/>
                      <w:iCs/>
                      <w:color w:val="auto"/>
                      <w:szCs w:val="21"/>
                      <w:highlight w:val="none"/>
                      <w:u w:val="single"/>
                      <w:lang w:eastAsia="zh-CN"/>
                    </w:rPr>
                    <w:t>柴油</w:t>
                  </w:r>
                </w:p>
              </w:tc>
              <w:tc>
                <w:tcPr>
                  <w:tcW w:w="844" w:type="pct"/>
                  <w:tcBorders>
                    <w:tl2br w:val="nil"/>
                    <w:tr2bl w:val="nil"/>
                  </w:tcBorders>
                  <w:vAlign w:val="center"/>
                </w:tcPr>
                <w:p w14:paraId="023F67AB">
                  <w:pPr>
                    <w:jc w:val="center"/>
                    <w:rPr>
                      <w:rFonts w:hint="default" w:eastAsia="宋体"/>
                      <w:i/>
                      <w:iCs/>
                      <w:color w:val="auto"/>
                      <w:szCs w:val="21"/>
                      <w:highlight w:val="none"/>
                      <w:u w:val="single"/>
                      <w:lang w:val="en-US" w:eastAsia="zh-CN"/>
                    </w:rPr>
                  </w:pPr>
                  <w:r>
                    <w:rPr>
                      <w:rFonts w:hint="eastAsia"/>
                      <w:i/>
                      <w:iCs/>
                      <w:color w:val="auto"/>
                      <w:szCs w:val="21"/>
                      <w:highlight w:val="none"/>
                      <w:u w:val="single"/>
                      <w:lang w:val="en-US" w:eastAsia="zh-CN"/>
                    </w:rPr>
                    <w:t>0.166</w:t>
                  </w:r>
                </w:p>
              </w:tc>
              <w:tc>
                <w:tcPr>
                  <w:tcW w:w="562" w:type="pct"/>
                  <w:tcBorders>
                    <w:tl2br w:val="nil"/>
                    <w:tr2bl w:val="nil"/>
                  </w:tcBorders>
                  <w:vAlign w:val="center"/>
                </w:tcPr>
                <w:p w14:paraId="381B5E8B">
                  <w:pPr>
                    <w:jc w:val="center"/>
                    <w:rPr>
                      <w:rFonts w:hint="eastAsia" w:eastAsia="宋体"/>
                      <w:i/>
                      <w:iCs/>
                      <w:color w:val="auto"/>
                      <w:spacing w:val="-1"/>
                      <w:szCs w:val="21"/>
                      <w:highlight w:val="none"/>
                      <w:u w:val="single"/>
                      <w:lang w:eastAsia="zh-CN"/>
                    </w:rPr>
                  </w:pPr>
                  <w:r>
                    <w:rPr>
                      <w:rFonts w:hint="eastAsia"/>
                      <w:i/>
                      <w:iCs/>
                      <w:color w:val="auto"/>
                      <w:spacing w:val="-1"/>
                      <w:szCs w:val="21"/>
                      <w:highlight w:val="none"/>
                      <w:u w:val="single"/>
                      <w:lang w:eastAsia="zh-CN"/>
                    </w:rPr>
                    <w:t>柴油发电机房</w:t>
                  </w:r>
                </w:p>
              </w:tc>
              <w:tc>
                <w:tcPr>
                  <w:tcW w:w="562" w:type="pct"/>
                  <w:tcBorders>
                    <w:tl2br w:val="nil"/>
                    <w:tr2bl w:val="nil"/>
                  </w:tcBorders>
                  <w:vAlign w:val="center"/>
                </w:tcPr>
                <w:p w14:paraId="02DF2218">
                  <w:pPr>
                    <w:jc w:val="center"/>
                    <w:rPr>
                      <w:rFonts w:hint="default"/>
                      <w:i/>
                      <w:iCs/>
                      <w:color w:val="auto"/>
                      <w:spacing w:val="-1"/>
                      <w:szCs w:val="21"/>
                      <w:highlight w:val="none"/>
                      <w:u w:val="single"/>
                      <w:lang w:val="en-US" w:eastAsia="zh-CN"/>
                    </w:rPr>
                  </w:pPr>
                  <w:r>
                    <w:rPr>
                      <w:rFonts w:hint="eastAsia"/>
                      <w:i/>
                      <w:iCs/>
                      <w:color w:val="auto"/>
                      <w:spacing w:val="-1"/>
                      <w:szCs w:val="21"/>
                      <w:highlight w:val="none"/>
                      <w:u w:val="single"/>
                      <w:lang w:val="en-US" w:eastAsia="zh-CN"/>
                    </w:rPr>
                    <w:t>2500</w:t>
                  </w:r>
                </w:p>
              </w:tc>
              <w:tc>
                <w:tcPr>
                  <w:tcW w:w="1121" w:type="pct"/>
                  <w:tcBorders>
                    <w:tl2br w:val="nil"/>
                    <w:tr2bl w:val="nil"/>
                  </w:tcBorders>
                  <w:vAlign w:val="center"/>
                </w:tcPr>
                <w:p w14:paraId="5B2DFDAB">
                  <w:pPr>
                    <w:jc w:val="center"/>
                    <w:rPr>
                      <w:rFonts w:hint="eastAsia"/>
                      <w:i/>
                      <w:iCs/>
                      <w:color w:val="auto"/>
                      <w:spacing w:val="-18"/>
                      <w:szCs w:val="21"/>
                      <w:highlight w:val="none"/>
                      <w:u w:val="single"/>
                    </w:rPr>
                  </w:pPr>
                  <w:r>
                    <w:rPr>
                      <w:rFonts w:hint="eastAsia"/>
                      <w:i/>
                      <w:iCs/>
                      <w:color w:val="auto"/>
                      <w:spacing w:val="-18"/>
                      <w:szCs w:val="21"/>
                      <w:highlight w:val="none"/>
                      <w:u w:val="single"/>
                    </w:rPr>
                    <w:t>泄</w:t>
                  </w:r>
                  <w:r>
                    <w:rPr>
                      <w:rFonts w:hint="eastAsia"/>
                      <w:i/>
                      <w:iCs/>
                      <w:color w:val="auto"/>
                      <w:spacing w:val="-18"/>
                      <w:szCs w:val="21"/>
                      <w:highlight w:val="none"/>
                      <w:u w:val="single"/>
                      <w:lang w:eastAsia="zh-CN"/>
                    </w:rPr>
                    <w:t>漏</w:t>
                  </w:r>
                  <w:r>
                    <w:rPr>
                      <w:rFonts w:hint="eastAsia"/>
                      <w:i/>
                      <w:iCs/>
                      <w:color w:val="auto"/>
                      <w:spacing w:val="-18"/>
                      <w:szCs w:val="21"/>
                      <w:highlight w:val="none"/>
                      <w:u w:val="single"/>
                    </w:rPr>
                    <w:t>、火灾</w:t>
                  </w:r>
                </w:p>
              </w:tc>
            </w:tr>
          </w:tbl>
          <w:p w14:paraId="2C755770">
            <w:pPr>
              <w:spacing w:before="155" w:line="359" w:lineRule="auto"/>
              <w:ind w:left="110" w:right="107" w:firstLine="480"/>
              <w:rPr>
                <w:color w:val="auto"/>
                <w:sz w:val="24"/>
                <w:highlight w:val="none"/>
              </w:rPr>
            </w:pPr>
            <w:r>
              <w:rPr>
                <w:color w:val="auto"/>
                <w:spacing w:val="-1"/>
                <w:sz w:val="24"/>
                <w:highlight w:val="none"/>
              </w:rPr>
              <w:t>计算所涉及</w:t>
            </w:r>
            <w:r>
              <w:rPr>
                <w:color w:val="auto"/>
                <w:sz w:val="24"/>
                <w:highlight w:val="none"/>
              </w:rPr>
              <w:t>的每种危险物质在厂界内的最大存在总量与其对应临界量的比</w:t>
            </w:r>
            <w:r>
              <w:rPr>
                <w:color w:val="auto"/>
                <w:spacing w:val="-2"/>
                <w:sz w:val="24"/>
                <w:highlight w:val="none"/>
              </w:rPr>
              <w:t>值</w:t>
            </w:r>
            <w:r>
              <w:rPr>
                <w:color w:val="auto"/>
                <w:sz w:val="24"/>
                <w:highlight w:val="none"/>
              </w:rPr>
              <w:t>Q</w:t>
            </w:r>
            <w:r>
              <w:rPr>
                <w:color w:val="auto"/>
                <w:spacing w:val="-2"/>
                <w:sz w:val="24"/>
                <w:highlight w:val="none"/>
              </w:rPr>
              <w:t>。在不同厂区的同一种物质，按其在厂界内的最大存在总量计算。对</w:t>
            </w:r>
            <w:r>
              <w:rPr>
                <w:color w:val="auto"/>
                <w:sz w:val="24"/>
                <w:highlight w:val="none"/>
              </w:rPr>
              <w:t>于长</w:t>
            </w:r>
            <w:r>
              <w:rPr>
                <w:color w:val="auto"/>
                <w:spacing w:val="-2"/>
                <w:sz w:val="24"/>
                <w:highlight w:val="none"/>
              </w:rPr>
              <w:t>输管线项目，按照两个截</w:t>
            </w:r>
            <w:r>
              <w:rPr>
                <w:color w:val="auto"/>
                <w:spacing w:val="-1"/>
                <w:sz w:val="24"/>
                <w:highlight w:val="none"/>
              </w:rPr>
              <w:t>断阀室之间管段危险物质最大存在总量计算。</w:t>
            </w:r>
          </w:p>
          <w:p w14:paraId="2CA828FF">
            <w:pPr>
              <w:spacing w:before="1" w:line="215" w:lineRule="auto"/>
              <w:ind w:left="592"/>
              <w:rPr>
                <w:color w:val="auto"/>
                <w:sz w:val="24"/>
                <w:highlight w:val="none"/>
              </w:rPr>
            </w:pPr>
            <w:r>
              <w:rPr>
                <w:color w:val="auto"/>
                <w:spacing w:val="12"/>
                <w:sz w:val="24"/>
                <w:highlight w:val="none"/>
              </w:rPr>
              <w:t>按</w:t>
            </w:r>
            <w:r>
              <w:rPr>
                <w:color w:val="auto"/>
                <w:spacing w:val="9"/>
                <w:sz w:val="24"/>
                <w:highlight w:val="none"/>
              </w:rPr>
              <w:t>下式计算物质总量与其临界量比值(</w:t>
            </w:r>
            <w:r>
              <w:rPr>
                <w:color w:val="auto"/>
                <w:sz w:val="24"/>
                <w:highlight w:val="none"/>
              </w:rPr>
              <w:t>Q</w:t>
            </w:r>
            <w:r>
              <w:rPr>
                <w:color w:val="auto"/>
                <w:spacing w:val="9"/>
                <w:sz w:val="24"/>
                <w:highlight w:val="none"/>
              </w:rPr>
              <w:t>)：</w:t>
            </w:r>
          </w:p>
          <w:p w14:paraId="4A399926">
            <w:pPr>
              <w:spacing w:before="197" w:line="193" w:lineRule="auto"/>
              <w:ind w:left="2967"/>
              <w:rPr>
                <w:color w:val="auto"/>
                <w:sz w:val="24"/>
                <w:highlight w:val="none"/>
              </w:rPr>
            </w:pPr>
            <w:r>
              <w:rPr>
                <w:color w:val="auto"/>
                <w:sz w:val="24"/>
                <w:highlight w:val="none"/>
              </w:rPr>
              <w:t>Q</w:t>
            </w:r>
            <w:r>
              <w:rPr>
                <w:color w:val="auto"/>
                <w:spacing w:val="-1"/>
                <w:sz w:val="24"/>
                <w:highlight w:val="none"/>
              </w:rPr>
              <w:t>=</w:t>
            </w:r>
            <w:r>
              <w:rPr>
                <w:color w:val="auto"/>
                <w:sz w:val="24"/>
                <w:highlight w:val="none"/>
              </w:rPr>
              <w:t>q</w:t>
            </w:r>
            <w:r>
              <w:rPr>
                <w:color w:val="auto"/>
                <w:spacing w:val="-1"/>
                <w:sz w:val="24"/>
                <w:highlight w:val="none"/>
              </w:rPr>
              <w:t>1/</w:t>
            </w:r>
            <w:r>
              <w:rPr>
                <w:color w:val="auto"/>
                <w:sz w:val="24"/>
                <w:highlight w:val="none"/>
              </w:rPr>
              <w:t>Q</w:t>
            </w:r>
            <w:r>
              <w:rPr>
                <w:color w:val="auto"/>
                <w:spacing w:val="-1"/>
                <w:sz w:val="24"/>
                <w:highlight w:val="none"/>
              </w:rPr>
              <w:t>1+</w:t>
            </w:r>
            <w:r>
              <w:rPr>
                <w:color w:val="auto"/>
                <w:sz w:val="24"/>
                <w:highlight w:val="none"/>
              </w:rPr>
              <w:t>q</w:t>
            </w:r>
            <w:r>
              <w:rPr>
                <w:color w:val="auto"/>
                <w:spacing w:val="-1"/>
                <w:sz w:val="24"/>
                <w:highlight w:val="none"/>
              </w:rPr>
              <w:t>2/</w:t>
            </w:r>
            <w:r>
              <w:rPr>
                <w:color w:val="auto"/>
                <w:sz w:val="24"/>
                <w:highlight w:val="none"/>
              </w:rPr>
              <w:t>Q</w:t>
            </w:r>
            <w:r>
              <w:rPr>
                <w:color w:val="auto"/>
                <w:spacing w:val="-1"/>
                <w:sz w:val="24"/>
                <w:highlight w:val="none"/>
              </w:rPr>
              <w:t>2</w:t>
            </w:r>
            <w:r>
              <w:rPr>
                <w:color w:val="auto"/>
                <w:sz w:val="24"/>
                <w:highlight w:val="none"/>
              </w:rPr>
              <w:t>+…+qn/Qn</w:t>
            </w:r>
          </w:p>
          <w:p w14:paraId="1EB530D5">
            <w:pPr>
              <w:spacing w:before="178" w:line="220" w:lineRule="auto"/>
              <w:ind w:left="595"/>
              <w:rPr>
                <w:color w:val="auto"/>
                <w:sz w:val="24"/>
                <w:highlight w:val="none"/>
              </w:rPr>
            </w:pPr>
            <w:r>
              <w:rPr>
                <w:color w:val="auto"/>
                <w:spacing w:val="-17"/>
                <w:sz w:val="24"/>
                <w:highlight w:val="none"/>
              </w:rPr>
              <w:t>式</w:t>
            </w:r>
            <w:r>
              <w:rPr>
                <w:color w:val="auto"/>
                <w:spacing w:val="-15"/>
                <w:sz w:val="24"/>
                <w:highlight w:val="none"/>
              </w:rPr>
              <w:t>中：</w:t>
            </w:r>
          </w:p>
          <w:p w14:paraId="281F0FAE">
            <w:pPr>
              <w:spacing w:before="180" w:line="470" w:lineRule="exact"/>
              <w:ind w:left="589"/>
              <w:rPr>
                <w:color w:val="auto"/>
                <w:sz w:val="24"/>
                <w:highlight w:val="none"/>
              </w:rPr>
            </w:pPr>
            <w:r>
              <w:rPr>
                <w:color w:val="auto"/>
                <w:spacing w:val="-9"/>
                <w:position w:val="17"/>
                <w:sz w:val="24"/>
                <w:highlight w:val="none"/>
              </w:rPr>
              <w:t>q</w:t>
            </w:r>
            <w:r>
              <w:rPr>
                <w:color w:val="auto"/>
                <w:spacing w:val="-12"/>
                <w:position w:val="17"/>
                <w:sz w:val="24"/>
                <w:highlight w:val="none"/>
              </w:rPr>
              <w:t>1</w:t>
            </w:r>
            <w:r>
              <w:rPr>
                <w:color w:val="auto"/>
                <w:spacing w:val="-9"/>
                <w:position w:val="17"/>
                <w:sz w:val="24"/>
                <w:highlight w:val="none"/>
              </w:rPr>
              <w:t>，q2，...，qn——每种危险物质的最大存在总量，t；</w:t>
            </w:r>
          </w:p>
          <w:p w14:paraId="4AA957CF">
            <w:pPr>
              <w:spacing w:before="1" w:line="215" w:lineRule="auto"/>
              <w:ind w:left="590"/>
              <w:rPr>
                <w:color w:val="auto"/>
                <w:sz w:val="24"/>
                <w:highlight w:val="none"/>
              </w:rPr>
            </w:pPr>
            <w:r>
              <w:rPr>
                <w:color w:val="auto"/>
                <w:spacing w:val="-4"/>
                <w:sz w:val="24"/>
                <w:highlight w:val="none"/>
              </w:rPr>
              <w:t>Q</w:t>
            </w:r>
            <w:r>
              <w:rPr>
                <w:color w:val="auto"/>
                <w:spacing w:val="-6"/>
                <w:sz w:val="24"/>
                <w:highlight w:val="none"/>
              </w:rPr>
              <w:t>1</w:t>
            </w:r>
            <w:r>
              <w:rPr>
                <w:color w:val="auto"/>
                <w:spacing w:val="-4"/>
                <w:sz w:val="24"/>
                <w:highlight w:val="none"/>
              </w:rPr>
              <w:t>,Q2,...,Qn——每种危险物质的临界量，t。</w:t>
            </w:r>
          </w:p>
          <w:p w14:paraId="5D9A729E">
            <w:pPr>
              <w:spacing w:before="185" w:line="216" w:lineRule="auto"/>
              <w:ind w:left="606"/>
              <w:rPr>
                <w:color w:val="auto"/>
                <w:sz w:val="24"/>
                <w:highlight w:val="none"/>
              </w:rPr>
            </w:pPr>
            <w:r>
              <w:rPr>
                <w:color w:val="auto"/>
                <w:spacing w:val="-7"/>
                <w:sz w:val="24"/>
                <w:highlight w:val="none"/>
              </w:rPr>
              <w:t>当</w:t>
            </w:r>
            <w:r>
              <w:rPr>
                <w:color w:val="auto"/>
                <w:spacing w:val="-4"/>
                <w:sz w:val="24"/>
                <w:highlight w:val="none"/>
              </w:rPr>
              <w:t>Q＜1时，该项目环境风险潜势为Ⅰ。</w:t>
            </w:r>
          </w:p>
          <w:p w14:paraId="092C101D">
            <w:pPr>
              <w:spacing w:before="185" w:line="216" w:lineRule="auto"/>
              <w:ind w:left="606"/>
              <w:rPr>
                <w:color w:val="auto"/>
                <w:spacing w:val="-9"/>
                <w:sz w:val="24"/>
                <w:highlight w:val="none"/>
              </w:rPr>
            </w:pPr>
            <w:r>
              <w:rPr>
                <w:color w:val="auto"/>
                <w:spacing w:val="-9"/>
                <w:sz w:val="24"/>
                <w:highlight w:val="none"/>
              </w:rPr>
              <w:t>当Q≥1时，将Q值划分为：</w:t>
            </w:r>
            <w:r>
              <w:rPr>
                <w:rFonts w:hint="eastAsia"/>
                <w:color w:val="auto"/>
                <w:spacing w:val="-9"/>
                <w:sz w:val="24"/>
                <w:highlight w:val="none"/>
                <w:lang w:eastAsia="zh-CN"/>
              </w:rPr>
              <w:t>（</w:t>
            </w:r>
            <w:r>
              <w:rPr>
                <w:rFonts w:hint="eastAsia"/>
                <w:color w:val="auto"/>
                <w:spacing w:val="-9"/>
                <w:sz w:val="24"/>
                <w:highlight w:val="none"/>
                <w:lang w:val="en-US" w:eastAsia="zh-CN"/>
              </w:rPr>
              <w:t>1</w:t>
            </w:r>
            <w:r>
              <w:rPr>
                <w:rFonts w:hint="eastAsia"/>
                <w:color w:val="auto"/>
                <w:spacing w:val="-9"/>
                <w:sz w:val="24"/>
                <w:highlight w:val="none"/>
                <w:lang w:eastAsia="zh-CN"/>
              </w:rPr>
              <w:t>）</w:t>
            </w:r>
            <w:r>
              <w:rPr>
                <w:color w:val="auto"/>
                <w:spacing w:val="-9"/>
                <w:sz w:val="24"/>
                <w:highlight w:val="none"/>
              </w:rPr>
              <w:t>1≤Q＜10；</w:t>
            </w:r>
            <w:r>
              <w:rPr>
                <w:rFonts w:hint="eastAsia"/>
                <w:color w:val="auto"/>
                <w:spacing w:val="-9"/>
                <w:sz w:val="24"/>
                <w:highlight w:val="none"/>
                <w:lang w:eastAsia="zh-CN"/>
              </w:rPr>
              <w:t>（</w:t>
            </w:r>
            <w:r>
              <w:rPr>
                <w:rFonts w:hint="eastAsia"/>
                <w:color w:val="auto"/>
                <w:spacing w:val="-9"/>
                <w:sz w:val="24"/>
                <w:highlight w:val="none"/>
                <w:lang w:val="en-US" w:eastAsia="zh-CN"/>
              </w:rPr>
              <w:t>2</w:t>
            </w:r>
            <w:r>
              <w:rPr>
                <w:rFonts w:hint="eastAsia"/>
                <w:color w:val="auto"/>
                <w:spacing w:val="-9"/>
                <w:sz w:val="24"/>
                <w:highlight w:val="none"/>
                <w:lang w:eastAsia="zh-CN"/>
              </w:rPr>
              <w:t>）</w:t>
            </w:r>
            <w:r>
              <w:rPr>
                <w:color w:val="auto"/>
                <w:spacing w:val="-9"/>
                <w:sz w:val="24"/>
                <w:highlight w:val="none"/>
              </w:rPr>
              <w:t>10≤Q＜100；</w:t>
            </w:r>
            <w:r>
              <w:rPr>
                <w:rFonts w:hint="eastAsia"/>
                <w:color w:val="auto"/>
                <w:spacing w:val="-9"/>
                <w:sz w:val="24"/>
                <w:highlight w:val="none"/>
                <w:lang w:eastAsia="zh-CN"/>
              </w:rPr>
              <w:t>（</w:t>
            </w:r>
            <w:r>
              <w:rPr>
                <w:rFonts w:hint="eastAsia"/>
                <w:color w:val="auto"/>
                <w:spacing w:val="-9"/>
                <w:sz w:val="24"/>
                <w:highlight w:val="none"/>
                <w:lang w:val="en-US" w:eastAsia="zh-CN"/>
              </w:rPr>
              <w:t>3</w:t>
            </w:r>
            <w:r>
              <w:rPr>
                <w:rFonts w:hint="eastAsia"/>
                <w:color w:val="auto"/>
                <w:spacing w:val="-9"/>
                <w:sz w:val="24"/>
                <w:highlight w:val="none"/>
                <w:lang w:eastAsia="zh-CN"/>
              </w:rPr>
              <w:t>）</w:t>
            </w:r>
            <w:r>
              <w:rPr>
                <w:color w:val="auto"/>
                <w:spacing w:val="-4"/>
                <w:sz w:val="24"/>
                <w:highlight w:val="none"/>
              </w:rPr>
              <w:t>Q</w:t>
            </w:r>
            <w:r>
              <w:rPr>
                <w:color w:val="auto"/>
                <w:spacing w:val="-9"/>
                <w:sz w:val="24"/>
                <w:highlight w:val="none"/>
              </w:rPr>
              <w:t>≥100。</w:t>
            </w:r>
          </w:p>
          <w:p w14:paraId="7A72CD8C">
            <w:pPr>
              <w:autoSpaceDE w:val="0"/>
              <w:autoSpaceDN w:val="0"/>
              <w:jc w:val="center"/>
              <w:rPr>
                <w:b/>
                <w:bCs/>
                <w:color w:val="auto"/>
                <w:kern w:val="0"/>
                <w:szCs w:val="21"/>
                <w:highlight w:val="none"/>
              </w:rPr>
            </w:pPr>
          </w:p>
          <w:p w14:paraId="214469B9">
            <w:pPr>
              <w:autoSpaceDE w:val="0"/>
              <w:autoSpaceDN w:val="0"/>
              <w:jc w:val="center"/>
              <w:rPr>
                <w:b/>
                <w:bCs/>
                <w:i/>
                <w:iCs/>
                <w:color w:val="auto"/>
                <w:kern w:val="0"/>
                <w:sz w:val="24"/>
                <w:highlight w:val="none"/>
                <w:u w:val="single"/>
              </w:rPr>
            </w:pPr>
            <w:r>
              <w:rPr>
                <w:b/>
                <w:bCs/>
                <w:i/>
                <w:iCs/>
                <w:color w:val="auto"/>
                <w:kern w:val="0"/>
                <w:sz w:val="24"/>
                <w:highlight w:val="none"/>
                <w:u w:val="single"/>
              </w:rPr>
              <w:t>表4-</w:t>
            </w:r>
            <w:r>
              <w:rPr>
                <w:rFonts w:hint="eastAsia"/>
                <w:b/>
                <w:bCs/>
                <w:i/>
                <w:iCs/>
                <w:color w:val="auto"/>
                <w:kern w:val="0"/>
                <w:sz w:val="24"/>
                <w:highlight w:val="none"/>
                <w:u w:val="single"/>
              </w:rPr>
              <w:t xml:space="preserve">19 </w:t>
            </w:r>
            <w:r>
              <w:rPr>
                <w:b/>
                <w:bCs/>
                <w:i/>
                <w:iCs/>
                <w:color w:val="auto"/>
                <w:kern w:val="0"/>
                <w:sz w:val="24"/>
                <w:highlight w:val="none"/>
                <w:u w:val="single"/>
              </w:rPr>
              <w:t>建设项目Q值确定表</w:t>
            </w:r>
          </w:p>
          <w:tbl>
            <w:tblPr>
              <w:tblStyle w:val="52"/>
              <w:tblW w:w="4998" w:type="pct"/>
              <w:tblInd w:w="0"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558"/>
              <w:gridCol w:w="1203"/>
              <w:gridCol w:w="2040"/>
              <w:gridCol w:w="1464"/>
              <w:gridCol w:w="1457"/>
            </w:tblGrid>
            <w:tr w14:paraId="544C7BB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11" w:type="pct"/>
                  <w:tcBorders>
                    <w:tl2br w:val="nil"/>
                    <w:tr2bl w:val="nil"/>
                  </w:tcBorders>
                  <w:vAlign w:val="center"/>
                </w:tcPr>
                <w:p w14:paraId="5898AD68">
                  <w:pPr>
                    <w:jc w:val="center"/>
                    <w:rPr>
                      <w:i/>
                      <w:iCs/>
                      <w:color w:val="auto"/>
                      <w:szCs w:val="21"/>
                      <w:highlight w:val="none"/>
                      <w:u w:val="single"/>
                    </w:rPr>
                  </w:pPr>
                  <w:r>
                    <w:rPr>
                      <w:i/>
                      <w:iCs/>
                      <w:color w:val="auto"/>
                      <w:spacing w:val="-2"/>
                      <w:szCs w:val="21"/>
                      <w:highlight w:val="none"/>
                      <w:u w:val="single"/>
                    </w:rPr>
                    <w:t>序</w:t>
                  </w:r>
                  <w:r>
                    <w:rPr>
                      <w:i/>
                      <w:iCs/>
                      <w:color w:val="auto"/>
                      <w:spacing w:val="-1"/>
                      <w:szCs w:val="21"/>
                      <w:highlight w:val="none"/>
                      <w:u w:val="single"/>
                    </w:rPr>
                    <w:t>号</w:t>
                  </w:r>
                </w:p>
              </w:tc>
              <w:tc>
                <w:tcPr>
                  <w:tcW w:w="925" w:type="pct"/>
                  <w:tcBorders>
                    <w:tl2br w:val="nil"/>
                    <w:tr2bl w:val="nil"/>
                  </w:tcBorders>
                  <w:vAlign w:val="center"/>
                </w:tcPr>
                <w:p w14:paraId="74414865">
                  <w:pPr>
                    <w:jc w:val="center"/>
                    <w:rPr>
                      <w:i/>
                      <w:iCs/>
                      <w:color w:val="auto"/>
                      <w:szCs w:val="21"/>
                      <w:highlight w:val="none"/>
                      <w:u w:val="single"/>
                    </w:rPr>
                  </w:pPr>
                  <w:r>
                    <w:rPr>
                      <w:i/>
                      <w:iCs/>
                      <w:color w:val="auto"/>
                      <w:spacing w:val="-1"/>
                      <w:szCs w:val="21"/>
                      <w:highlight w:val="none"/>
                      <w:u w:val="single"/>
                    </w:rPr>
                    <w:t>危险物质名</w:t>
                  </w:r>
                  <w:r>
                    <w:rPr>
                      <w:i/>
                      <w:iCs/>
                      <w:color w:val="auto"/>
                      <w:szCs w:val="21"/>
                      <w:highlight w:val="none"/>
                      <w:u w:val="single"/>
                    </w:rPr>
                    <w:t>称</w:t>
                  </w:r>
                </w:p>
              </w:tc>
              <w:tc>
                <w:tcPr>
                  <w:tcW w:w="715" w:type="pct"/>
                  <w:tcBorders>
                    <w:tl2br w:val="nil"/>
                    <w:tr2bl w:val="nil"/>
                  </w:tcBorders>
                  <w:vAlign w:val="center"/>
                </w:tcPr>
                <w:p w14:paraId="07832DD3">
                  <w:pPr>
                    <w:jc w:val="center"/>
                    <w:rPr>
                      <w:i/>
                      <w:iCs/>
                      <w:color w:val="auto"/>
                      <w:szCs w:val="21"/>
                      <w:highlight w:val="none"/>
                      <w:u w:val="single"/>
                    </w:rPr>
                  </w:pPr>
                  <w:r>
                    <w:rPr>
                      <w:i/>
                      <w:iCs/>
                      <w:color w:val="auto"/>
                      <w:szCs w:val="21"/>
                      <w:highlight w:val="none"/>
                      <w:u w:val="single"/>
                    </w:rPr>
                    <w:t>CAS号</w:t>
                  </w:r>
                </w:p>
              </w:tc>
              <w:tc>
                <w:tcPr>
                  <w:tcW w:w="1212" w:type="pct"/>
                  <w:tcBorders>
                    <w:tl2br w:val="nil"/>
                    <w:tr2bl w:val="nil"/>
                  </w:tcBorders>
                  <w:vAlign w:val="center"/>
                </w:tcPr>
                <w:p w14:paraId="4E81B71E">
                  <w:pPr>
                    <w:jc w:val="center"/>
                    <w:rPr>
                      <w:i/>
                      <w:iCs/>
                      <w:color w:val="auto"/>
                      <w:szCs w:val="21"/>
                      <w:highlight w:val="none"/>
                      <w:u w:val="single"/>
                    </w:rPr>
                  </w:pPr>
                  <w:r>
                    <w:rPr>
                      <w:i/>
                      <w:iCs/>
                      <w:color w:val="auto"/>
                      <w:spacing w:val="-6"/>
                      <w:szCs w:val="21"/>
                      <w:highlight w:val="none"/>
                      <w:u w:val="single"/>
                    </w:rPr>
                    <w:t>最大存储量qn/t</w:t>
                  </w:r>
                </w:p>
              </w:tc>
              <w:tc>
                <w:tcPr>
                  <w:tcW w:w="869" w:type="pct"/>
                  <w:tcBorders>
                    <w:tl2br w:val="nil"/>
                    <w:tr2bl w:val="nil"/>
                  </w:tcBorders>
                  <w:vAlign w:val="center"/>
                </w:tcPr>
                <w:p w14:paraId="615ACDF7">
                  <w:pPr>
                    <w:jc w:val="center"/>
                    <w:rPr>
                      <w:i/>
                      <w:iCs/>
                      <w:color w:val="auto"/>
                      <w:szCs w:val="21"/>
                      <w:highlight w:val="none"/>
                      <w:u w:val="single"/>
                    </w:rPr>
                  </w:pPr>
                  <w:r>
                    <w:rPr>
                      <w:i/>
                      <w:iCs/>
                      <w:color w:val="auto"/>
                      <w:spacing w:val="-12"/>
                      <w:szCs w:val="21"/>
                      <w:highlight w:val="none"/>
                      <w:u w:val="single"/>
                    </w:rPr>
                    <w:t>临</w:t>
                  </w:r>
                  <w:r>
                    <w:rPr>
                      <w:i/>
                      <w:iCs/>
                      <w:color w:val="auto"/>
                      <w:spacing w:val="-9"/>
                      <w:szCs w:val="21"/>
                      <w:highlight w:val="none"/>
                      <w:u w:val="single"/>
                    </w:rPr>
                    <w:t>界量Q/t</w:t>
                  </w:r>
                </w:p>
              </w:tc>
              <w:tc>
                <w:tcPr>
                  <w:tcW w:w="866" w:type="pct"/>
                  <w:tcBorders>
                    <w:tl2br w:val="nil"/>
                    <w:tr2bl w:val="nil"/>
                  </w:tcBorders>
                  <w:vAlign w:val="center"/>
                </w:tcPr>
                <w:p w14:paraId="739C754A">
                  <w:pPr>
                    <w:jc w:val="center"/>
                    <w:rPr>
                      <w:i/>
                      <w:iCs/>
                      <w:color w:val="auto"/>
                      <w:spacing w:val="-12"/>
                      <w:szCs w:val="21"/>
                      <w:highlight w:val="none"/>
                      <w:u w:val="single"/>
                    </w:rPr>
                  </w:pPr>
                  <w:r>
                    <w:rPr>
                      <w:i/>
                      <w:iCs/>
                      <w:color w:val="auto"/>
                      <w:spacing w:val="-12"/>
                      <w:szCs w:val="21"/>
                      <w:highlight w:val="none"/>
                      <w:u w:val="single"/>
                    </w:rPr>
                    <w:t>Q值</w:t>
                  </w:r>
                </w:p>
              </w:tc>
            </w:tr>
            <w:tr w14:paraId="57F26F8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11" w:type="pct"/>
                  <w:tcBorders>
                    <w:tl2br w:val="nil"/>
                    <w:tr2bl w:val="nil"/>
                  </w:tcBorders>
                  <w:vAlign w:val="center"/>
                </w:tcPr>
                <w:p w14:paraId="1531E6AE">
                  <w:pPr>
                    <w:jc w:val="center"/>
                    <w:rPr>
                      <w:i/>
                      <w:iCs/>
                      <w:color w:val="auto"/>
                      <w:szCs w:val="21"/>
                      <w:highlight w:val="none"/>
                      <w:u w:val="single"/>
                    </w:rPr>
                  </w:pPr>
                  <w:r>
                    <w:rPr>
                      <w:i/>
                      <w:iCs/>
                      <w:color w:val="auto"/>
                      <w:szCs w:val="21"/>
                      <w:highlight w:val="none"/>
                      <w:u w:val="single"/>
                    </w:rPr>
                    <w:t>1</w:t>
                  </w:r>
                </w:p>
              </w:tc>
              <w:tc>
                <w:tcPr>
                  <w:tcW w:w="925" w:type="pct"/>
                  <w:tcBorders>
                    <w:tl2br w:val="nil"/>
                    <w:tr2bl w:val="nil"/>
                  </w:tcBorders>
                  <w:vAlign w:val="center"/>
                </w:tcPr>
                <w:p w14:paraId="366B6F96">
                  <w:pPr>
                    <w:jc w:val="center"/>
                    <w:rPr>
                      <w:i/>
                      <w:iCs/>
                      <w:color w:val="auto"/>
                      <w:szCs w:val="21"/>
                      <w:highlight w:val="none"/>
                      <w:u w:val="single"/>
                    </w:rPr>
                  </w:pPr>
                  <w:r>
                    <w:rPr>
                      <w:rFonts w:hint="eastAsia"/>
                      <w:i/>
                      <w:iCs/>
                      <w:color w:val="auto"/>
                      <w:szCs w:val="21"/>
                      <w:highlight w:val="none"/>
                      <w:u w:val="single"/>
                    </w:rPr>
                    <w:t>次氯酸钠</w:t>
                  </w:r>
                </w:p>
              </w:tc>
              <w:tc>
                <w:tcPr>
                  <w:tcW w:w="715" w:type="pct"/>
                  <w:tcBorders>
                    <w:tl2br w:val="nil"/>
                    <w:tr2bl w:val="nil"/>
                  </w:tcBorders>
                  <w:vAlign w:val="center"/>
                </w:tcPr>
                <w:p w14:paraId="52A4A72E">
                  <w:pPr>
                    <w:jc w:val="center"/>
                    <w:rPr>
                      <w:i/>
                      <w:iCs/>
                      <w:color w:val="auto"/>
                      <w:szCs w:val="21"/>
                      <w:highlight w:val="none"/>
                      <w:u w:val="single"/>
                    </w:rPr>
                  </w:pPr>
                  <w:r>
                    <w:rPr>
                      <w:i/>
                      <w:iCs/>
                      <w:color w:val="auto"/>
                      <w:szCs w:val="21"/>
                      <w:highlight w:val="none"/>
                      <w:u w:val="single"/>
                    </w:rPr>
                    <w:t>7681-52-9</w:t>
                  </w:r>
                </w:p>
              </w:tc>
              <w:tc>
                <w:tcPr>
                  <w:tcW w:w="1212" w:type="pct"/>
                  <w:tcBorders>
                    <w:tl2br w:val="nil"/>
                    <w:tr2bl w:val="nil"/>
                  </w:tcBorders>
                  <w:vAlign w:val="center"/>
                </w:tcPr>
                <w:p w14:paraId="11AE79D0">
                  <w:pPr>
                    <w:jc w:val="center"/>
                    <w:rPr>
                      <w:i/>
                      <w:iCs/>
                      <w:color w:val="auto"/>
                      <w:szCs w:val="21"/>
                      <w:highlight w:val="none"/>
                      <w:u w:val="single"/>
                    </w:rPr>
                  </w:pPr>
                  <w:r>
                    <w:rPr>
                      <w:rFonts w:hint="eastAsia"/>
                      <w:i/>
                      <w:iCs/>
                      <w:color w:val="auto"/>
                      <w:szCs w:val="21"/>
                      <w:highlight w:val="none"/>
                      <w:u w:val="single"/>
                    </w:rPr>
                    <w:t>0.05</w:t>
                  </w:r>
                </w:p>
              </w:tc>
              <w:tc>
                <w:tcPr>
                  <w:tcW w:w="869" w:type="pct"/>
                  <w:tcBorders>
                    <w:tl2br w:val="nil"/>
                    <w:tr2bl w:val="nil"/>
                  </w:tcBorders>
                  <w:vAlign w:val="center"/>
                </w:tcPr>
                <w:p w14:paraId="6D83DBD4">
                  <w:pPr>
                    <w:jc w:val="center"/>
                    <w:rPr>
                      <w:i/>
                      <w:iCs/>
                      <w:color w:val="auto"/>
                      <w:spacing w:val="-1"/>
                      <w:szCs w:val="21"/>
                      <w:highlight w:val="none"/>
                      <w:u w:val="single"/>
                    </w:rPr>
                  </w:pPr>
                  <w:r>
                    <w:rPr>
                      <w:rFonts w:hint="eastAsia"/>
                      <w:i/>
                      <w:iCs/>
                      <w:color w:val="auto"/>
                      <w:spacing w:val="-1"/>
                      <w:szCs w:val="21"/>
                      <w:highlight w:val="none"/>
                      <w:u w:val="single"/>
                    </w:rPr>
                    <w:t>5</w:t>
                  </w:r>
                </w:p>
              </w:tc>
              <w:tc>
                <w:tcPr>
                  <w:tcW w:w="866" w:type="pct"/>
                  <w:tcBorders>
                    <w:tl2br w:val="nil"/>
                    <w:tr2bl w:val="nil"/>
                  </w:tcBorders>
                  <w:vAlign w:val="center"/>
                </w:tcPr>
                <w:p w14:paraId="769547DA">
                  <w:pPr>
                    <w:jc w:val="center"/>
                    <w:rPr>
                      <w:i/>
                      <w:iCs/>
                      <w:color w:val="auto"/>
                      <w:spacing w:val="-1"/>
                      <w:szCs w:val="21"/>
                      <w:highlight w:val="none"/>
                      <w:u w:val="single"/>
                    </w:rPr>
                  </w:pPr>
                  <w:r>
                    <w:rPr>
                      <w:rFonts w:hint="eastAsia"/>
                      <w:i/>
                      <w:iCs/>
                      <w:color w:val="auto"/>
                      <w:spacing w:val="-1"/>
                      <w:szCs w:val="21"/>
                      <w:highlight w:val="none"/>
                      <w:u w:val="single"/>
                    </w:rPr>
                    <w:t>0.01</w:t>
                  </w:r>
                </w:p>
              </w:tc>
            </w:tr>
            <w:tr w14:paraId="6DCFF90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11" w:type="pct"/>
                  <w:tcBorders>
                    <w:tl2br w:val="nil"/>
                    <w:tr2bl w:val="nil"/>
                  </w:tcBorders>
                  <w:vAlign w:val="center"/>
                </w:tcPr>
                <w:p w14:paraId="0AAC84B4">
                  <w:pPr>
                    <w:jc w:val="center"/>
                    <w:rPr>
                      <w:i/>
                      <w:iCs/>
                      <w:color w:val="auto"/>
                      <w:szCs w:val="21"/>
                      <w:highlight w:val="none"/>
                      <w:u w:val="single"/>
                    </w:rPr>
                  </w:pPr>
                  <w:r>
                    <w:rPr>
                      <w:rFonts w:hint="eastAsia"/>
                      <w:i/>
                      <w:iCs/>
                      <w:color w:val="auto"/>
                      <w:szCs w:val="21"/>
                      <w:highlight w:val="none"/>
                      <w:u w:val="single"/>
                    </w:rPr>
                    <w:t>2</w:t>
                  </w:r>
                </w:p>
              </w:tc>
              <w:tc>
                <w:tcPr>
                  <w:tcW w:w="925" w:type="pct"/>
                  <w:tcBorders>
                    <w:tl2br w:val="nil"/>
                    <w:tr2bl w:val="nil"/>
                  </w:tcBorders>
                  <w:vAlign w:val="center"/>
                </w:tcPr>
                <w:p w14:paraId="176BA2E4">
                  <w:pPr>
                    <w:jc w:val="center"/>
                    <w:rPr>
                      <w:i/>
                      <w:iCs/>
                      <w:color w:val="auto"/>
                      <w:szCs w:val="21"/>
                      <w:highlight w:val="none"/>
                      <w:u w:val="single"/>
                    </w:rPr>
                  </w:pPr>
                  <w:r>
                    <w:rPr>
                      <w:rFonts w:hint="eastAsia"/>
                      <w:i/>
                      <w:iCs/>
                      <w:color w:val="auto"/>
                      <w:szCs w:val="21"/>
                      <w:highlight w:val="none"/>
                      <w:u w:val="single"/>
                    </w:rPr>
                    <w:t>酒精</w:t>
                  </w:r>
                </w:p>
              </w:tc>
              <w:tc>
                <w:tcPr>
                  <w:tcW w:w="715" w:type="pct"/>
                  <w:tcBorders>
                    <w:tl2br w:val="nil"/>
                    <w:tr2bl w:val="nil"/>
                  </w:tcBorders>
                  <w:vAlign w:val="center"/>
                </w:tcPr>
                <w:p w14:paraId="1754D2D5">
                  <w:pPr>
                    <w:jc w:val="center"/>
                    <w:rPr>
                      <w:i/>
                      <w:iCs/>
                      <w:color w:val="auto"/>
                      <w:szCs w:val="21"/>
                      <w:highlight w:val="none"/>
                      <w:u w:val="single"/>
                    </w:rPr>
                  </w:pPr>
                  <w:r>
                    <w:rPr>
                      <w:i/>
                      <w:iCs/>
                      <w:color w:val="auto"/>
                      <w:szCs w:val="21"/>
                      <w:highlight w:val="none"/>
                      <w:u w:val="single"/>
                    </w:rPr>
                    <w:t>64-17-5</w:t>
                  </w:r>
                </w:p>
              </w:tc>
              <w:tc>
                <w:tcPr>
                  <w:tcW w:w="1212" w:type="pct"/>
                  <w:tcBorders>
                    <w:tl2br w:val="nil"/>
                    <w:tr2bl w:val="nil"/>
                  </w:tcBorders>
                  <w:vAlign w:val="center"/>
                </w:tcPr>
                <w:p w14:paraId="2C28EC3A">
                  <w:pPr>
                    <w:jc w:val="center"/>
                    <w:rPr>
                      <w:i/>
                      <w:iCs/>
                      <w:color w:val="auto"/>
                      <w:szCs w:val="21"/>
                      <w:highlight w:val="none"/>
                      <w:u w:val="single"/>
                    </w:rPr>
                  </w:pPr>
                  <w:r>
                    <w:rPr>
                      <w:rFonts w:hint="eastAsia"/>
                      <w:i/>
                      <w:iCs/>
                      <w:color w:val="auto"/>
                      <w:szCs w:val="21"/>
                      <w:highlight w:val="none"/>
                      <w:u w:val="single"/>
                    </w:rPr>
                    <w:t>0.5</w:t>
                  </w:r>
                </w:p>
              </w:tc>
              <w:tc>
                <w:tcPr>
                  <w:tcW w:w="869" w:type="pct"/>
                  <w:tcBorders>
                    <w:tl2br w:val="nil"/>
                    <w:tr2bl w:val="nil"/>
                  </w:tcBorders>
                  <w:vAlign w:val="center"/>
                </w:tcPr>
                <w:p w14:paraId="38FB4569">
                  <w:pPr>
                    <w:jc w:val="center"/>
                    <w:rPr>
                      <w:rFonts w:hint="default" w:eastAsia="宋体"/>
                      <w:i/>
                      <w:iCs/>
                      <w:color w:val="auto"/>
                      <w:spacing w:val="-1"/>
                      <w:szCs w:val="21"/>
                      <w:highlight w:val="none"/>
                      <w:u w:val="single"/>
                      <w:lang w:val="en-US" w:eastAsia="zh-CN"/>
                    </w:rPr>
                  </w:pPr>
                  <w:r>
                    <w:rPr>
                      <w:rFonts w:hint="eastAsia"/>
                      <w:i/>
                      <w:iCs/>
                      <w:color w:val="auto"/>
                      <w:spacing w:val="-1"/>
                      <w:szCs w:val="21"/>
                      <w:highlight w:val="none"/>
                      <w:u w:val="single"/>
                      <w:lang w:val="en-US" w:eastAsia="zh-CN"/>
                    </w:rPr>
                    <w:t>500</w:t>
                  </w:r>
                </w:p>
              </w:tc>
              <w:tc>
                <w:tcPr>
                  <w:tcW w:w="866" w:type="pct"/>
                  <w:tcBorders>
                    <w:tl2br w:val="nil"/>
                    <w:tr2bl w:val="nil"/>
                  </w:tcBorders>
                  <w:vAlign w:val="center"/>
                </w:tcPr>
                <w:p w14:paraId="1AA2ACE8">
                  <w:pPr>
                    <w:jc w:val="center"/>
                    <w:rPr>
                      <w:rFonts w:hint="default" w:eastAsia="宋体"/>
                      <w:i/>
                      <w:iCs/>
                      <w:color w:val="auto"/>
                      <w:spacing w:val="-1"/>
                      <w:szCs w:val="21"/>
                      <w:highlight w:val="none"/>
                      <w:u w:val="single"/>
                      <w:lang w:val="en-US" w:eastAsia="zh-CN"/>
                    </w:rPr>
                  </w:pPr>
                  <w:r>
                    <w:rPr>
                      <w:rFonts w:hint="eastAsia"/>
                      <w:i/>
                      <w:iCs/>
                      <w:color w:val="auto"/>
                      <w:spacing w:val="-1"/>
                      <w:szCs w:val="21"/>
                      <w:highlight w:val="none"/>
                      <w:u w:val="single"/>
                      <w:lang w:val="en-US" w:eastAsia="zh-CN"/>
                    </w:rPr>
                    <w:t>0.001</w:t>
                  </w:r>
                </w:p>
              </w:tc>
            </w:tr>
            <w:tr w14:paraId="58E86CF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11" w:type="pct"/>
                  <w:tcBorders>
                    <w:tl2br w:val="nil"/>
                    <w:tr2bl w:val="nil"/>
                  </w:tcBorders>
                  <w:vAlign w:val="center"/>
                </w:tcPr>
                <w:p w14:paraId="11566ABB">
                  <w:pPr>
                    <w:jc w:val="center"/>
                    <w:rPr>
                      <w:rFonts w:hint="eastAsia" w:eastAsia="宋体"/>
                      <w:i/>
                      <w:iCs/>
                      <w:color w:val="auto"/>
                      <w:szCs w:val="21"/>
                      <w:highlight w:val="none"/>
                      <w:u w:val="single"/>
                      <w:lang w:val="en-US" w:eastAsia="zh-CN"/>
                    </w:rPr>
                  </w:pPr>
                  <w:r>
                    <w:rPr>
                      <w:rFonts w:hint="eastAsia"/>
                      <w:i/>
                      <w:iCs/>
                      <w:color w:val="auto"/>
                      <w:szCs w:val="21"/>
                      <w:highlight w:val="none"/>
                      <w:u w:val="single"/>
                      <w:lang w:val="en-US" w:eastAsia="zh-CN"/>
                    </w:rPr>
                    <w:t>3</w:t>
                  </w:r>
                </w:p>
              </w:tc>
              <w:tc>
                <w:tcPr>
                  <w:tcW w:w="925" w:type="pct"/>
                  <w:tcBorders>
                    <w:tl2br w:val="nil"/>
                    <w:tr2bl w:val="nil"/>
                  </w:tcBorders>
                  <w:vAlign w:val="center"/>
                </w:tcPr>
                <w:p w14:paraId="6A3CD707">
                  <w:pPr>
                    <w:jc w:val="center"/>
                    <w:rPr>
                      <w:rFonts w:hint="eastAsia" w:eastAsia="宋体"/>
                      <w:i/>
                      <w:iCs/>
                      <w:color w:val="auto"/>
                      <w:szCs w:val="21"/>
                      <w:highlight w:val="none"/>
                      <w:u w:val="single"/>
                      <w:lang w:eastAsia="zh-CN"/>
                    </w:rPr>
                  </w:pPr>
                  <w:r>
                    <w:rPr>
                      <w:rFonts w:hint="eastAsia"/>
                      <w:i/>
                      <w:iCs/>
                      <w:color w:val="auto"/>
                      <w:szCs w:val="21"/>
                      <w:highlight w:val="none"/>
                      <w:u w:val="single"/>
                      <w:lang w:eastAsia="zh-CN"/>
                    </w:rPr>
                    <w:t>柴油</w:t>
                  </w:r>
                </w:p>
              </w:tc>
              <w:tc>
                <w:tcPr>
                  <w:tcW w:w="715" w:type="pct"/>
                  <w:tcBorders>
                    <w:tl2br w:val="nil"/>
                    <w:tr2bl w:val="nil"/>
                  </w:tcBorders>
                  <w:vAlign w:val="center"/>
                </w:tcPr>
                <w:p w14:paraId="5226BD8A">
                  <w:pPr>
                    <w:jc w:val="center"/>
                    <w:rPr>
                      <w:rFonts w:hint="eastAsia" w:eastAsia="宋体"/>
                      <w:i/>
                      <w:iCs/>
                      <w:color w:val="auto"/>
                      <w:szCs w:val="21"/>
                      <w:highlight w:val="none"/>
                      <w:u w:val="single"/>
                      <w:lang w:val="en-US" w:eastAsia="zh-CN"/>
                    </w:rPr>
                  </w:pPr>
                  <w:r>
                    <w:rPr>
                      <w:rFonts w:hint="eastAsia"/>
                      <w:i/>
                      <w:iCs/>
                      <w:color w:val="auto"/>
                      <w:szCs w:val="21"/>
                      <w:highlight w:val="none"/>
                      <w:u w:val="single"/>
                      <w:lang w:val="en-US" w:eastAsia="zh-CN"/>
                    </w:rPr>
                    <w:t>/</w:t>
                  </w:r>
                </w:p>
              </w:tc>
              <w:tc>
                <w:tcPr>
                  <w:tcW w:w="1212" w:type="pct"/>
                  <w:tcBorders>
                    <w:tl2br w:val="nil"/>
                    <w:tr2bl w:val="nil"/>
                  </w:tcBorders>
                  <w:vAlign w:val="center"/>
                </w:tcPr>
                <w:p w14:paraId="78B6BECC">
                  <w:pPr>
                    <w:jc w:val="center"/>
                    <w:rPr>
                      <w:rFonts w:hint="eastAsia"/>
                      <w:i/>
                      <w:iCs/>
                      <w:color w:val="auto"/>
                      <w:szCs w:val="21"/>
                      <w:highlight w:val="none"/>
                      <w:u w:val="single"/>
                    </w:rPr>
                  </w:pPr>
                  <w:r>
                    <w:rPr>
                      <w:rFonts w:hint="eastAsia"/>
                      <w:i/>
                      <w:iCs/>
                      <w:color w:val="auto"/>
                      <w:szCs w:val="21"/>
                      <w:highlight w:val="none"/>
                      <w:u w:val="single"/>
                      <w:lang w:val="en-US" w:eastAsia="zh-CN"/>
                    </w:rPr>
                    <w:t>0.166</w:t>
                  </w:r>
                </w:p>
              </w:tc>
              <w:tc>
                <w:tcPr>
                  <w:tcW w:w="869" w:type="pct"/>
                  <w:tcBorders>
                    <w:tl2br w:val="nil"/>
                    <w:tr2bl w:val="nil"/>
                  </w:tcBorders>
                  <w:vAlign w:val="center"/>
                </w:tcPr>
                <w:p w14:paraId="1CA0A326">
                  <w:pPr>
                    <w:jc w:val="center"/>
                    <w:rPr>
                      <w:rFonts w:hint="default"/>
                      <w:i/>
                      <w:iCs/>
                      <w:color w:val="auto"/>
                      <w:spacing w:val="-1"/>
                      <w:szCs w:val="21"/>
                      <w:highlight w:val="none"/>
                      <w:u w:val="single"/>
                      <w:lang w:val="en-US" w:eastAsia="zh-CN"/>
                    </w:rPr>
                  </w:pPr>
                  <w:r>
                    <w:rPr>
                      <w:rFonts w:hint="eastAsia"/>
                      <w:i/>
                      <w:iCs/>
                      <w:color w:val="auto"/>
                      <w:spacing w:val="-1"/>
                      <w:szCs w:val="21"/>
                      <w:highlight w:val="none"/>
                      <w:u w:val="single"/>
                      <w:lang w:val="en-US" w:eastAsia="zh-CN"/>
                    </w:rPr>
                    <w:t>2500</w:t>
                  </w:r>
                </w:p>
              </w:tc>
              <w:tc>
                <w:tcPr>
                  <w:tcW w:w="866" w:type="pct"/>
                  <w:tcBorders>
                    <w:tl2br w:val="nil"/>
                    <w:tr2bl w:val="nil"/>
                  </w:tcBorders>
                  <w:vAlign w:val="center"/>
                </w:tcPr>
                <w:p w14:paraId="47A6B26C">
                  <w:pPr>
                    <w:jc w:val="center"/>
                    <w:rPr>
                      <w:rFonts w:hint="default"/>
                      <w:i/>
                      <w:iCs/>
                      <w:color w:val="auto"/>
                      <w:spacing w:val="-1"/>
                      <w:szCs w:val="21"/>
                      <w:highlight w:val="none"/>
                      <w:u w:val="single"/>
                      <w:lang w:val="en-US" w:eastAsia="zh-CN"/>
                    </w:rPr>
                  </w:pPr>
                  <w:r>
                    <w:rPr>
                      <w:rFonts w:hint="eastAsia"/>
                      <w:i/>
                      <w:iCs/>
                      <w:color w:val="auto"/>
                      <w:spacing w:val="-1"/>
                      <w:szCs w:val="21"/>
                      <w:highlight w:val="none"/>
                      <w:u w:val="single"/>
                      <w:lang w:val="en-US" w:eastAsia="zh-CN"/>
                    </w:rPr>
                    <w:t>0.000067</w:t>
                  </w:r>
                </w:p>
              </w:tc>
            </w:tr>
            <w:tr w14:paraId="59707C9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133" w:type="pct"/>
                  <w:gridSpan w:val="5"/>
                  <w:tcBorders>
                    <w:tl2br w:val="nil"/>
                    <w:tr2bl w:val="nil"/>
                  </w:tcBorders>
                  <w:vAlign w:val="center"/>
                </w:tcPr>
                <w:p w14:paraId="5E906218">
                  <w:pPr>
                    <w:jc w:val="center"/>
                    <w:rPr>
                      <w:i/>
                      <w:iCs/>
                      <w:color w:val="auto"/>
                      <w:spacing w:val="-1"/>
                      <w:szCs w:val="21"/>
                      <w:highlight w:val="none"/>
                      <w:u w:val="single"/>
                    </w:rPr>
                  </w:pPr>
                  <w:r>
                    <w:rPr>
                      <w:i/>
                      <w:iCs/>
                      <w:color w:val="auto"/>
                      <w:spacing w:val="-2"/>
                      <w:szCs w:val="21"/>
                      <w:highlight w:val="none"/>
                      <w:u w:val="single"/>
                    </w:rPr>
                    <w:t>总计</w:t>
                  </w:r>
                </w:p>
              </w:tc>
              <w:tc>
                <w:tcPr>
                  <w:tcW w:w="866" w:type="pct"/>
                  <w:tcBorders>
                    <w:tl2br w:val="nil"/>
                    <w:tr2bl w:val="nil"/>
                  </w:tcBorders>
                  <w:vAlign w:val="center"/>
                </w:tcPr>
                <w:p w14:paraId="64101E8A">
                  <w:pPr>
                    <w:jc w:val="center"/>
                    <w:rPr>
                      <w:rFonts w:hint="default" w:eastAsia="宋体"/>
                      <w:i/>
                      <w:iCs/>
                      <w:color w:val="auto"/>
                      <w:spacing w:val="-2"/>
                      <w:szCs w:val="21"/>
                      <w:highlight w:val="none"/>
                      <w:u w:val="single"/>
                      <w:lang w:val="en-US" w:eastAsia="zh-CN"/>
                    </w:rPr>
                  </w:pPr>
                  <w:r>
                    <w:rPr>
                      <w:rFonts w:hint="eastAsia"/>
                      <w:i/>
                      <w:iCs/>
                      <w:color w:val="auto"/>
                      <w:spacing w:val="-2"/>
                      <w:szCs w:val="21"/>
                      <w:highlight w:val="none"/>
                      <w:u w:val="single"/>
                    </w:rPr>
                    <w:t>0.0</w:t>
                  </w:r>
                  <w:r>
                    <w:rPr>
                      <w:rFonts w:hint="eastAsia"/>
                      <w:i/>
                      <w:iCs/>
                      <w:color w:val="auto"/>
                      <w:spacing w:val="-2"/>
                      <w:szCs w:val="21"/>
                      <w:highlight w:val="none"/>
                      <w:u w:val="single"/>
                      <w:lang w:val="en-US" w:eastAsia="zh-CN"/>
                    </w:rPr>
                    <w:t>1107</w:t>
                  </w:r>
                </w:p>
              </w:tc>
            </w:tr>
          </w:tbl>
          <w:p w14:paraId="4B6841E9">
            <w:pPr>
              <w:spacing w:line="360" w:lineRule="auto"/>
              <w:ind w:firstLine="472" w:firstLineChars="200"/>
              <w:rPr>
                <w:color w:val="auto"/>
                <w:spacing w:val="-2"/>
                <w:sz w:val="24"/>
                <w:highlight w:val="none"/>
              </w:rPr>
            </w:pPr>
          </w:p>
          <w:p w14:paraId="79B5630E">
            <w:pPr>
              <w:spacing w:line="360" w:lineRule="auto"/>
              <w:ind w:firstLine="472" w:firstLineChars="200"/>
              <w:rPr>
                <w:color w:val="auto"/>
                <w:spacing w:val="-2"/>
                <w:sz w:val="24"/>
                <w:highlight w:val="none"/>
              </w:rPr>
            </w:pPr>
            <w:r>
              <w:rPr>
                <w:color w:val="auto"/>
                <w:spacing w:val="-2"/>
                <w:sz w:val="24"/>
                <w:highlight w:val="none"/>
              </w:rPr>
              <w:t>根据导则计算危险物质数量与临界量比值：Q=Σqi/Qi=</w:t>
            </w:r>
            <w:r>
              <w:rPr>
                <w:rFonts w:hint="eastAsia"/>
                <w:color w:val="auto"/>
                <w:spacing w:val="-2"/>
                <w:sz w:val="24"/>
                <w:highlight w:val="none"/>
              </w:rPr>
              <w:t>0.0</w:t>
            </w:r>
            <w:r>
              <w:rPr>
                <w:rFonts w:hint="eastAsia"/>
                <w:color w:val="auto"/>
                <w:spacing w:val="-2"/>
                <w:sz w:val="24"/>
                <w:highlight w:val="none"/>
                <w:lang w:val="en-US" w:eastAsia="zh-CN"/>
              </w:rPr>
              <w:t>1107</w:t>
            </w:r>
            <w:r>
              <w:rPr>
                <w:color w:val="auto"/>
                <w:spacing w:val="-2"/>
                <w:sz w:val="24"/>
                <w:highlight w:val="none"/>
              </w:rPr>
              <w:t>＜1，本项目环境风险潜势为I。因此，项目风险评价等级定为低于三级，根据导则要求，环境风险评价作简单分析。</w:t>
            </w:r>
          </w:p>
          <w:p w14:paraId="3EA60101">
            <w:pPr>
              <w:spacing w:line="360" w:lineRule="auto"/>
              <w:ind w:firstLine="472" w:firstLineChars="200"/>
              <w:rPr>
                <w:color w:val="auto"/>
                <w:spacing w:val="-2"/>
                <w:sz w:val="24"/>
                <w:highlight w:val="none"/>
              </w:rPr>
            </w:pPr>
            <w:r>
              <w:rPr>
                <w:rFonts w:hint="eastAsia"/>
                <w:color w:val="auto"/>
                <w:spacing w:val="-2"/>
                <w:sz w:val="24"/>
                <w:highlight w:val="none"/>
              </w:rPr>
              <w:t>6.3环境风险识别</w:t>
            </w:r>
          </w:p>
          <w:p w14:paraId="01815304">
            <w:pPr>
              <w:spacing w:line="360" w:lineRule="auto"/>
              <w:ind w:firstLine="472" w:firstLineChars="200"/>
              <w:rPr>
                <w:color w:val="auto"/>
                <w:spacing w:val="-2"/>
                <w:sz w:val="24"/>
                <w:highlight w:val="none"/>
              </w:rPr>
            </w:pPr>
            <w:r>
              <w:rPr>
                <w:color w:val="auto"/>
                <w:spacing w:val="-2"/>
                <w:sz w:val="24"/>
                <w:highlight w:val="none"/>
              </w:rPr>
              <w:t>根据统计</w:t>
            </w:r>
            <w:r>
              <w:rPr>
                <w:rFonts w:hint="eastAsia"/>
                <w:color w:val="auto"/>
                <w:spacing w:val="-2"/>
                <w:sz w:val="24"/>
                <w:highlight w:val="none"/>
                <w:lang w:eastAsia="zh-CN"/>
              </w:rPr>
              <w:t>分析</w:t>
            </w:r>
            <w:r>
              <w:rPr>
                <w:color w:val="auto"/>
                <w:spacing w:val="-2"/>
                <w:sz w:val="24"/>
                <w:highlight w:val="none"/>
              </w:rPr>
              <w:t>和类比调查，总结出本项目发生可能性较大的事故有三类</w:t>
            </w:r>
            <w:r>
              <w:rPr>
                <w:rFonts w:hint="eastAsia"/>
                <w:color w:val="auto"/>
                <w:spacing w:val="-2"/>
                <w:sz w:val="24"/>
                <w:highlight w:val="none"/>
                <w:lang w:eastAsia="zh-CN"/>
              </w:rPr>
              <w:t>；</w:t>
            </w:r>
            <w:r>
              <w:rPr>
                <w:color w:val="auto"/>
                <w:spacing w:val="-2"/>
                <w:sz w:val="24"/>
                <w:highlight w:val="none"/>
              </w:rPr>
              <w:t>化学品事故、废水处理</w:t>
            </w:r>
            <w:r>
              <w:rPr>
                <w:rFonts w:hint="eastAsia"/>
                <w:color w:val="auto"/>
                <w:spacing w:val="-2"/>
                <w:sz w:val="24"/>
                <w:highlight w:val="none"/>
                <w:lang w:eastAsia="zh-CN"/>
              </w:rPr>
              <w:t>事故</w:t>
            </w:r>
            <w:r>
              <w:rPr>
                <w:color w:val="auto"/>
                <w:spacing w:val="-2"/>
                <w:sz w:val="24"/>
                <w:highlight w:val="none"/>
              </w:rPr>
              <w:t>、医疗废物、其他危险废物泄漏、火灾次生事故。</w:t>
            </w:r>
          </w:p>
          <w:p w14:paraId="595A7726">
            <w:pPr>
              <w:spacing w:line="360" w:lineRule="auto"/>
              <w:ind w:firstLine="472" w:firstLineChars="200"/>
              <w:rPr>
                <w:color w:val="auto"/>
                <w:spacing w:val="-2"/>
                <w:sz w:val="24"/>
                <w:highlight w:val="none"/>
              </w:rPr>
            </w:pPr>
            <w:r>
              <w:rPr>
                <w:rFonts w:hint="eastAsia"/>
                <w:color w:val="auto"/>
                <w:spacing w:val="-2"/>
                <w:sz w:val="24"/>
                <w:highlight w:val="none"/>
              </w:rPr>
              <w:t>1.</w:t>
            </w:r>
            <w:r>
              <w:rPr>
                <w:color w:val="auto"/>
                <w:spacing w:val="-2"/>
                <w:sz w:val="24"/>
                <w:highlight w:val="none"/>
              </w:rPr>
              <w:t>危险品泄漏事故</w:t>
            </w:r>
          </w:p>
          <w:p w14:paraId="7E99DD92">
            <w:pPr>
              <w:spacing w:line="360" w:lineRule="auto"/>
              <w:ind w:firstLine="472" w:firstLineChars="200"/>
              <w:rPr>
                <w:color w:val="auto"/>
                <w:spacing w:val="-2"/>
                <w:sz w:val="24"/>
                <w:highlight w:val="none"/>
              </w:rPr>
            </w:pPr>
            <w:r>
              <w:rPr>
                <w:color w:val="auto"/>
                <w:spacing w:val="-2"/>
                <w:sz w:val="24"/>
                <w:highlight w:val="none"/>
              </w:rPr>
              <w:t>本项目主要使用的危险品包括</w:t>
            </w:r>
            <w:r>
              <w:rPr>
                <w:rFonts w:hint="eastAsia"/>
                <w:color w:val="auto"/>
                <w:spacing w:val="-2"/>
                <w:sz w:val="24"/>
                <w:highlight w:val="none"/>
                <w:lang w:eastAsia="zh-CN"/>
              </w:rPr>
              <w:t>；</w:t>
            </w:r>
            <w:r>
              <w:rPr>
                <w:color w:val="auto"/>
                <w:spacing w:val="-2"/>
                <w:sz w:val="24"/>
                <w:highlight w:val="none"/>
              </w:rPr>
              <w:t>医用乙醇</w:t>
            </w:r>
            <w:r>
              <w:rPr>
                <w:rFonts w:hint="eastAsia"/>
                <w:color w:val="auto"/>
                <w:spacing w:val="-2"/>
                <w:sz w:val="24"/>
                <w:highlight w:val="none"/>
                <w:lang w:eastAsia="zh-CN"/>
              </w:rPr>
              <w:t>（酒精）</w:t>
            </w:r>
            <w:r>
              <w:rPr>
                <w:color w:val="auto"/>
                <w:spacing w:val="-2"/>
                <w:sz w:val="24"/>
                <w:highlight w:val="none"/>
              </w:rPr>
              <w:t>、次氯酸钠、</w:t>
            </w:r>
            <w:r>
              <w:rPr>
                <w:rFonts w:hint="eastAsia"/>
                <w:color w:val="auto"/>
                <w:spacing w:val="-2"/>
                <w:sz w:val="24"/>
                <w:highlight w:val="none"/>
                <w:lang w:eastAsia="zh-CN"/>
              </w:rPr>
              <w:t>柴油，</w:t>
            </w:r>
            <w:r>
              <w:rPr>
                <w:color w:val="auto"/>
                <w:spacing w:val="-2"/>
                <w:sz w:val="24"/>
                <w:highlight w:val="none"/>
              </w:rPr>
              <w:t>上述危险品突发性事故会导致环境风险物质泄漏到环境中</w:t>
            </w:r>
            <w:r>
              <w:rPr>
                <w:rFonts w:hint="eastAsia"/>
                <w:color w:val="auto"/>
                <w:spacing w:val="-2"/>
                <w:sz w:val="24"/>
                <w:highlight w:val="none"/>
                <w:lang w:eastAsia="zh-CN"/>
              </w:rPr>
              <w:t>，</w:t>
            </w:r>
            <w:r>
              <w:rPr>
                <w:color w:val="auto"/>
                <w:spacing w:val="-2"/>
                <w:sz w:val="24"/>
                <w:highlight w:val="none"/>
              </w:rPr>
              <w:t>引起环境空气或地表水等外环境污染。</w:t>
            </w:r>
          </w:p>
          <w:p w14:paraId="6FD61D80">
            <w:pPr>
              <w:spacing w:line="360" w:lineRule="auto"/>
              <w:ind w:firstLine="472" w:firstLineChars="200"/>
              <w:rPr>
                <w:color w:val="auto"/>
                <w:spacing w:val="-2"/>
                <w:sz w:val="24"/>
                <w:highlight w:val="none"/>
              </w:rPr>
            </w:pPr>
            <w:r>
              <w:rPr>
                <w:rFonts w:hint="eastAsia"/>
                <w:color w:val="auto"/>
                <w:spacing w:val="-2"/>
                <w:sz w:val="24"/>
                <w:highlight w:val="none"/>
              </w:rPr>
              <w:t>2.</w:t>
            </w:r>
            <w:r>
              <w:rPr>
                <w:color w:val="auto"/>
                <w:spacing w:val="-2"/>
                <w:sz w:val="24"/>
                <w:highlight w:val="none"/>
              </w:rPr>
              <w:t>废水处理事故</w:t>
            </w:r>
          </w:p>
          <w:p w14:paraId="0436B442">
            <w:pPr>
              <w:spacing w:line="360" w:lineRule="auto"/>
              <w:ind w:firstLine="472" w:firstLineChars="200"/>
              <w:rPr>
                <w:color w:val="auto"/>
                <w:spacing w:val="-2"/>
                <w:sz w:val="24"/>
                <w:highlight w:val="none"/>
              </w:rPr>
            </w:pPr>
            <w:r>
              <w:rPr>
                <w:color w:val="auto"/>
                <w:spacing w:val="-2"/>
                <w:sz w:val="24"/>
                <w:highlight w:val="none"/>
              </w:rPr>
              <w:t>主要是污水处理装置因出现故障或运行不正常，使废水超标排放。出现超标</w:t>
            </w:r>
          </w:p>
          <w:p w14:paraId="41AE0C16">
            <w:pPr>
              <w:spacing w:line="360" w:lineRule="auto"/>
              <w:ind w:firstLine="472" w:firstLineChars="200"/>
              <w:rPr>
                <w:rFonts w:hint="eastAsia" w:eastAsia="宋体"/>
                <w:color w:val="auto"/>
                <w:spacing w:val="-2"/>
                <w:sz w:val="24"/>
                <w:highlight w:val="none"/>
                <w:lang w:eastAsia="zh-CN"/>
              </w:rPr>
            </w:pPr>
            <w:r>
              <w:rPr>
                <w:color w:val="auto"/>
                <w:spacing w:val="-2"/>
                <w:sz w:val="24"/>
                <w:highlight w:val="none"/>
              </w:rPr>
              <w:t>排放的可能性主要有</w:t>
            </w:r>
            <w:r>
              <w:rPr>
                <w:rFonts w:hint="eastAsia"/>
                <w:color w:val="auto"/>
                <w:spacing w:val="-2"/>
                <w:sz w:val="24"/>
                <w:highlight w:val="none"/>
                <w:lang w:eastAsia="zh-CN"/>
              </w:rPr>
              <w:t>：</w:t>
            </w:r>
          </w:p>
          <w:p w14:paraId="4D12861A">
            <w:pPr>
              <w:spacing w:line="360" w:lineRule="auto"/>
              <w:ind w:firstLine="472" w:firstLineChars="200"/>
              <w:rPr>
                <w:rFonts w:hint="eastAsia" w:eastAsia="宋体"/>
                <w:color w:val="auto"/>
                <w:spacing w:val="-2"/>
                <w:sz w:val="24"/>
                <w:highlight w:val="none"/>
                <w:lang w:eastAsia="zh-CN"/>
              </w:rPr>
            </w:pPr>
            <w:r>
              <w:rPr>
                <w:rFonts w:hint="eastAsia"/>
                <w:color w:val="auto"/>
                <w:spacing w:val="-2"/>
                <w:sz w:val="24"/>
                <w:highlight w:val="none"/>
              </w:rPr>
              <w:t>（1）</w:t>
            </w:r>
            <w:r>
              <w:rPr>
                <w:color w:val="auto"/>
                <w:spacing w:val="-2"/>
                <w:sz w:val="24"/>
                <w:highlight w:val="none"/>
              </w:rPr>
              <w:t>消毒剂次氯酸钠因设备故障停加，导致出水粪大肠菌群严重超标</w:t>
            </w:r>
            <w:r>
              <w:rPr>
                <w:rFonts w:hint="eastAsia"/>
                <w:color w:val="auto"/>
                <w:spacing w:val="-2"/>
                <w:sz w:val="24"/>
                <w:highlight w:val="none"/>
                <w:lang w:eastAsia="zh-CN"/>
              </w:rPr>
              <w:t>；</w:t>
            </w:r>
          </w:p>
          <w:p w14:paraId="5AAF72AE">
            <w:pPr>
              <w:spacing w:line="360" w:lineRule="auto"/>
              <w:ind w:firstLine="472" w:firstLineChars="200"/>
              <w:rPr>
                <w:color w:val="auto"/>
                <w:spacing w:val="-2"/>
                <w:sz w:val="24"/>
                <w:highlight w:val="none"/>
              </w:rPr>
            </w:pPr>
            <w:r>
              <w:rPr>
                <w:rFonts w:hint="eastAsia"/>
                <w:color w:val="auto"/>
                <w:spacing w:val="-2"/>
                <w:sz w:val="24"/>
                <w:highlight w:val="none"/>
              </w:rPr>
              <w:t>（2）</w:t>
            </w:r>
            <w:r>
              <w:rPr>
                <w:color w:val="auto"/>
                <w:spacing w:val="-2"/>
                <w:sz w:val="24"/>
                <w:highlight w:val="none"/>
              </w:rPr>
              <w:t>活性污泥池内好氧菌浓度较低，使生化处理效果下降</w:t>
            </w:r>
            <w:r>
              <w:rPr>
                <w:rFonts w:hint="eastAsia"/>
                <w:color w:val="auto"/>
                <w:spacing w:val="-2"/>
                <w:sz w:val="24"/>
                <w:highlight w:val="none"/>
                <w:lang w:eastAsia="zh-CN"/>
              </w:rPr>
              <w:t>；</w:t>
            </w:r>
            <w:r>
              <w:rPr>
                <w:color w:val="auto"/>
                <w:spacing w:val="-2"/>
                <w:sz w:val="24"/>
                <w:highlight w:val="none"/>
              </w:rPr>
              <w:t>主要处理设备如鼓风机设施等出现故障，无法正常运行。当管线处于非正常运行状态，主要是指发生破裂、断裂等，将从管网中溢出污水会对地表水体及土壤和地下水造成污染。</w:t>
            </w:r>
          </w:p>
          <w:p w14:paraId="17CF51E2">
            <w:pPr>
              <w:spacing w:line="360" w:lineRule="auto"/>
              <w:ind w:firstLine="472" w:firstLineChars="200"/>
              <w:rPr>
                <w:color w:val="auto"/>
                <w:spacing w:val="-2"/>
                <w:sz w:val="24"/>
                <w:highlight w:val="none"/>
              </w:rPr>
            </w:pPr>
            <w:r>
              <w:rPr>
                <w:rFonts w:hint="eastAsia"/>
                <w:color w:val="auto"/>
                <w:spacing w:val="-2"/>
                <w:sz w:val="24"/>
                <w:highlight w:val="none"/>
              </w:rPr>
              <w:t>3.</w:t>
            </w:r>
            <w:r>
              <w:rPr>
                <w:color w:val="auto"/>
                <w:spacing w:val="-2"/>
                <w:sz w:val="24"/>
                <w:highlight w:val="none"/>
              </w:rPr>
              <w:t>火灾次生事故</w:t>
            </w:r>
          </w:p>
          <w:p w14:paraId="07850852">
            <w:pPr>
              <w:spacing w:line="360" w:lineRule="auto"/>
              <w:ind w:firstLine="472" w:firstLineChars="200"/>
              <w:rPr>
                <w:color w:val="auto"/>
                <w:spacing w:val="-2"/>
                <w:sz w:val="24"/>
                <w:highlight w:val="none"/>
              </w:rPr>
            </w:pPr>
            <w:r>
              <w:rPr>
                <w:color w:val="auto"/>
                <w:spacing w:val="-2"/>
                <w:sz w:val="24"/>
                <w:highlight w:val="none"/>
              </w:rPr>
              <w:t>医用</w:t>
            </w:r>
            <w:r>
              <w:rPr>
                <w:rFonts w:hint="eastAsia"/>
                <w:color w:val="auto"/>
                <w:spacing w:val="-2"/>
                <w:sz w:val="24"/>
                <w:highlight w:val="none"/>
                <w:lang w:eastAsia="zh-CN"/>
              </w:rPr>
              <w:t>酒精及柴油</w:t>
            </w:r>
            <w:r>
              <w:rPr>
                <w:color w:val="auto"/>
                <w:spacing w:val="-2"/>
                <w:sz w:val="24"/>
                <w:highlight w:val="none"/>
              </w:rPr>
              <w:t>泄漏遇明火、高热产生燃烧，火灾燃烧为不充分燃烧，它不仅会伴生一氧化碳等大气污染物排放</w:t>
            </w:r>
            <w:r>
              <w:rPr>
                <w:rFonts w:hint="eastAsia"/>
                <w:color w:val="auto"/>
                <w:spacing w:val="-2"/>
                <w:sz w:val="24"/>
                <w:highlight w:val="none"/>
                <w:lang w:eastAsia="zh-CN"/>
              </w:rPr>
              <w:t>，</w:t>
            </w:r>
            <w:r>
              <w:rPr>
                <w:color w:val="auto"/>
                <w:spacing w:val="-2"/>
                <w:sz w:val="24"/>
                <w:highlight w:val="none"/>
              </w:rPr>
              <w:t>在扑灭火灾过程中还会产生大量的消防废水，如处理不当会造成水体污染。</w:t>
            </w:r>
          </w:p>
          <w:p w14:paraId="159CF4A1">
            <w:pPr>
              <w:spacing w:line="360" w:lineRule="auto"/>
              <w:ind w:firstLine="474" w:firstLineChars="200"/>
              <w:rPr>
                <w:b/>
                <w:bCs/>
                <w:color w:val="auto"/>
                <w:spacing w:val="-2"/>
                <w:sz w:val="24"/>
                <w:highlight w:val="none"/>
              </w:rPr>
            </w:pPr>
            <w:r>
              <w:rPr>
                <w:rFonts w:hint="eastAsia"/>
                <w:b/>
                <w:bCs/>
                <w:color w:val="auto"/>
                <w:spacing w:val="-2"/>
                <w:sz w:val="24"/>
                <w:highlight w:val="none"/>
              </w:rPr>
              <w:t>6.4环境风险分析</w:t>
            </w:r>
          </w:p>
          <w:p w14:paraId="416178DD">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1.</w:t>
            </w:r>
            <w:r>
              <w:rPr>
                <w:i/>
                <w:iCs/>
                <w:color w:val="auto"/>
                <w:spacing w:val="-2"/>
                <w:sz w:val="24"/>
                <w:highlight w:val="none"/>
                <w:u w:val="single"/>
              </w:rPr>
              <w:t>次氯酸钠</w:t>
            </w:r>
            <w:r>
              <w:rPr>
                <w:rFonts w:hint="eastAsia"/>
                <w:i/>
                <w:iCs/>
                <w:color w:val="auto"/>
                <w:spacing w:val="-2"/>
                <w:sz w:val="24"/>
                <w:highlight w:val="none"/>
                <w:u w:val="single"/>
                <w:lang w:eastAsia="zh-CN"/>
              </w:rPr>
              <w:t>泄漏</w:t>
            </w:r>
            <w:r>
              <w:rPr>
                <w:i/>
                <w:iCs/>
                <w:color w:val="auto"/>
                <w:spacing w:val="-2"/>
                <w:sz w:val="24"/>
                <w:highlight w:val="none"/>
                <w:u w:val="single"/>
              </w:rPr>
              <w:t>环境风险影响分析</w:t>
            </w:r>
          </w:p>
          <w:p w14:paraId="53668ED9">
            <w:pPr>
              <w:spacing w:line="360" w:lineRule="auto"/>
              <w:ind w:firstLine="472" w:firstLineChars="200"/>
              <w:rPr>
                <w:i/>
                <w:iCs/>
                <w:color w:val="auto"/>
                <w:spacing w:val="-2"/>
                <w:sz w:val="24"/>
                <w:highlight w:val="none"/>
                <w:u w:val="single"/>
              </w:rPr>
            </w:pPr>
            <w:r>
              <w:rPr>
                <w:i/>
                <w:iCs/>
                <w:color w:val="auto"/>
                <w:spacing w:val="-2"/>
                <w:sz w:val="24"/>
                <w:highlight w:val="none"/>
                <w:u w:val="single"/>
              </w:rPr>
              <w:t>本项目污水处理站废水使用次氯酸钠溶液消毒，次氯酸钠溶液储存在专用的防腐蚀罐内，位于污水站投药间内。营运过程中，由于设备腐蚀等，在运行过程</w:t>
            </w:r>
            <w:r>
              <w:rPr>
                <w:rFonts w:hint="eastAsia"/>
                <w:i/>
                <w:iCs/>
                <w:color w:val="auto"/>
                <w:spacing w:val="-2"/>
                <w:sz w:val="24"/>
                <w:highlight w:val="none"/>
                <w:u w:val="single"/>
              </w:rPr>
              <w:t>不</w:t>
            </w:r>
            <w:r>
              <w:rPr>
                <w:i/>
                <w:iCs/>
                <w:color w:val="auto"/>
                <w:spacing w:val="-2"/>
                <w:sz w:val="24"/>
                <w:highlight w:val="none"/>
                <w:u w:val="single"/>
              </w:rPr>
              <w:t>易发生次氯酸钠</w:t>
            </w:r>
            <w:r>
              <w:rPr>
                <w:rFonts w:hint="eastAsia"/>
                <w:i/>
                <w:iCs/>
                <w:color w:val="auto"/>
                <w:spacing w:val="-2"/>
                <w:sz w:val="24"/>
                <w:highlight w:val="none"/>
                <w:u w:val="single"/>
                <w:lang w:eastAsia="zh-CN"/>
              </w:rPr>
              <w:t>泄漏</w:t>
            </w:r>
            <w:r>
              <w:rPr>
                <w:i/>
                <w:iCs/>
                <w:color w:val="auto"/>
                <w:spacing w:val="-2"/>
                <w:sz w:val="24"/>
                <w:highlight w:val="none"/>
                <w:u w:val="single"/>
              </w:rPr>
              <w:t>事故，次氯酸钠是具有腐蚀性，受高热分解产生有毒的腐蚀性烟气。</w:t>
            </w:r>
          </w:p>
          <w:p w14:paraId="20830F7F">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2.</w:t>
            </w:r>
            <w:r>
              <w:rPr>
                <w:rFonts w:hint="eastAsia"/>
                <w:i/>
                <w:iCs/>
                <w:color w:val="auto"/>
                <w:spacing w:val="-2"/>
                <w:sz w:val="24"/>
                <w:highlight w:val="none"/>
                <w:u w:val="single"/>
                <w:lang w:eastAsia="zh-CN"/>
              </w:rPr>
              <w:t>酒精及柴油泄漏</w:t>
            </w:r>
            <w:r>
              <w:rPr>
                <w:i/>
                <w:iCs/>
                <w:color w:val="auto"/>
                <w:spacing w:val="-2"/>
                <w:sz w:val="24"/>
                <w:highlight w:val="none"/>
                <w:u w:val="single"/>
              </w:rPr>
              <w:t>环境风险影响分析</w:t>
            </w:r>
          </w:p>
          <w:p w14:paraId="5EF64DDB">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酒精</w:t>
            </w:r>
            <w:r>
              <w:rPr>
                <w:rFonts w:hint="eastAsia"/>
                <w:i/>
                <w:iCs/>
                <w:color w:val="auto"/>
                <w:spacing w:val="-2"/>
                <w:sz w:val="24"/>
                <w:highlight w:val="none"/>
                <w:u w:val="single"/>
                <w:lang w:eastAsia="zh-CN"/>
              </w:rPr>
              <w:t>机柴油泄漏</w:t>
            </w:r>
            <w:r>
              <w:rPr>
                <w:rFonts w:hint="eastAsia"/>
                <w:i/>
                <w:iCs/>
                <w:color w:val="auto"/>
                <w:spacing w:val="-2"/>
                <w:sz w:val="24"/>
                <w:highlight w:val="none"/>
                <w:u w:val="single"/>
              </w:rPr>
              <w:t>遇明火易燃</w:t>
            </w:r>
            <w:r>
              <w:rPr>
                <w:i/>
                <w:iCs/>
                <w:color w:val="auto"/>
                <w:spacing w:val="-2"/>
                <w:sz w:val="24"/>
                <w:highlight w:val="none"/>
                <w:u w:val="single"/>
              </w:rPr>
              <w:t>，</w:t>
            </w:r>
            <w:r>
              <w:rPr>
                <w:rFonts w:hint="eastAsia"/>
                <w:i/>
                <w:iCs/>
                <w:color w:val="auto"/>
                <w:spacing w:val="-2"/>
                <w:sz w:val="24"/>
                <w:highlight w:val="none"/>
                <w:u w:val="single"/>
              </w:rPr>
              <w:t>发生火灾及爆炸事故，危害医务人员及就医人员安全，</w:t>
            </w:r>
            <w:r>
              <w:rPr>
                <w:i/>
                <w:iCs/>
                <w:color w:val="auto"/>
                <w:spacing w:val="-2"/>
                <w:sz w:val="24"/>
                <w:highlight w:val="none"/>
                <w:u w:val="single"/>
              </w:rPr>
              <w:t>发生火灾事故产生大量</w:t>
            </w:r>
            <w:r>
              <w:rPr>
                <w:rFonts w:hint="eastAsia"/>
                <w:i/>
                <w:iCs/>
                <w:color w:val="auto"/>
                <w:spacing w:val="-2"/>
                <w:sz w:val="24"/>
                <w:highlight w:val="none"/>
                <w:u w:val="single"/>
              </w:rPr>
              <w:t>一氧化碳及二氧化碳</w:t>
            </w:r>
            <w:r>
              <w:rPr>
                <w:i/>
                <w:iCs/>
                <w:color w:val="auto"/>
                <w:spacing w:val="-2"/>
                <w:sz w:val="24"/>
                <w:highlight w:val="none"/>
                <w:u w:val="single"/>
              </w:rPr>
              <w:t>，随大气向下风向扩散，造成大气污染。</w:t>
            </w:r>
          </w:p>
          <w:p w14:paraId="2A15B8C8">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3.</w:t>
            </w:r>
            <w:r>
              <w:rPr>
                <w:i/>
                <w:iCs/>
                <w:color w:val="auto"/>
                <w:spacing w:val="-2"/>
                <w:sz w:val="24"/>
                <w:highlight w:val="none"/>
                <w:u w:val="single"/>
              </w:rPr>
              <w:t>医疗废水事故排放环境风险影响分析</w:t>
            </w:r>
          </w:p>
          <w:p w14:paraId="1E5E8B8D">
            <w:pPr>
              <w:spacing w:line="360" w:lineRule="auto"/>
              <w:ind w:firstLine="472" w:firstLineChars="200"/>
              <w:rPr>
                <w:i/>
                <w:iCs/>
                <w:color w:val="auto"/>
                <w:spacing w:val="-2"/>
                <w:sz w:val="24"/>
                <w:highlight w:val="none"/>
                <w:u w:val="single"/>
              </w:rPr>
            </w:pPr>
            <w:r>
              <w:rPr>
                <w:i/>
                <w:iCs/>
                <w:color w:val="auto"/>
                <w:spacing w:val="-2"/>
                <w:sz w:val="24"/>
                <w:highlight w:val="none"/>
                <w:u w:val="single"/>
              </w:rPr>
              <w:t>一般情况下，污水管网不会发生堵塞、破裂和爆炸。发生该类事故的可能原因主要有管网设计不合理、操作不当、往下水道倾倒大量固体废物和易燃易爆物质等。本项目在发生地震时，可能造成污水收集系统毁坏或</w:t>
            </w:r>
            <w:r>
              <w:rPr>
                <w:rFonts w:hint="eastAsia"/>
                <w:i/>
                <w:iCs/>
                <w:color w:val="auto"/>
                <w:spacing w:val="-2"/>
                <w:sz w:val="24"/>
                <w:highlight w:val="none"/>
                <w:u w:val="single"/>
                <w:lang w:eastAsia="zh-CN"/>
              </w:rPr>
              <w:t>其他事故</w:t>
            </w:r>
            <w:r>
              <w:rPr>
                <w:i/>
                <w:iCs/>
                <w:color w:val="auto"/>
                <w:spacing w:val="-2"/>
                <w:sz w:val="24"/>
                <w:highlight w:val="none"/>
                <w:u w:val="single"/>
              </w:rPr>
              <w:t>，使污水外溢流入附近土壤及水体，对土壤及水环境产生一定影响。医疗废水处理过程中的事故因素主要是由于操作不当或处理设施维护不及时而失灵，导致废水不能达标。医疗废水事故下超标排放，可能对纳管污水处理厂运行造成影响，进而影响纳污水体水质。且医疗废水含有细菌等，不经有效处理可能会污染环境，影响人体健康。</w:t>
            </w:r>
          </w:p>
          <w:p w14:paraId="2C1C7139">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4.</w:t>
            </w:r>
            <w:r>
              <w:rPr>
                <w:i/>
                <w:iCs/>
                <w:color w:val="auto"/>
                <w:spacing w:val="-2"/>
                <w:sz w:val="24"/>
                <w:highlight w:val="none"/>
                <w:u w:val="single"/>
              </w:rPr>
              <w:t>医疗废物泄漏环境风险影响分析</w:t>
            </w:r>
          </w:p>
          <w:p w14:paraId="5A3058BE">
            <w:pPr>
              <w:spacing w:line="360" w:lineRule="auto"/>
              <w:ind w:firstLine="472" w:firstLineChars="200"/>
              <w:rPr>
                <w:i/>
                <w:iCs/>
                <w:color w:val="auto"/>
                <w:spacing w:val="-2"/>
                <w:sz w:val="24"/>
                <w:highlight w:val="none"/>
                <w:u w:val="single"/>
              </w:rPr>
            </w:pPr>
            <w:r>
              <w:rPr>
                <w:i/>
                <w:iCs/>
                <w:color w:val="auto"/>
                <w:spacing w:val="-2"/>
                <w:sz w:val="24"/>
                <w:highlight w:val="none"/>
                <w:u w:val="single"/>
              </w:rPr>
              <w:t>医疗废物中可能存在病菌、病毒、化学污染物等有害物质，由于医疗废物具有空间污染、急性传染和潜伏性污染等特征，其病毒、病菌的危害性要比普通生活垃圾大得多。医疗废物在贮存、转运过程中发生泄漏可能会引起病毒扩散，对人员及环境造成危害。</w:t>
            </w:r>
          </w:p>
          <w:p w14:paraId="0BC96457">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5.火灾影响分析</w:t>
            </w:r>
          </w:p>
          <w:p w14:paraId="481B25FC">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项目可能引起火灾事故主要包括项目酒精</w:t>
            </w:r>
            <w:r>
              <w:rPr>
                <w:rFonts w:hint="eastAsia"/>
                <w:i/>
                <w:iCs/>
                <w:color w:val="auto"/>
                <w:spacing w:val="-2"/>
                <w:sz w:val="24"/>
                <w:highlight w:val="none"/>
                <w:u w:val="single"/>
                <w:lang w:eastAsia="zh-CN"/>
              </w:rPr>
              <w:t>及柴油</w:t>
            </w:r>
            <w:r>
              <w:rPr>
                <w:rFonts w:hint="eastAsia"/>
                <w:i/>
                <w:iCs/>
                <w:color w:val="auto"/>
                <w:spacing w:val="-2"/>
                <w:sz w:val="24"/>
                <w:highlight w:val="none"/>
                <w:u w:val="single"/>
              </w:rPr>
              <w:t>。火灾事故可能造成建筑损坏，人员伤亡，波及周边环境</w:t>
            </w:r>
            <w:r>
              <w:rPr>
                <w:rFonts w:hint="eastAsia"/>
                <w:i/>
                <w:iCs/>
                <w:color w:val="auto"/>
                <w:spacing w:val="-2"/>
                <w:sz w:val="24"/>
                <w:highlight w:val="none"/>
                <w:u w:val="single"/>
                <w:lang w:eastAsia="zh-CN"/>
              </w:rPr>
              <w:t>；</w:t>
            </w:r>
            <w:r>
              <w:rPr>
                <w:rFonts w:hint="eastAsia"/>
                <w:i/>
                <w:iCs/>
                <w:color w:val="auto"/>
                <w:spacing w:val="-2"/>
                <w:sz w:val="24"/>
                <w:highlight w:val="none"/>
                <w:u w:val="single"/>
              </w:rPr>
              <w:t>火灾事故中燃烧释放的浓烟和有毒有害气体直接排放，对周边大气环境造成影响。本项目火势较小时，通常采用手提式干粉灭火器进行灭火救援，不会产生消防废水</w:t>
            </w:r>
            <w:r>
              <w:rPr>
                <w:rFonts w:hint="eastAsia"/>
                <w:i/>
                <w:iCs/>
                <w:color w:val="auto"/>
                <w:spacing w:val="-2"/>
                <w:sz w:val="24"/>
                <w:highlight w:val="none"/>
                <w:u w:val="single"/>
                <w:lang w:eastAsia="zh-CN"/>
              </w:rPr>
              <w:t>；</w:t>
            </w:r>
            <w:r>
              <w:rPr>
                <w:rFonts w:hint="eastAsia"/>
                <w:i/>
                <w:iCs/>
                <w:color w:val="auto"/>
                <w:spacing w:val="-2"/>
                <w:sz w:val="24"/>
                <w:highlight w:val="none"/>
                <w:u w:val="single"/>
              </w:rPr>
              <w:t>本项目火势较大甚至蔓延时，通常采用消防栓喷水进行灭火救援，因此火灾后的消防废水未收集处理直接排放进入雨水收集系统，会对地表水造成影响。</w:t>
            </w:r>
          </w:p>
          <w:p w14:paraId="548D2038">
            <w:pPr>
              <w:spacing w:line="360" w:lineRule="auto"/>
              <w:ind w:firstLine="474" w:firstLineChars="200"/>
              <w:rPr>
                <w:color w:val="auto"/>
                <w:spacing w:val="-2"/>
                <w:sz w:val="24"/>
                <w:highlight w:val="none"/>
              </w:rPr>
            </w:pPr>
            <w:r>
              <w:rPr>
                <w:rFonts w:hint="eastAsia"/>
                <w:b/>
                <w:bCs/>
                <w:color w:val="auto"/>
                <w:spacing w:val="-2"/>
                <w:sz w:val="24"/>
                <w:highlight w:val="none"/>
              </w:rPr>
              <w:t>6.5环境风险防范措施及应急措施</w:t>
            </w:r>
          </w:p>
          <w:p w14:paraId="4519DEDB">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1.</w:t>
            </w:r>
            <w:r>
              <w:rPr>
                <w:i/>
                <w:iCs/>
                <w:color w:val="auto"/>
                <w:spacing w:val="-2"/>
                <w:sz w:val="24"/>
                <w:highlight w:val="none"/>
                <w:u w:val="single"/>
              </w:rPr>
              <w:t>次氯酸钠</w:t>
            </w:r>
            <w:r>
              <w:rPr>
                <w:rFonts w:hint="eastAsia"/>
                <w:i/>
                <w:iCs/>
                <w:color w:val="auto"/>
                <w:spacing w:val="-2"/>
                <w:sz w:val="24"/>
                <w:highlight w:val="none"/>
                <w:u w:val="single"/>
              </w:rPr>
              <w:t>及酒精</w:t>
            </w:r>
            <w:r>
              <w:rPr>
                <w:i/>
                <w:iCs/>
                <w:color w:val="auto"/>
                <w:spacing w:val="-2"/>
                <w:sz w:val="24"/>
                <w:highlight w:val="none"/>
                <w:u w:val="single"/>
              </w:rPr>
              <w:t>储存的风险防范措施</w:t>
            </w:r>
          </w:p>
          <w:p w14:paraId="0C876196">
            <w:pPr>
              <w:spacing w:line="360" w:lineRule="auto"/>
              <w:ind w:firstLine="472" w:firstLineChars="200"/>
              <w:rPr>
                <w:i/>
                <w:iCs/>
                <w:color w:val="auto"/>
                <w:spacing w:val="-2"/>
                <w:sz w:val="24"/>
                <w:highlight w:val="none"/>
                <w:u w:val="single"/>
              </w:rPr>
            </w:pPr>
            <w:r>
              <w:rPr>
                <w:i/>
                <w:iCs/>
                <w:color w:val="auto"/>
                <w:spacing w:val="-2"/>
                <w:sz w:val="24"/>
                <w:highlight w:val="none"/>
                <w:u w:val="single"/>
              </w:rPr>
              <w:t>次氯酸钠储存</w:t>
            </w:r>
            <w:r>
              <w:rPr>
                <w:rFonts w:hint="eastAsia"/>
                <w:i/>
                <w:iCs/>
                <w:color w:val="auto"/>
                <w:spacing w:val="-2"/>
                <w:sz w:val="24"/>
                <w:highlight w:val="none"/>
                <w:u w:val="single"/>
              </w:rPr>
              <w:t>位置</w:t>
            </w:r>
            <w:r>
              <w:rPr>
                <w:i/>
                <w:iCs/>
                <w:color w:val="auto"/>
                <w:spacing w:val="-2"/>
                <w:sz w:val="24"/>
                <w:highlight w:val="none"/>
                <w:u w:val="single"/>
              </w:rPr>
              <w:t>应做到防雨、防晒、阴凉、通风，地面做好重点防渗处理，并设置围堰</w:t>
            </w:r>
            <w:r>
              <w:rPr>
                <w:rFonts w:hint="eastAsia"/>
                <w:i/>
                <w:iCs/>
                <w:color w:val="auto"/>
                <w:spacing w:val="-2"/>
                <w:sz w:val="24"/>
                <w:highlight w:val="none"/>
                <w:u w:val="single"/>
                <w:lang w:eastAsia="zh-CN"/>
              </w:rPr>
              <w:t>；</w:t>
            </w:r>
            <w:r>
              <w:rPr>
                <w:i/>
                <w:iCs/>
                <w:color w:val="auto"/>
                <w:spacing w:val="-2"/>
                <w:sz w:val="24"/>
                <w:highlight w:val="none"/>
                <w:u w:val="single"/>
              </w:rPr>
              <w:t>强化风险意识、加强安全管理，严格按操作规程操作</w:t>
            </w:r>
            <w:r>
              <w:rPr>
                <w:rFonts w:hint="eastAsia"/>
                <w:i/>
                <w:iCs/>
                <w:color w:val="auto"/>
                <w:spacing w:val="-2"/>
                <w:sz w:val="24"/>
                <w:highlight w:val="none"/>
                <w:u w:val="single"/>
                <w:lang w:eastAsia="zh-CN"/>
              </w:rPr>
              <w:t>；</w:t>
            </w:r>
            <w:r>
              <w:rPr>
                <w:i/>
                <w:iCs/>
                <w:color w:val="auto"/>
                <w:spacing w:val="-2"/>
                <w:sz w:val="24"/>
                <w:highlight w:val="none"/>
                <w:u w:val="single"/>
              </w:rPr>
              <w:t>设置专人管理维护</w:t>
            </w:r>
            <w:r>
              <w:rPr>
                <w:rFonts w:hint="eastAsia"/>
                <w:i/>
                <w:iCs/>
                <w:color w:val="auto"/>
                <w:spacing w:val="-2"/>
                <w:sz w:val="24"/>
                <w:highlight w:val="none"/>
                <w:u w:val="single"/>
                <w:lang w:eastAsia="zh-CN"/>
              </w:rPr>
              <w:t>；</w:t>
            </w:r>
            <w:r>
              <w:rPr>
                <w:i/>
                <w:iCs/>
                <w:color w:val="auto"/>
                <w:spacing w:val="-2"/>
                <w:sz w:val="24"/>
                <w:highlight w:val="none"/>
                <w:u w:val="single"/>
              </w:rPr>
              <w:t>定期检查维护相关设备设施，使其保持正常运行状态。</w:t>
            </w:r>
          </w:p>
          <w:p w14:paraId="40B76BCB">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2.</w:t>
            </w:r>
            <w:r>
              <w:rPr>
                <w:i/>
                <w:iCs/>
                <w:color w:val="auto"/>
                <w:spacing w:val="-2"/>
                <w:sz w:val="24"/>
                <w:highlight w:val="none"/>
                <w:u w:val="single"/>
              </w:rPr>
              <w:t>废水事故防范措施</w:t>
            </w:r>
          </w:p>
          <w:p w14:paraId="57AF1C58">
            <w:pPr>
              <w:spacing w:line="360" w:lineRule="auto"/>
              <w:ind w:firstLine="472" w:firstLineChars="200"/>
              <w:rPr>
                <w:i/>
                <w:iCs/>
                <w:color w:val="auto"/>
                <w:spacing w:val="-2"/>
                <w:sz w:val="24"/>
                <w:highlight w:val="none"/>
                <w:u w:val="single"/>
              </w:rPr>
            </w:pPr>
            <w:r>
              <w:rPr>
                <w:i/>
                <w:iCs/>
                <w:color w:val="auto"/>
                <w:spacing w:val="-2"/>
                <w:sz w:val="24"/>
                <w:highlight w:val="none"/>
                <w:u w:val="single"/>
              </w:rPr>
              <w:t>为了确保其正常、不出现停止运行情况，防止环境风险的发生，应通过以下措施加强项目环境风险防范。</w:t>
            </w:r>
          </w:p>
          <w:p w14:paraId="73DF2E63">
            <w:pPr>
              <w:spacing w:line="360" w:lineRule="auto"/>
              <w:ind w:firstLine="472" w:firstLineChars="200"/>
              <w:rPr>
                <w:rFonts w:hint="eastAsia" w:eastAsia="宋体"/>
                <w:i/>
                <w:iCs/>
                <w:color w:val="auto"/>
                <w:spacing w:val="-2"/>
                <w:sz w:val="24"/>
                <w:highlight w:val="none"/>
                <w:u w:val="single"/>
                <w:lang w:eastAsia="zh-CN"/>
              </w:rPr>
            </w:pPr>
            <w:r>
              <w:rPr>
                <w:rFonts w:hint="eastAsia"/>
                <w:i/>
                <w:iCs/>
                <w:color w:val="auto"/>
                <w:spacing w:val="-2"/>
                <w:sz w:val="24"/>
                <w:highlight w:val="none"/>
                <w:u w:val="single"/>
              </w:rPr>
              <w:t>（1）</w:t>
            </w:r>
            <w:r>
              <w:rPr>
                <w:i/>
                <w:iCs/>
                <w:color w:val="auto"/>
                <w:spacing w:val="-2"/>
                <w:sz w:val="24"/>
                <w:highlight w:val="none"/>
                <w:u w:val="single"/>
              </w:rPr>
              <w:t>选用优质机械电器、仪表等设备。关键设备一备一用，易损部件要有备用件，在出现事故时能及时更换</w:t>
            </w:r>
            <w:r>
              <w:rPr>
                <w:rFonts w:hint="eastAsia"/>
                <w:i/>
                <w:iCs/>
                <w:color w:val="auto"/>
                <w:spacing w:val="-2"/>
                <w:sz w:val="24"/>
                <w:highlight w:val="none"/>
                <w:u w:val="single"/>
                <w:lang w:eastAsia="zh-CN"/>
              </w:rPr>
              <w:t>；</w:t>
            </w:r>
          </w:p>
          <w:p w14:paraId="540384AC">
            <w:pPr>
              <w:spacing w:line="360" w:lineRule="auto"/>
              <w:ind w:firstLine="472" w:firstLineChars="200"/>
              <w:rPr>
                <w:rFonts w:hint="eastAsia" w:eastAsia="宋体"/>
                <w:i/>
                <w:iCs/>
                <w:color w:val="auto"/>
                <w:spacing w:val="-2"/>
                <w:sz w:val="24"/>
                <w:highlight w:val="none"/>
                <w:u w:val="single"/>
                <w:lang w:eastAsia="zh-CN"/>
              </w:rPr>
            </w:pPr>
            <w:r>
              <w:rPr>
                <w:rFonts w:hint="eastAsia"/>
                <w:i/>
                <w:iCs/>
                <w:color w:val="auto"/>
                <w:spacing w:val="-2"/>
                <w:sz w:val="24"/>
                <w:highlight w:val="none"/>
                <w:u w:val="single"/>
              </w:rPr>
              <w:t>（2）</w:t>
            </w:r>
            <w:r>
              <w:rPr>
                <w:i/>
                <w:iCs/>
                <w:color w:val="auto"/>
                <w:spacing w:val="-2"/>
                <w:sz w:val="24"/>
                <w:highlight w:val="none"/>
                <w:u w:val="single"/>
              </w:rPr>
              <w:t>需对污水处理站提供双路电源和应急电源，保证污水处理站用电不间断，重要的设备需有备用</w:t>
            </w:r>
            <w:r>
              <w:rPr>
                <w:rFonts w:hint="eastAsia"/>
                <w:i/>
                <w:iCs/>
                <w:color w:val="auto"/>
                <w:spacing w:val="-2"/>
                <w:sz w:val="24"/>
                <w:highlight w:val="none"/>
                <w:u w:val="single"/>
                <w:lang w:eastAsia="zh-CN"/>
              </w:rPr>
              <w:t>；</w:t>
            </w:r>
          </w:p>
          <w:p w14:paraId="2605AC4D">
            <w:pPr>
              <w:spacing w:line="360" w:lineRule="auto"/>
              <w:ind w:firstLine="472" w:firstLineChars="200"/>
              <w:rPr>
                <w:rFonts w:hint="eastAsia" w:eastAsia="宋体"/>
                <w:i/>
                <w:iCs/>
                <w:color w:val="auto"/>
                <w:spacing w:val="-2"/>
                <w:sz w:val="24"/>
                <w:highlight w:val="none"/>
                <w:u w:val="single"/>
                <w:lang w:eastAsia="zh-CN"/>
              </w:rPr>
            </w:pPr>
            <w:r>
              <w:rPr>
                <w:rFonts w:hint="eastAsia"/>
                <w:i/>
                <w:iCs/>
                <w:color w:val="auto"/>
                <w:spacing w:val="-2"/>
                <w:sz w:val="24"/>
                <w:highlight w:val="none"/>
                <w:u w:val="single"/>
              </w:rPr>
              <w:t>（3）</w:t>
            </w:r>
            <w:r>
              <w:rPr>
                <w:i/>
                <w:iCs/>
                <w:color w:val="auto"/>
                <w:spacing w:val="-2"/>
                <w:sz w:val="24"/>
                <w:highlight w:val="none"/>
                <w:u w:val="single"/>
              </w:rPr>
              <w:t>加强医院污水收集管网维护及管理，防止因污水管网破损、堵漏等原因造成医疗废水外渗</w:t>
            </w:r>
            <w:r>
              <w:rPr>
                <w:rFonts w:hint="eastAsia"/>
                <w:i/>
                <w:iCs/>
                <w:color w:val="auto"/>
                <w:spacing w:val="-2"/>
                <w:sz w:val="24"/>
                <w:highlight w:val="none"/>
                <w:u w:val="single"/>
                <w:lang w:eastAsia="zh-CN"/>
              </w:rPr>
              <w:t>；</w:t>
            </w:r>
          </w:p>
          <w:p w14:paraId="42AFDC71">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（4）</w:t>
            </w:r>
            <w:r>
              <w:rPr>
                <w:i/>
                <w:iCs/>
                <w:color w:val="auto"/>
                <w:spacing w:val="-2"/>
                <w:sz w:val="24"/>
                <w:highlight w:val="none"/>
                <w:u w:val="single"/>
              </w:rPr>
              <w:t>加强对污水处理站设备的检查、维护，确保设备的正常运转。由于废水事故性排放主要是粪大肠菌群超标</w:t>
            </w:r>
            <w:r>
              <w:rPr>
                <w:rFonts w:hint="eastAsia"/>
                <w:i/>
                <w:iCs/>
                <w:color w:val="auto"/>
                <w:spacing w:val="-2"/>
                <w:sz w:val="24"/>
                <w:highlight w:val="none"/>
                <w:u w:val="single"/>
                <w:lang w:eastAsia="zh-CN"/>
              </w:rPr>
              <w:t>，</w:t>
            </w:r>
            <w:r>
              <w:rPr>
                <w:i/>
                <w:iCs/>
                <w:color w:val="auto"/>
                <w:spacing w:val="-2"/>
                <w:sz w:val="24"/>
                <w:highlight w:val="none"/>
                <w:u w:val="single"/>
              </w:rPr>
              <w:t>因此要求医院在污水处理站的日常运行管理中，严格加强消毒处理，消毒剂必须足量，禁止出现不投或少投消毒剂的现象</w:t>
            </w:r>
            <w:r>
              <w:rPr>
                <w:rFonts w:hint="eastAsia"/>
                <w:i/>
                <w:iCs/>
                <w:color w:val="auto"/>
                <w:spacing w:val="-2"/>
                <w:sz w:val="24"/>
                <w:highlight w:val="none"/>
                <w:u w:val="single"/>
              </w:rPr>
              <w:t>；</w:t>
            </w:r>
          </w:p>
          <w:p w14:paraId="6FA8A60D">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（5）</w:t>
            </w:r>
            <w:r>
              <w:rPr>
                <w:i/>
                <w:iCs/>
                <w:color w:val="auto"/>
                <w:spacing w:val="-2"/>
                <w:sz w:val="24"/>
                <w:highlight w:val="none"/>
                <w:u w:val="single"/>
              </w:rPr>
              <w:t>发生污水处理站事故时，立即通知医院内各用水科室，采取停止或减少用水的措施，减少污水处理站处理负荷</w:t>
            </w:r>
            <w:r>
              <w:rPr>
                <w:rFonts w:hint="eastAsia"/>
                <w:i/>
                <w:iCs/>
                <w:color w:val="auto"/>
                <w:spacing w:val="-2"/>
                <w:sz w:val="24"/>
                <w:highlight w:val="none"/>
                <w:u w:val="single"/>
              </w:rPr>
              <w:t>；</w:t>
            </w:r>
          </w:p>
          <w:p w14:paraId="33F73A1C">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（6）</w:t>
            </w:r>
            <w:r>
              <w:rPr>
                <w:i/>
                <w:iCs/>
                <w:color w:val="auto"/>
                <w:spacing w:val="-2"/>
                <w:sz w:val="24"/>
                <w:highlight w:val="none"/>
                <w:u w:val="single"/>
              </w:rPr>
              <w:t>当污水处理站发生事故停运时，应立即停止用水。待其污水处理站恢复正常工作后，将该部分临时储存的污水经污水处理站处理达标后再外排进入市政污水管网。严禁项目污水未经有效处理就直接外排进入市政污水管网。</w:t>
            </w:r>
          </w:p>
          <w:p w14:paraId="2E7D018A">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3.</w:t>
            </w:r>
            <w:r>
              <w:rPr>
                <w:i/>
                <w:iCs/>
                <w:color w:val="auto"/>
                <w:spacing w:val="-2"/>
                <w:sz w:val="24"/>
                <w:highlight w:val="none"/>
                <w:u w:val="single"/>
              </w:rPr>
              <w:t>医疗废物风险防范措施</w:t>
            </w:r>
          </w:p>
          <w:p w14:paraId="0CB0DBE9">
            <w:pPr>
              <w:spacing w:line="360" w:lineRule="auto"/>
              <w:ind w:firstLine="472" w:firstLineChars="200"/>
              <w:rPr>
                <w:i/>
                <w:iCs/>
                <w:color w:val="auto"/>
                <w:spacing w:val="-2"/>
                <w:sz w:val="24"/>
                <w:highlight w:val="none"/>
                <w:u w:val="single"/>
              </w:rPr>
            </w:pPr>
            <w:r>
              <w:rPr>
                <w:i/>
                <w:iCs/>
                <w:color w:val="auto"/>
                <w:spacing w:val="-2"/>
                <w:sz w:val="24"/>
                <w:highlight w:val="none"/>
                <w:u w:val="single"/>
              </w:rPr>
              <w:t>针对医疗废物在收集、储运过程中可能产生的流失、</w:t>
            </w:r>
            <w:r>
              <w:rPr>
                <w:rFonts w:hint="eastAsia"/>
                <w:i/>
                <w:iCs/>
                <w:color w:val="auto"/>
                <w:spacing w:val="-2"/>
                <w:sz w:val="24"/>
                <w:highlight w:val="none"/>
                <w:u w:val="single"/>
                <w:lang w:eastAsia="zh-CN"/>
              </w:rPr>
              <w:t>泄漏</w:t>
            </w:r>
            <w:r>
              <w:rPr>
                <w:i/>
                <w:iCs/>
                <w:color w:val="auto"/>
                <w:spacing w:val="-2"/>
                <w:sz w:val="24"/>
                <w:highlight w:val="none"/>
                <w:u w:val="single"/>
              </w:rPr>
              <w:t>、扩散和意外事故，本项目应当采取的风险防范措施</w:t>
            </w:r>
            <w:r>
              <w:rPr>
                <w:rFonts w:hint="eastAsia"/>
                <w:i/>
                <w:iCs/>
                <w:color w:val="auto"/>
                <w:spacing w:val="-2"/>
                <w:sz w:val="24"/>
                <w:highlight w:val="none"/>
                <w:u w:val="single"/>
              </w:rPr>
              <w:t>；</w:t>
            </w:r>
          </w:p>
          <w:p w14:paraId="77F125C6">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（1）</w:t>
            </w:r>
            <w:r>
              <w:rPr>
                <w:i/>
                <w:iCs/>
                <w:color w:val="auto"/>
                <w:spacing w:val="-2"/>
                <w:sz w:val="24"/>
                <w:highlight w:val="none"/>
                <w:u w:val="single"/>
              </w:rPr>
              <w:t>完善医疗废物管理制度</w:t>
            </w:r>
          </w:p>
          <w:p w14:paraId="79431C9B">
            <w:pPr>
              <w:spacing w:line="360" w:lineRule="auto"/>
              <w:ind w:firstLine="472" w:firstLineChars="200"/>
              <w:rPr>
                <w:i/>
                <w:iCs/>
                <w:color w:val="auto"/>
                <w:spacing w:val="-2"/>
                <w:sz w:val="24"/>
                <w:highlight w:val="none"/>
                <w:u w:val="single"/>
              </w:rPr>
            </w:pPr>
            <w:r>
              <w:rPr>
                <w:i/>
                <w:iCs/>
                <w:color w:val="auto"/>
                <w:spacing w:val="-2"/>
                <w:sz w:val="24"/>
                <w:highlight w:val="none"/>
                <w:u w:val="single"/>
              </w:rPr>
              <w:t>按照国家对医院的政策要求，特别是对医疗废物的处理处置要求和《医疗废物管理条例》等，制定和完善医疗废物管理制度，制定严格的医疗废物收集、储运的操作程序，防止出现流失、泄露、扩散而导致意外事故的发生。</w:t>
            </w:r>
          </w:p>
          <w:p w14:paraId="1EAD53EE">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（2）</w:t>
            </w:r>
            <w:r>
              <w:rPr>
                <w:i/>
                <w:iCs/>
                <w:color w:val="auto"/>
                <w:spacing w:val="-2"/>
                <w:sz w:val="24"/>
                <w:highlight w:val="none"/>
                <w:u w:val="single"/>
              </w:rPr>
              <w:t>提高人员素质，进行人员安全防护</w:t>
            </w:r>
          </w:p>
          <w:p w14:paraId="7A79A168">
            <w:pPr>
              <w:spacing w:line="360" w:lineRule="auto"/>
              <w:ind w:firstLine="472" w:firstLineChars="200"/>
              <w:rPr>
                <w:rFonts w:hint="eastAsia" w:eastAsia="宋体"/>
                <w:i/>
                <w:iCs/>
                <w:color w:val="auto"/>
                <w:spacing w:val="-2"/>
                <w:sz w:val="24"/>
                <w:highlight w:val="none"/>
                <w:u w:val="single"/>
                <w:lang w:eastAsia="zh-CN"/>
              </w:rPr>
            </w:pPr>
            <w:r>
              <w:rPr>
                <w:i/>
                <w:iCs/>
                <w:color w:val="auto"/>
                <w:spacing w:val="-2"/>
                <w:sz w:val="24"/>
                <w:highlight w:val="none"/>
                <w:u w:val="single"/>
              </w:rPr>
              <w:t>医疗废物相关工作人员和管理人员应该达到以下要求</w:t>
            </w:r>
            <w:r>
              <w:rPr>
                <w:rFonts w:hint="eastAsia"/>
                <w:i/>
                <w:iCs/>
                <w:color w:val="auto"/>
                <w:spacing w:val="-2"/>
                <w:sz w:val="24"/>
                <w:highlight w:val="none"/>
                <w:u w:val="single"/>
                <w:lang w:eastAsia="zh-CN"/>
              </w:rPr>
              <w:t>；</w:t>
            </w:r>
          </w:p>
          <w:p w14:paraId="27320BB8">
            <w:pPr>
              <w:spacing w:line="360" w:lineRule="auto"/>
              <w:ind w:firstLine="472" w:firstLineChars="200"/>
              <w:rPr>
                <w:rFonts w:hint="eastAsia" w:eastAsia="宋体"/>
                <w:i/>
                <w:iCs/>
                <w:color w:val="auto"/>
                <w:spacing w:val="-2"/>
                <w:sz w:val="24"/>
                <w:highlight w:val="none"/>
                <w:u w:val="single"/>
                <w:lang w:eastAsia="zh-CN"/>
              </w:rPr>
            </w:pPr>
            <w:r>
              <w:rPr>
                <w:i/>
                <w:iCs/>
                <w:color w:val="auto"/>
                <w:spacing w:val="-2"/>
                <w:sz w:val="24"/>
                <w:highlight w:val="none"/>
                <w:u w:val="single"/>
              </w:rPr>
              <w:t>A掌握国家相关法律、法规、规章和有关规范性文件的规定，熟悉本机构制定的医疗废物管理的规章制度、工作流程和各项工作要求</w:t>
            </w:r>
            <w:r>
              <w:rPr>
                <w:rFonts w:hint="eastAsia"/>
                <w:i/>
                <w:iCs/>
                <w:color w:val="auto"/>
                <w:spacing w:val="-2"/>
                <w:sz w:val="24"/>
                <w:highlight w:val="none"/>
                <w:u w:val="single"/>
                <w:lang w:eastAsia="zh-CN"/>
              </w:rPr>
              <w:t>；</w:t>
            </w:r>
          </w:p>
          <w:p w14:paraId="45F84BEA">
            <w:pPr>
              <w:spacing w:line="360" w:lineRule="auto"/>
              <w:ind w:firstLine="472" w:firstLineChars="200"/>
              <w:rPr>
                <w:rFonts w:hint="eastAsia" w:eastAsia="宋体"/>
                <w:i/>
                <w:iCs/>
                <w:color w:val="auto"/>
                <w:spacing w:val="-2"/>
                <w:sz w:val="24"/>
                <w:highlight w:val="none"/>
                <w:u w:val="single"/>
                <w:lang w:eastAsia="zh-CN"/>
              </w:rPr>
            </w:pPr>
            <w:r>
              <w:rPr>
                <w:i/>
                <w:iCs/>
                <w:color w:val="auto"/>
                <w:spacing w:val="-2"/>
                <w:sz w:val="24"/>
                <w:highlight w:val="none"/>
                <w:u w:val="single"/>
              </w:rPr>
              <w:t>B掌握医疗废物分类收集、运输、暂时贮存的正确方法和操作程序</w:t>
            </w:r>
            <w:r>
              <w:rPr>
                <w:rFonts w:hint="eastAsia"/>
                <w:i/>
                <w:iCs/>
                <w:color w:val="auto"/>
                <w:spacing w:val="-2"/>
                <w:sz w:val="24"/>
                <w:highlight w:val="none"/>
                <w:u w:val="single"/>
                <w:lang w:eastAsia="zh-CN"/>
              </w:rPr>
              <w:t>；</w:t>
            </w:r>
          </w:p>
          <w:p w14:paraId="61852114">
            <w:pPr>
              <w:spacing w:line="360" w:lineRule="auto"/>
              <w:ind w:firstLine="472" w:firstLineChars="200"/>
              <w:rPr>
                <w:i/>
                <w:iCs/>
                <w:color w:val="auto"/>
                <w:spacing w:val="-2"/>
                <w:sz w:val="24"/>
                <w:highlight w:val="none"/>
                <w:u w:val="single"/>
              </w:rPr>
            </w:pPr>
            <w:r>
              <w:rPr>
                <w:i/>
                <w:iCs/>
                <w:color w:val="auto"/>
                <w:spacing w:val="-2"/>
                <w:sz w:val="24"/>
                <w:highlight w:val="none"/>
                <w:u w:val="single"/>
              </w:rPr>
              <w:t>C掌握医疗废物分类中的安全知识、专业技术、职业卫生安全防护等知识</w:t>
            </w:r>
            <w:r>
              <w:rPr>
                <w:rFonts w:hint="eastAsia"/>
                <w:i/>
                <w:iCs/>
                <w:color w:val="auto"/>
                <w:spacing w:val="-2"/>
                <w:sz w:val="24"/>
                <w:highlight w:val="none"/>
                <w:u w:val="single"/>
              </w:rPr>
              <w:t>；</w:t>
            </w:r>
          </w:p>
          <w:p w14:paraId="4B52EAA2">
            <w:pPr>
              <w:spacing w:line="360" w:lineRule="auto"/>
              <w:ind w:firstLine="472" w:firstLineChars="200"/>
              <w:rPr>
                <w:rFonts w:hint="eastAsia" w:eastAsia="宋体"/>
                <w:i/>
                <w:iCs/>
                <w:color w:val="auto"/>
                <w:spacing w:val="-2"/>
                <w:sz w:val="24"/>
                <w:highlight w:val="none"/>
                <w:u w:val="single"/>
                <w:lang w:eastAsia="zh-CN"/>
              </w:rPr>
            </w:pPr>
            <w:r>
              <w:rPr>
                <w:i/>
                <w:iCs/>
                <w:color w:val="auto"/>
                <w:spacing w:val="-2"/>
                <w:sz w:val="24"/>
                <w:highlight w:val="none"/>
                <w:u w:val="single"/>
              </w:rPr>
              <w:t>D掌握在医疗废物分类收集、运送、暂时贮存及处置过程中预防被医疗废物刺伤、擦伤等伤害的措施及发生后的处理措施</w:t>
            </w:r>
            <w:r>
              <w:rPr>
                <w:rFonts w:hint="eastAsia"/>
                <w:i/>
                <w:iCs/>
                <w:color w:val="auto"/>
                <w:spacing w:val="-2"/>
                <w:sz w:val="24"/>
                <w:highlight w:val="none"/>
                <w:u w:val="single"/>
                <w:lang w:eastAsia="zh-CN"/>
              </w:rPr>
              <w:t>；</w:t>
            </w:r>
          </w:p>
          <w:p w14:paraId="4700380C">
            <w:pPr>
              <w:spacing w:line="360" w:lineRule="auto"/>
              <w:ind w:firstLine="472" w:firstLineChars="200"/>
              <w:rPr>
                <w:i/>
                <w:iCs/>
                <w:color w:val="auto"/>
                <w:spacing w:val="-2"/>
                <w:sz w:val="24"/>
                <w:highlight w:val="none"/>
                <w:u w:val="single"/>
              </w:rPr>
            </w:pPr>
            <w:r>
              <w:rPr>
                <w:i/>
                <w:iCs/>
                <w:color w:val="auto"/>
                <w:spacing w:val="-2"/>
                <w:sz w:val="24"/>
                <w:highlight w:val="none"/>
                <w:u w:val="single"/>
              </w:rPr>
              <w:t>E掌握发生医疗废物流失、</w:t>
            </w:r>
            <w:r>
              <w:rPr>
                <w:rFonts w:hint="eastAsia"/>
                <w:i/>
                <w:iCs/>
                <w:color w:val="auto"/>
                <w:spacing w:val="-2"/>
                <w:sz w:val="24"/>
                <w:highlight w:val="none"/>
                <w:u w:val="single"/>
                <w:lang w:eastAsia="zh-CN"/>
              </w:rPr>
              <w:t>泄漏</w:t>
            </w:r>
            <w:r>
              <w:rPr>
                <w:i/>
                <w:iCs/>
                <w:color w:val="auto"/>
                <w:spacing w:val="-2"/>
                <w:sz w:val="24"/>
                <w:highlight w:val="none"/>
                <w:u w:val="single"/>
              </w:rPr>
              <w:t>、扩散和意外事故情况</w:t>
            </w:r>
            <w:r>
              <w:rPr>
                <w:rFonts w:hint="eastAsia"/>
                <w:i/>
                <w:iCs/>
                <w:color w:val="auto"/>
                <w:spacing w:val="-2"/>
                <w:sz w:val="24"/>
                <w:highlight w:val="none"/>
                <w:u w:val="single"/>
                <w:lang w:eastAsia="zh-CN"/>
              </w:rPr>
              <w:t>时</w:t>
            </w:r>
            <w:r>
              <w:rPr>
                <w:i/>
                <w:iCs/>
                <w:color w:val="auto"/>
                <w:spacing w:val="-2"/>
                <w:sz w:val="24"/>
                <w:highlight w:val="none"/>
                <w:u w:val="single"/>
              </w:rPr>
              <w:t>的紧急处理措施。本项目建设单位应当根据接触医疗废物种类及风险大小的不同，采用适宜、有效的职业卫生防护措施，为项目内从事医疗废物分类收集、运送、暂时贮存和处置等工作的人员和管理人员配备必要的防护用品</w:t>
            </w:r>
            <w:r>
              <w:rPr>
                <w:rFonts w:hint="eastAsia"/>
                <w:i/>
                <w:iCs/>
                <w:color w:val="auto"/>
                <w:spacing w:val="-2"/>
                <w:sz w:val="24"/>
                <w:highlight w:val="none"/>
                <w:u w:val="single"/>
                <w:lang w:eastAsia="zh-CN"/>
              </w:rPr>
              <w:t>，</w:t>
            </w:r>
            <w:r>
              <w:rPr>
                <w:i/>
                <w:iCs/>
                <w:color w:val="auto"/>
                <w:spacing w:val="-2"/>
                <w:sz w:val="24"/>
                <w:highlight w:val="none"/>
                <w:u w:val="single"/>
              </w:rPr>
              <w:t>定期进行健康检查</w:t>
            </w:r>
            <w:r>
              <w:rPr>
                <w:rFonts w:hint="eastAsia"/>
                <w:i/>
                <w:iCs/>
                <w:color w:val="auto"/>
                <w:spacing w:val="-2"/>
                <w:sz w:val="24"/>
                <w:highlight w:val="none"/>
                <w:u w:val="single"/>
                <w:lang w:eastAsia="zh-CN"/>
              </w:rPr>
              <w:t>，</w:t>
            </w:r>
            <w:r>
              <w:rPr>
                <w:i/>
                <w:iCs/>
                <w:color w:val="auto"/>
                <w:spacing w:val="-2"/>
                <w:sz w:val="24"/>
                <w:highlight w:val="none"/>
                <w:u w:val="single"/>
              </w:rPr>
              <w:t>必要时，对有关人员进行免疫接种，防止其受到健康损害。本项目的工作人员在工作中发生被医疗废物刺伤、擦伤等伤害时，应当采取相应的处理措施，并及时报告本项</w:t>
            </w:r>
            <w:r>
              <w:rPr>
                <w:rFonts w:hint="eastAsia"/>
                <w:i/>
                <w:iCs/>
                <w:color w:val="auto"/>
                <w:spacing w:val="-2"/>
                <w:sz w:val="24"/>
                <w:highlight w:val="none"/>
                <w:u w:val="single"/>
                <w:lang w:eastAsia="zh-CN"/>
              </w:rPr>
              <w:t>目</w:t>
            </w:r>
            <w:r>
              <w:rPr>
                <w:i/>
                <w:iCs/>
                <w:color w:val="auto"/>
                <w:spacing w:val="-2"/>
                <w:sz w:val="24"/>
                <w:highlight w:val="none"/>
                <w:u w:val="single"/>
              </w:rPr>
              <w:t>内的相关部门。</w:t>
            </w:r>
          </w:p>
          <w:p w14:paraId="6E72ED1D">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（3）</w:t>
            </w:r>
            <w:r>
              <w:rPr>
                <w:i/>
                <w:iCs/>
                <w:color w:val="auto"/>
                <w:spacing w:val="-2"/>
                <w:sz w:val="24"/>
                <w:highlight w:val="none"/>
                <w:u w:val="single"/>
              </w:rPr>
              <w:t>建设单位应当采取的措施</w:t>
            </w:r>
          </w:p>
          <w:p w14:paraId="49FF59AF">
            <w:pPr>
              <w:spacing w:line="360" w:lineRule="auto"/>
              <w:ind w:firstLine="472" w:firstLineChars="200"/>
              <w:rPr>
                <w:i/>
                <w:iCs/>
                <w:color w:val="auto"/>
                <w:spacing w:val="-2"/>
                <w:sz w:val="24"/>
                <w:highlight w:val="none"/>
                <w:u w:val="single"/>
              </w:rPr>
            </w:pPr>
            <w:r>
              <w:rPr>
                <w:i/>
                <w:iCs/>
                <w:color w:val="auto"/>
                <w:spacing w:val="-2"/>
                <w:sz w:val="24"/>
                <w:highlight w:val="none"/>
                <w:u w:val="single"/>
              </w:rPr>
              <w:t>A应当使用防渗漏、防抛洒的专用运送工具，按照本单位确定的内部医疗废物运送时间、路线，将医疗废物收集、运送至有资质单位进行处置。</w:t>
            </w:r>
          </w:p>
          <w:p w14:paraId="64207AFE">
            <w:pPr>
              <w:spacing w:line="360" w:lineRule="auto"/>
              <w:ind w:firstLine="472" w:firstLineChars="200"/>
              <w:rPr>
                <w:i/>
                <w:iCs/>
                <w:color w:val="auto"/>
                <w:spacing w:val="-2"/>
                <w:sz w:val="24"/>
                <w:highlight w:val="none"/>
                <w:u w:val="single"/>
              </w:rPr>
            </w:pPr>
            <w:r>
              <w:rPr>
                <w:i/>
                <w:iCs/>
                <w:color w:val="auto"/>
                <w:spacing w:val="-2"/>
                <w:sz w:val="24"/>
                <w:highlight w:val="none"/>
                <w:u w:val="single"/>
              </w:rPr>
              <w:t>B运送工具使用后应当在指定的地点及时消毒和清洁。</w:t>
            </w:r>
          </w:p>
          <w:p w14:paraId="4D1B5C1B">
            <w:pPr>
              <w:spacing w:line="360" w:lineRule="auto"/>
              <w:ind w:firstLine="472" w:firstLineChars="200"/>
              <w:rPr>
                <w:i/>
                <w:iCs/>
                <w:color w:val="auto"/>
                <w:spacing w:val="-2"/>
                <w:sz w:val="24"/>
                <w:highlight w:val="none"/>
                <w:u w:val="single"/>
              </w:rPr>
            </w:pPr>
            <w:r>
              <w:rPr>
                <w:i/>
                <w:iCs/>
                <w:color w:val="auto"/>
                <w:spacing w:val="-2"/>
                <w:sz w:val="24"/>
                <w:highlight w:val="none"/>
                <w:u w:val="single"/>
              </w:rPr>
              <w:t>C项目医疗废物中的药物性废物</w:t>
            </w:r>
            <w:r>
              <w:rPr>
                <w:rFonts w:hint="eastAsia"/>
                <w:i/>
                <w:iCs/>
                <w:color w:val="auto"/>
                <w:spacing w:val="-2"/>
                <w:sz w:val="24"/>
                <w:highlight w:val="none"/>
                <w:u w:val="single"/>
                <w:lang w:eastAsia="zh-CN"/>
              </w:rPr>
              <w:t>（</w:t>
            </w:r>
            <w:r>
              <w:rPr>
                <w:i/>
                <w:iCs/>
                <w:color w:val="auto"/>
                <w:spacing w:val="-2"/>
                <w:sz w:val="24"/>
                <w:highlight w:val="none"/>
                <w:u w:val="single"/>
              </w:rPr>
              <w:t>如过期药品等和化学性废物(如废弃的消毒剂、废化学试剂等</w:t>
            </w:r>
            <w:r>
              <w:rPr>
                <w:rFonts w:hint="eastAsia"/>
                <w:i/>
                <w:iCs/>
                <w:color w:val="auto"/>
                <w:spacing w:val="-2"/>
                <w:sz w:val="24"/>
                <w:highlight w:val="none"/>
                <w:u w:val="single"/>
                <w:lang w:eastAsia="zh-CN"/>
              </w:rPr>
              <w:t>）</w:t>
            </w:r>
            <w:r>
              <w:rPr>
                <w:i/>
                <w:iCs/>
                <w:color w:val="auto"/>
                <w:spacing w:val="-2"/>
                <w:sz w:val="24"/>
                <w:highlight w:val="none"/>
                <w:u w:val="single"/>
              </w:rPr>
              <w:t>分类收集、贮存，贴上醒目标签，不得与生活垃圾混合堆放</w:t>
            </w:r>
            <w:r>
              <w:rPr>
                <w:rFonts w:hint="eastAsia"/>
                <w:i/>
                <w:iCs/>
                <w:color w:val="auto"/>
                <w:spacing w:val="-2"/>
                <w:sz w:val="24"/>
                <w:highlight w:val="none"/>
                <w:u w:val="single"/>
                <w:lang w:eastAsia="zh-CN"/>
              </w:rPr>
              <w:t>；</w:t>
            </w:r>
            <w:r>
              <w:rPr>
                <w:i/>
                <w:iCs/>
                <w:color w:val="auto"/>
                <w:spacing w:val="-2"/>
                <w:sz w:val="24"/>
                <w:highlight w:val="none"/>
                <w:u w:val="single"/>
              </w:rPr>
              <w:t>污水处理设施污泥消毒后，用专用容器盛装，贴上醒目标签，并且不得与生活垃圾和医疗废物混合。发生危险废物与生活垃圾混合的现象，应将所有被污染的生活垃圾当作危险废物处理。</w:t>
            </w:r>
          </w:p>
          <w:p w14:paraId="2DA95EFC">
            <w:pPr>
              <w:spacing w:line="360" w:lineRule="auto"/>
              <w:ind w:firstLine="472" w:firstLineChars="200"/>
              <w:rPr>
                <w:i/>
                <w:iCs/>
                <w:color w:val="auto"/>
                <w:spacing w:val="-2"/>
                <w:sz w:val="24"/>
                <w:highlight w:val="none"/>
                <w:u w:val="single"/>
              </w:rPr>
            </w:pPr>
            <w:r>
              <w:rPr>
                <w:i/>
                <w:iCs/>
                <w:color w:val="auto"/>
                <w:spacing w:val="-2"/>
                <w:sz w:val="24"/>
                <w:highlight w:val="none"/>
                <w:u w:val="single"/>
              </w:rPr>
              <w:t>D按照《医疗废物管理条例》和《医疗卫生机构医疗废物管理办法》的规定，医疗废物在运送过程中发生翻车、抛洒现象，当事人应立即对洒落的危险废物迅速进行收集、清理，对被污染的现场地面进行消毒和清洁处理。</w:t>
            </w:r>
          </w:p>
          <w:p w14:paraId="55ADC7F5">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（4）</w:t>
            </w:r>
            <w:r>
              <w:rPr>
                <w:i/>
                <w:iCs/>
                <w:color w:val="auto"/>
                <w:spacing w:val="-2"/>
                <w:sz w:val="24"/>
                <w:highlight w:val="none"/>
                <w:u w:val="single"/>
              </w:rPr>
              <w:t>火灾风险事故防范措施</w:t>
            </w:r>
          </w:p>
          <w:p w14:paraId="06DCD6C0">
            <w:pPr>
              <w:spacing w:line="360" w:lineRule="auto"/>
              <w:ind w:firstLine="472" w:firstLineChars="200"/>
              <w:rPr>
                <w:i/>
                <w:iCs/>
                <w:color w:val="auto"/>
                <w:spacing w:val="-2"/>
                <w:sz w:val="24"/>
                <w:highlight w:val="none"/>
                <w:u w:val="single"/>
              </w:rPr>
            </w:pPr>
            <w:r>
              <w:rPr>
                <w:i/>
                <w:iCs/>
                <w:color w:val="auto"/>
                <w:spacing w:val="-2"/>
                <w:sz w:val="24"/>
                <w:highlight w:val="none"/>
                <w:u w:val="single"/>
              </w:rPr>
              <w:t>消防设施均按照国家相关规范设计实施，根据《建筑灭火器配置设计规范》的规定，在项目内配备足够的消防器材。安装火灾烟雾报警器，以便及时发现险情。加强人员的安全防火意识，电气设备定期巡检，防止电气火灾发生。火灾一旦发生，在消防员未赶到前全体员工必须听从指挥，根据职责和要求，分头迅速开展火灾抢救、报警、开启应急通道，疏散人流，切断电源等工作</w:t>
            </w:r>
            <w:r>
              <w:rPr>
                <w:rFonts w:hint="eastAsia"/>
                <w:i/>
                <w:iCs/>
                <w:color w:val="auto"/>
                <w:spacing w:val="-2"/>
                <w:sz w:val="24"/>
                <w:highlight w:val="none"/>
                <w:u w:val="single"/>
                <w:lang w:eastAsia="zh-CN"/>
              </w:rPr>
              <w:t>；</w:t>
            </w:r>
            <w:r>
              <w:rPr>
                <w:i/>
                <w:iCs/>
                <w:color w:val="auto"/>
                <w:spacing w:val="-2"/>
                <w:sz w:val="24"/>
                <w:highlight w:val="none"/>
                <w:u w:val="single"/>
              </w:rPr>
              <w:t>必须保持消防通道畅通，出入口有明显标志，应急照明，消防通道及安全门不能锁闭，疏散路线有明显的引导图例</w:t>
            </w:r>
            <w:r>
              <w:rPr>
                <w:rFonts w:hint="eastAsia"/>
                <w:i/>
                <w:iCs/>
                <w:color w:val="auto"/>
                <w:spacing w:val="-2"/>
                <w:sz w:val="24"/>
                <w:highlight w:val="none"/>
                <w:u w:val="single"/>
                <w:lang w:eastAsia="zh-CN"/>
              </w:rPr>
              <w:t>；</w:t>
            </w:r>
            <w:r>
              <w:rPr>
                <w:i/>
                <w:iCs/>
                <w:color w:val="auto"/>
                <w:spacing w:val="-2"/>
                <w:sz w:val="24"/>
                <w:highlight w:val="none"/>
                <w:u w:val="single"/>
              </w:rPr>
              <w:t>当火灾发生时，采用适当的方法组织灭火、疏散，必须配备足够的消防器材</w:t>
            </w:r>
            <w:r>
              <w:rPr>
                <w:rFonts w:hint="eastAsia"/>
                <w:i/>
                <w:iCs/>
                <w:color w:val="auto"/>
                <w:spacing w:val="-2"/>
                <w:sz w:val="24"/>
                <w:highlight w:val="none"/>
                <w:u w:val="single"/>
                <w:lang w:eastAsia="zh-CN"/>
              </w:rPr>
              <w:t>；</w:t>
            </w:r>
            <w:r>
              <w:rPr>
                <w:i/>
                <w:iCs/>
                <w:color w:val="auto"/>
                <w:spacing w:val="-2"/>
                <w:sz w:val="24"/>
                <w:highlight w:val="none"/>
                <w:u w:val="single"/>
              </w:rPr>
              <w:t>所有参加灭火与应急疏散工作的领导、工作人员应打开通信工具，确保通讯畅通，确保行动协调统一指挥。</w:t>
            </w:r>
          </w:p>
          <w:p w14:paraId="612747EF">
            <w:pPr>
              <w:spacing w:line="360" w:lineRule="auto"/>
              <w:ind w:firstLine="474" w:firstLineChars="200"/>
              <w:rPr>
                <w:b/>
                <w:bCs/>
                <w:color w:val="auto"/>
                <w:spacing w:val="-2"/>
                <w:sz w:val="24"/>
                <w:highlight w:val="none"/>
              </w:rPr>
            </w:pPr>
            <w:r>
              <w:rPr>
                <w:rFonts w:hint="eastAsia"/>
                <w:b/>
                <w:bCs/>
                <w:color w:val="auto"/>
                <w:spacing w:val="-2"/>
                <w:sz w:val="24"/>
                <w:highlight w:val="none"/>
              </w:rPr>
              <w:t>6.6</w:t>
            </w:r>
            <w:r>
              <w:rPr>
                <w:b/>
                <w:bCs/>
                <w:color w:val="auto"/>
                <w:spacing w:val="-2"/>
                <w:sz w:val="24"/>
                <w:highlight w:val="none"/>
              </w:rPr>
              <w:t>环境风险分析结论</w:t>
            </w:r>
          </w:p>
          <w:p w14:paraId="3AFF80E7">
            <w:pPr>
              <w:spacing w:line="360" w:lineRule="auto"/>
              <w:ind w:firstLine="472" w:firstLineChars="200"/>
              <w:rPr>
                <w:color w:val="auto"/>
                <w:spacing w:val="-1"/>
                <w:sz w:val="24"/>
                <w:highlight w:val="none"/>
              </w:rPr>
            </w:pPr>
            <w:r>
              <w:rPr>
                <w:color w:val="auto"/>
                <w:spacing w:val="-2"/>
                <w:sz w:val="24"/>
                <w:highlight w:val="none"/>
              </w:rPr>
              <w:t>综上所述，只要企业在生产管理中严格按照相关规定、认真落实环评提出的各项预防、控制环境风险的相关措施后，企业可将风险事故</w:t>
            </w:r>
            <w:r>
              <w:rPr>
                <w:rFonts w:hint="eastAsia"/>
                <w:color w:val="auto"/>
                <w:spacing w:val="-2"/>
                <w:sz w:val="24"/>
                <w:highlight w:val="none"/>
                <w:lang w:eastAsia="zh-CN"/>
              </w:rPr>
              <w:t>降</w:t>
            </w:r>
            <w:r>
              <w:rPr>
                <w:color w:val="auto"/>
                <w:spacing w:val="-2"/>
                <w:sz w:val="24"/>
                <w:highlight w:val="none"/>
              </w:rPr>
              <w:t>至最低，因此，本项目的环境风险水平是可接受的。</w:t>
            </w:r>
          </w:p>
        </w:tc>
      </w:tr>
    </w:tbl>
    <w:p w14:paraId="1100C327">
      <w:pPr>
        <w:adjustRightInd w:val="0"/>
        <w:snapToGrid w:val="0"/>
        <w:spacing w:line="360" w:lineRule="auto"/>
        <w:rPr>
          <w:rFonts w:ascii="宋体" w:cs="宋体"/>
          <w:b/>
          <w:color w:val="auto"/>
          <w:kern w:val="0"/>
          <w:sz w:val="28"/>
          <w:szCs w:val="28"/>
          <w:highlight w:val="none"/>
        </w:rPr>
        <w:sectPr>
          <w:pgSz w:w="11907" w:h="16840"/>
          <w:pgMar w:top="1701" w:right="1531" w:bottom="2127" w:left="1531" w:header="851" w:footer="851" w:gutter="0"/>
          <w:cols w:space="720" w:num="1"/>
          <w:docGrid w:linePitch="312" w:charSpace="0"/>
        </w:sectPr>
      </w:pPr>
    </w:p>
    <w:p w14:paraId="72EC5668">
      <w:pPr>
        <w:pStyle w:val="24"/>
        <w:spacing w:before="0" w:beforeAutospacing="0" w:after="0" w:afterAutospacing="0"/>
        <w:jc w:val="center"/>
        <w:outlineLvl w:val="0"/>
        <w:rPr>
          <w:rFonts w:ascii="Times New Roman" w:hAnsi="Times New Roman"/>
          <w:b/>
          <w:bCs/>
          <w:color w:val="auto"/>
          <w:kern w:val="44"/>
          <w:sz w:val="30"/>
          <w:szCs w:val="30"/>
          <w:highlight w:val="none"/>
        </w:rPr>
      </w:pPr>
      <w:r>
        <w:rPr>
          <w:rFonts w:hint="eastAsia" w:ascii="Times New Roman" w:hAnsi="Times New Roman"/>
          <w:b/>
          <w:bCs/>
          <w:color w:val="auto"/>
          <w:kern w:val="44"/>
          <w:sz w:val="30"/>
          <w:szCs w:val="30"/>
          <w:highlight w:val="none"/>
        </w:rPr>
        <w:t>五、</w:t>
      </w:r>
      <w:bookmarkStart w:id="40" w:name="_Hlk54167917"/>
      <w:r>
        <w:rPr>
          <w:rFonts w:hint="eastAsia" w:ascii="Times New Roman" w:hAnsi="Times New Roman"/>
          <w:b/>
          <w:bCs/>
          <w:color w:val="auto"/>
          <w:kern w:val="44"/>
          <w:sz w:val="30"/>
          <w:szCs w:val="30"/>
          <w:highlight w:val="none"/>
        </w:rPr>
        <w:t>环境保护措施监督检查清单</w:t>
      </w:r>
      <w:bookmarkEnd w:id="40"/>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231"/>
        <w:gridCol w:w="1513"/>
        <w:gridCol w:w="2173"/>
        <w:gridCol w:w="2429"/>
      </w:tblGrid>
      <w:tr w14:paraId="7C4C9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trPr>
        <w:tc>
          <w:tcPr>
            <w:tcW w:w="1714" w:type="dxa"/>
            <w:tcBorders>
              <w:tl2br w:val="single" w:color="auto" w:sz="4" w:space="0"/>
            </w:tcBorders>
            <w:vAlign w:val="center"/>
          </w:tcPr>
          <w:p w14:paraId="6FBBD5C7">
            <w:pPr>
              <w:adjustRightInd w:val="0"/>
              <w:snapToGrid w:val="0"/>
              <w:ind w:firstLine="840"/>
              <w:rPr>
                <w:b/>
                <w:bCs/>
                <w:i/>
                <w:iCs/>
                <w:color w:val="auto"/>
                <w:sz w:val="24"/>
                <w:highlight w:val="none"/>
                <w:u w:val="single"/>
              </w:rPr>
            </w:pPr>
            <w:r>
              <w:rPr>
                <w:b/>
                <w:bCs/>
                <w:i/>
                <w:iCs/>
                <w:color w:val="auto"/>
                <w:sz w:val="24"/>
                <w:highlight w:val="none"/>
                <w:u w:val="single"/>
              </w:rPr>
              <w:t>内容</w:t>
            </w:r>
          </w:p>
          <w:p w14:paraId="14053931">
            <w:pPr>
              <w:adjustRightInd w:val="0"/>
              <w:snapToGrid w:val="0"/>
              <w:rPr>
                <w:b/>
                <w:bCs/>
                <w:i/>
                <w:iCs/>
                <w:color w:val="auto"/>
                <w:sz w:val="24"/>
                <w:highlight w:val="none"/>
                <w:u w:val="single"/>
              </w:rPr>
            </w:pPr>
            <w:r>
              <w:rPr>
                <w:b/>
                <w:bCs/>
                <w:i/>
                <w:iCs/>
                <w:color w:val="auto"/>
                <w:sz w:val="24"/>
                <w:highlight w:val="none"/>
                <w:u w:val="single"/>
              </w:rPr>
              <w:t>要素</w:t>
            </w:r>
          </w:p>
        </w:tc>
        <w:tc>
          <w:tcPr>
            <w:tcW w:w="1231" w:type="dxa"/>
            <w:vAlign w:val="center"/>
          </w:tcPr>
          <w:p w14:paraId="276FD70E">
            <w:pPr>
              <w:adjustRightInd w:val="0"/>
              <w:snapToGrid w:val="0"/>
              <w:jc w:val="center"/>
              <w:rPr>
                <w:b/>
                <w:bCs/>
                <w:i/>
                <w:iCs/>
                <w:color w:val="auto"/>
                <w:sz w:val="24"/>
                <w:highlight w:val="none"/>
                <w:u w:val="single"/>
              </w:rPr>
            </w:pPr>
            <w:r>
              <w:rPr>
                <w:b/>
                <w:bCs/>
                <w:i/>
                <w:iCs/>
                <w:color w:val="auto"/>
                <w:sz w:val="24"/>
                <w:highlight w:val="none"/>
                <w:u w:val="single"/>
              </w:rPr>
              <w:t>污染源</w:t>
            </w:r>
          </w:p>
        </w:tc>
        <w:tc>
          <w:tcPr>
            <w:tcW w:w="1513" w:type="dxa"/>
            <w:vAlign w:val="center"/>
          </w:tcPr>
          <w:p w14:paraId="089A0E27">
            <w:pPr>
              <w:adjustRightInd w:val="0"/>
              <w:snapToGrid w:val="0"/>
              <w:jc w:val="center"/>
              <w:rPr>
                <w:b/>
                <w:bCs/>
                <w:i/>
                <w:iCs/>
                <w:color w:val="auto"/>
                <w:sz w:val="24"/>
                <w:highlight w:val="none"/>
                <w:u w:val="single"/>
              </w:rPr>
            </w:pPr>
            <w:r>
              <w:rPr>
                <w:b/>
                <w:bCs/>
                <w:i/>
                <w:iCs/>
                <w:color w:val="auto"/>
                <w:sz w:val="24"/>
                <w:highlight w:val="none"/>
                <w:u w:val="single"/>
              </w:rPr>
              <w:t>污染物项目</w:t>
            </w:r>
          </w:p>
        </w:tc>
        <w:tc>
          <w:tcPr>
            <w:tcW w:w="2173" w:type="dxa"/>
            <w:vAlign w:val="center"/>
          </w:tcPr>
          <w:p w14:paraId="191DAE62">
            <w:pPr>
              <w:adjustRightInd w:val="0"/>
              <w:snapToGrid w:val="0"/>
              <w:jc w:val="center"/>
              <w:rPr>
                <w:b/>
                <w:bCs/>
                <w:i/>
                <w:iCs/>
                <w:color w:val="auto"/>
                <w:sz w:val="24"/>
                <w:highlight w:val="none"/>
                <w:u w:val="single"/>
              </w:rPr>
            </w:pPr>
            <w:r>
              <w:rPr>
                <w:b/>
                <w:bCs/>
                <w:i/>
                <w:iCs/>
                <w:color w:val="auto"/>
                <w:sz w:val="24"/>
                <w:highlight w:val="none"/>
                <w:u w:val="single"/>
              </w:rPr>
              <w:t>环境保护措施</w:t>
            </w:r>
          </w:p>
        </w:tc>
        <w:tc>
          <w:tcPr>
            <w:tcW w:w="2429" w:type="dxa"/>
            <w:vAlign w:val="center"/>
          </w:tcPr>
          <w:p w14:paraId="22B7B2A1">
            <w:pPr>
              <w:adjustRightInd w:val="0"/>
              <w:snapToGrid w:val="0"/>
              <w:jc w:val="center"/>
              <w:rPr>
                <w:b/>
                <w:bCs/>
                <w:i/>
                <w:iCs/>
                <w:color w:val="auto"/>
                <w:sz w:val="24"/>
                <w:highlight w:val="none"/>
                <w:u w:val="single"/>
              </w:rPr>
            </w:pPr>
            <w:r>
              <w:rPr>
                <w:b/>
                <w:bCs/>
                <w:i/>
                <w:iCs/>
                <w:color w:val="auto"/>
                <w:sz w:val="24"/>
                <w:highlight w:val="none"/>
                <w:u w:val="single"/>
              </w:rPr>
              <w:t>执行标准</w:t>
            </w:r>
          </w:p>
        </w:tc>
      </w:tr>
      <w:tr w14:paraId="7EECC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714" w:type="dxa"/>
            <w:vMerge w:val="restart"/>
            <w:vAlign w:val="center"/>
          </w:tcPr>
          <w:p w14:paraId="21B68E4C">
            <w:pPr>
              <w:jc w:val="center"/>
              <w:rPr>
                <w:i/>
                <w:iCs/>
                <w:color w:val="auto"/>
                <w:sz w:val="24"/>
                <w:highlight w:val="none"/>
                <w:u w:val="single"/>
              </w:rPr>
            </w:pPr>
            <w:r>
              <w:rPr>
                <w:b/>
                <w:bCs/>
                <w:i/>
                <w:iCs/>
                <w:color w:val="auto"/>
                <w:sz w:val="24"/>
                <w:highlight w:val="none"/>
                <w:u w:val="single"/>
              </w:rPr>
              <w:t>大气环境</w:t>
            </w:r>
          </w:p>
        </w:tc>
        <w:tc>
          <w:tcPr>
            <w:tcW w:w="1231" w:type="dxa"/>
            <w:vAlign w:val="center"/>
          </w:tcPr>
          <w:p w14:paraId="737DAE48">
            <w:pPr>
              <w:jc w:val="center"/>
              <w:rPr>
                <w:i/>
                <w:iCs/>
                <w:color w:val="auto"/>
                <w:sz w:val="24"/>
                <w:highlight w:val="none"/>
                <w:u w:val="single"/>
              </w:rPr>
            </w:pPr>
            <w:r>
              <w:rPr>
                <w:i/>
                <w:iCs/>
                <w:color w:val="auto"/>
                <w:sz w:val="24"/>
                <w:highlight w:val="none"/>
                <w:u w:val="single"/>
              </w:rPr>
              <w:t>污水处理</w:t>
            </w:r>
            <w:r>
              <w:rPr>
                <w:rFonts w:hint="eastAsia"/>
                <w:i/>
                <w:iCs/>
                <w:color w:val="auto"/>
                <w:sz w:val="24"/>
                <w:highlight w:val="none"/>
                <w:u w:val="single"/>
              </w:rPr>
              <w:t>恶臭气体</w:t>
            </w:r>
          </w:p>
        </w:tc>
        <w:tc>
          <w:tcPr>
            <w:tcW w:w="1513" w:type="dxa"/>
            <w:vAlign w:val="center"/>
          </w:tcPr>
          <w:p w14:paraId="3793F498">
            <w:pPr>
              <w:jc w:val="center"/>
              <w:rPr>
                <w:i/>
                <w:iCs/>
                <w:color w:val="auto"/>
                <w:sz w:val="24"/>
                <w:highlight w:val="none"/>
                <w:u w:val="single"/>
              </w:rPr>
            </w:pPr>
            <w:r>
              <w:rPr>
                <w:i/>
                <w:iCs/>
                <w:color w:val="auto"/>
                <w:kern w:val="0"/>
                <w:sz w:val="24"/>
                <w:highlight w:val="none"/>
                <w:u w:val="single"/>
              </w:rPr>
              <w:t>NH</w:t>
            </w:r>
            <w:r>
              <w:rPr>
                <w:i/>
                <w:iCs/>
                <w:color w:val="auto"/>
                <w:kern w:val="0"/>
                <w:sz w:val="24"/>
                <w:highlight w:val="none"/>
                <w:u w:val="single"/>
                <w:vertAlign w:val="subscript"/>
              </w:rPr>
              <w:t>3</w:t>
            </w:r>
            <w:r>
              <w:rPr>
                <w:i/>
                <w:iCs/>
                <w:color w:val="auto"/>
                <w:kern w:val="0"/>
                <w:sz w:val="24"/>
                <w:highlight w:val="none"/>
                <w:u w:val="single"/>
              </w:rPr>
              <w:t>、H</w:t>
            </w:r>
            <w:r>
              <w:rPr>
                <w:i/>
                <w:iCs/>
                <w:color w:val="auto"/>
                <w:kern w:val="0"/>
                <w:sz w:val="24"/>
                <w:highlight w:val="none"/>
                <w:u w:val="single"/>
                <w:vertAlign w:val="subscript"/>
              </w:rPr>
              <w:t>2</w:t>
            </w:r>
            <w:r>
              <w:rPr>
                <w:i/>
                <w:iCs/>
                <w:color w:val="auto"/>
                <w:kern w:val="0"/>
                <w:sz w:val="24"/>
                <w:highlight w:val="none"/>
                <w:u w:val="single"/>
              </w:rPr>
              <w:t>S</w:t>
            </w:r>
            <w:r>
              <w:rPr>
                <w:rFonts w:hint="eastAsia"/>
                <w:i/>
                <w:iCs/>
                <w:color w:val="auto"/>
                <w:kern w:val="0"/>
                <w:sz w:val="24"/>
                <w:highlight w:val="none"/>
                <w:u w:val="single"/>
              </w:rPr>
              <w:t>、臭气浓度</w:t>
            </w:r>
          </w:p>
        </w:tc>
        <w:tc>
          <w:tcPr>
            <w:tcW w:w="2173" w:type="dxa"/>
            <w:vAlign w:val="center"/>
          </w:tcPr>
          <w:p w14:paraId="421B4F8C">
            <w:pPr>
              <w:autoSpaceDE w:val="0"/>
              <w:autoSpaceDN w:val="0"/>
              <w:adjustRightInd w:val="0"/>
              <w:jc w:val="center"/>
              <w:rPr>
                <w:i/>
                <w:iCs/>
                <w:color w:val="auto"/>
                <w:sz w:val="24"/>
                <w:highlight w:val="none"/>
                <w:u w:val="single"/>
              </w:rPr>
            </w:pPr>
            <w:r>
              <w:rPr>
                <w:i/>
                <w:iCs/>
                <w:color w:val="auto"/>
                <w:sz w:val="24"/>
                <w:highlight w:val="none"/>
                <w:u w:val="single"/>
              </w:rPr>
              <w:t>负压收集+活性炭吸附后通过</w:t>
            </w:r>
            <w:r>
              <w:rPr>
                <w:rFonts w:hint="eastAsia"/>
                <w:i/>
                <w:iCs/>
                <w:color w:val="auto"/>
                <w:sz w:val="24"/>
                <w:highlight w:val="none"/>
                <w:u w:val="single"/>
                <w:lang w:val="en-US" w:eastAsia="zh-CN"/>
              </w:rPr>
              <w:t>21</w:t>
            </w:r>
            <w:r>
              <w:rPr>
                <w:i/>
                <w:iCs/>
                <w:color w:val="auto"/>
                <w:sz w:val="24"/>
                <w:highlight w:val="none"/>
                <w:u w:val="single"/>
              </w:rPr>
              <w:t>m高排气筒DA001排放</w:t>
            </w:r>
          </w:p>
        </w:tc>
        <w:tc>
          <w:tcPr>
            <w:tcW w:w="2429" w:type="dxa"/>
            <w:vAlign w:val="center"/>
          </w:tcPr>
          <w:p w14:paraId="2CC79004">
            <w:pPr>
              <w:spacing w:line="360" w:lineRule="auto"/>
              <w:jc w:val="center"/>
              <w:rPr>
                <w:i/>
                <w:iCs/>
                <w:color w:val="auto"/>
                <w:sz w:val="24"/>
                <w:highlight w:val="none"/>
                <w:u w:val="single"/>
              </w:rPr>
            </w:pPr>
            <w:r>
              <w:rPr>
                <w:i/>
                <w:iCs/>
                <w:color w:val="auto"/>
                <w:sz w:val="24"/>
                <w:highlight w:val="none"/>
                <w:u w:val="single"/>
              </w:rPr>
              <w:t>《恶臭污染物排放标准》（GB14</w:t>
            </w:r>
            <w:r>
              <w:rPr>
                <w:i/>
                <w:iCs/>
                <w:color w:val="auto"/>
                <w:sz w:val="24"/>
                <w:highlight w:val="none"/>
                <w:u w:val="single"/>
              </w:rPr>
              <w:t>554-93）</w:t>
            </w:r>
          </w:p>
        </w:tc>
      </w:tr>
      <w:tr w14:paraId="5EA22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714" w:type="dxa"/>
            <w:vMerge w:val="continue"/>
            <w:vAlign w:val="center"/>
          </w:tcPr>
          <w:p w14:paraId="6BDB3CCC">
            <w:pPr>
              <w:jc w:val="center"/>
              <w:rPr>
                <w:b/>
                <w:bCs/>
                <w:i/>
                <w:iCs/>
                <w:color w:val="auto"/>
                <w:sz w:val="24"/>
                <w:highlight w:val="none"/>
                <w:u w:val="single"/>
              </w:rPr>
            </w:pPr>
          </w:p>
        </w:tc>
        <w:tc>
          <w:tcPr>
            <w:tcW w:w="1231" w:type="dxa"/>
            <w:vAlign w:val="center"/>
          </w:tcPr>
          <w:p w14:paraId="54B8486F">
            <w:pPr>
              <w:jc w:val="center"/>
              <w:rPr>
                <w:i/>
                <w:iCs/>
                <w:color w:val="auto"/>
                <w:sz w:val="24"/>
                <w:highlight w:val="none"/>
                <w:u w:val="single"/>
              </w:rPr>
            </w:pPr>
            <w:r>
              <w:rPr>
                <w:rFonts w:hint="eastAsia"/>
                <w:i/>
                <w:iCs/>
                <w:color w:val="auto"/>
                <w:sz w:val="24"/>
                <w:highlight w:val="none"/>
                <w:u w:val="single"/>
              </w:rPr>
              <w:t>食堂油烟</w:t>
            </w:r>
          </w:p>
        </w:tc>
        <w:tc>
          <w:tcPr>
            <w:tcW w:w="1513" w:type="dxa"/>
            <w:vAlign w:val="center"/>
          </w:tcPr>
          <w:p w14:paraId="3CBF9A93">
            <w:pPr>
              <w:jc w:val="center"/>
              <w:rPr>
                <w:i/>
                <w:iCs/>
                <w:color w:val="auto"/>
                <w:kern w:val="0"/>
                <w:sz w:val="24"/>
                <w:highlight w:val="none"/>
                <w:u w:val="single"/>
              </w:rPr>
            </w:pPr>
            <w:r>
              <w:rPr>
                <w:rFonts w:hint="eastAsia"/>
                <w:i/>
                <w:iCs/>
                <w:color w:val="auto"/>
                <w:sz w:val="24"/>
                <w:highlight w:val="none"/>
                <w:u w:val="single"/>
              </w:rPr>
              <w:t>食堂油烟</w:t>
            </w:r>
          </w:p>
        </w:tc>
        <w:tc>
          <w:tcPr>
            <w:tcW w:w="2173" w:type="dxa"/>
            <w:vAlign w:val="center"/>
          </w:tcPr>
          <w:p w14:paraId="1D99C17C">
            <w:pPr>
              <w:autoSpaceDE w:val="0"/>
              <w:autoSpaceDN w:val="0"/>
              <w:adjustRightInd w:val="0"/>
              <w:jc w:val="center"/>
              <w:rPr>
                <w:i/>
                <w:iCs/>
                <w:color w:val="auto"/>
                <w:sz w:val="24"/>
                <w:highlight w:val="none"/>
                <w:u w:val="single"/>
              </w:rPr>
            </w:pPr>
            <w:r>
              <w:rPr>
                <w:rFonts w:hint="eastAsia"/>
                <w:i/>
                <w:iCs/>
                <w:color w:val="auto"/>
                <w:sz w:val="24"/>
                <w:highlight w:val="none"/>
                <w:u w:val="single"/>
              </w:rPr>
              <w:t>集风罩收集后通过油烟净化装置处理通过高于楼顶约</w:t>
            </w:r>
            <w:r>
              <w:rPr>
                <w:rFonts w:hint="eastAsia"/>
                <w:i/>
                <w:iCs/>
                <w:color w:val="auto"/>
                <w:sz w:val="24"/>
                <w:highlight w:val="none"/>
                <w:u w:val="single"/>
                <w:lang w:val="en-US" w:eastAsia="zh-CN"/>
              </w:rPr>
              <w:t>21</w:t>
            </w:r>
            <w:r>
              <w:rPr>
                <w:rFonts w:hint="eastAsia"/>
                <w:i/>
                <w:iCs/>
                <w:color w:val="auto"/>
                <w:sz w:val="24"/>
                <w:highlight w:val="none"/>
                <w:u w:val="single"/>
              </w:rPr>
              <w:t>m高排气筒排放</w:t>
            </w:r>
          </w:p>
        </w:tc>
        <w:tc>
          <w:tcPr>
            <w:tcW w:w="2429" w:type="dxa"/>
            <w:vAlign w:val="center"/>
          </w:tcPr>
          <w:p w14:paraId="2EA081D9">
            <w:pPr>
              <w:spacing w:line="360" w:lineRule="auto"/>
              <w:jc w:val="center"/>
              <w:rPr>
                <w:i/>
                <w:iCs/>
                <w:color w:val="auto"/>
                <w:sz w:val="24"/>
                <w:highlight w:val="none"/>
                <w:u w:val="single"/>
              </w:rPr>
            </w:pPr>
            <w:r>
              <w:rPr>
                <w:rFonts w:hint="eastAsia"/>
                <w:i/>
                <w:iCs/>
                <w:color w:val="auto"/>
                <w:sz w:val="24"/>
                <w:highlight w:val="none"/>
                <w:u w:val="single"/>
              </w:rPr>
              <w:t>《饮食业油烟排放标准》（GB18438-2001）中的最高允许排放浓度限值。</w:t>
            </w:r>
          </w:p>
        </w:tc>
      </w:tr>
      <w:tr w14:paraId="3E921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714" w:type="dxa"/>
            <w:vMerge w:val="continue"/>
            <w:vAlign w:val="center"/>
          </w:tcPr>
          <w:p w14:paraId="303E7614">
            <w:pPr>
              <w:jc w:val="center"/>
              <w:rPr>
                <w:b/>
                <w:bCs/>
                <w:i/>
                <w:iCs/>
                <w:color w:val="auto"/>
                <w:sz w:val="24"/>
                <w:highlight w:val="none"/>
                <w:u w:val="single"/>
              </w:rPr>
            </w:pPr>
          </w:p>
        </w:tc>
        <w:tc>
          <w:tcPr>
            <w:tcW w:w="1231" w:type="dxa"/>
            <w:vAlign w:val="center"/>
          </w:tcPr>
          <w:p w14:paraId="311B94AE">
            <w:pPr>
              <w:jc w:val="center"/>
              <w:rPr>
                <w:rFonts w:hint="eastAsia" w:eastAsia="宋体"/>
                <w:i/>
                <w:iCs/>
                <w:color w:val="auto"/>
                <w:sz w:val="24"/>
                <w:highlight w:val="none"/>
                <w:u w:val="single"/>
                <w:lang w:eastAsia="zh-CN"/>
              </w:rPr>
            </w:pPr>
            <w:r>
              <w:rPr>
                <w:rFonts w:hint="eastAsia"/>
                <w:i/>
                <w:iCs/>
                <w:color w:val="auto"/>
                <w:sz w:val="24"/>
                <w:highlight w:val="none"/>
                <w:u w:val="single"/>
                <w:lang w:eastAsia="zh-CN"/>
              </w:rPr>
              <w:t>煎药室废气</w:t>
            </w:r>
          </w:p>
        </w:tc>
        <w:tc>
          <w:tcPr>
            <w:tcW w:w="1513" w:type="dxa"/>
            <w:vAlign w:val="center"/>
          </w:tcPr>
          <w:p w14:paraId="176F3511">
            <w:pPr>
              <w:jc w:val="center"/>
              <w:rPr>
                <w:rFonts w:hint="eastAsia"/>
                <w:i/>
                <w:iCs/>
                <w:color w:val="auto"/>
                <w:sz w:val="24"/>
                <w:highlight w:val="none"/>
                <w:u w:val="single"/>
              </w:rPr>
            </w:pPr>
            <w:r>
              <w:rPr>
                <w:rFonts w:hint="eastAsia"/>
                <w:i/>
                <w:iCs/>
                <w:color w:val="auto"/>
                <w:kern w:val="0"/>
                <w:sz w:val="24"/>
                <w:highlight w:val="none"/>
                <w:u w:val="single"/>
              </w:rPr>
              <w:t>臭气浓度</w:t>
            </w:r>
          </w:p>
        </w:tc>
        <w:tc>
          <w:tcPr>
            <w:tcW w:w="2173" w:type="dxa"/>
            <w:vAlign w:val="center"/>
          </w:tcPr>
          <w:p w14:paraId="57406F2E">
            <w:pPr>
              <w:autoSpaceDE w:val="0"/>
              <w:autoSpaceDN w:val="0"/>
              <w:adjustRightInd w:val="0"/>
              <w:jc w:val="center"/>
              <w:rPr>
                <w:rFonts w:hint="eastAsia"/>
                <w:i/>
                <w:iCs/>
                <w:color w:val="auto"/>
                <w:sz w:val="24"/>
                <w:highlight w:val="none"/>
                <w:u w:val="single"/>
              </w:rPr>
            </w:pPr>
            <w:r>
              <w:rPr>
                <w:rFonts w:hint="eastAsia"/>
                <w:i/>
                <w:iCs/>
                <w:color w:val="auto"/>
                <w:sz w:val="24"/>
                <w:highlight w:val="none"/>
                <w:u w:val="single"/>
                <w:lang w:eastAsia="zh-CN"/>
              </w:rPr>
              <w:t>集气罩</w:t>
            </w:r>
            <w:r>
              <w:rPr>
                <w:i/>
                <w:iCs/>
                <w:color w:val="auto"/>
                <w:sz w:val="24"/>
                <w:highlight w:val="none"/>
                <w:u w:val="single"/>
              </w:rPr>
              <w:t>+</w:t>
            </w:r>
            <w:r>
              <w:rPr>
                <w:rFonts w:hint="eastAsia"/>
                <w:i/>
                <w:iCs/>
                <w:color w:val="auto"/>
                <w:sz w:val="24"/>
                <w:highlight w:val="none"/>
                <w:u w:val="single"/>
                <w:lang w:val="en-US" w:eastAsia="zh-CN"/>
              </w:rPr>
              <w:t>21</w:t>
            </w:r>
            <w:r>
              <w:rPr>
                <w:i/>
                <w:iCs/>
                <w:color w:val="auto"/>
                <w:sz w:val="24"/>
                <w:highlight w:val="none"/>
                <w:u w:val="single"/>
              </w:rPr>
              <w:t>m高排气筒DA00</w:t>
            </w:r>
            <w:r>
              <w:rPr>
                <w:rFonts w:hint="eastAsia"/>
                <w:i/>
                <w:iCs/>
                <w:color w:val="auto"/>
                <w:sz w:val="24"/>
                <w:highlight w:val="none"/>
                <w:u w:val="single"/>
                <w:lang w:val="en-US" w:eastAsia="zh-CN"/>
              </w:rPr>
              <w:t>3</w:t>
            </w:r>
            <w:r>
              <w:rPr>
                <w:i/>
                <w:iCs/>
                <w:color w:val="auto"/>
                <w:sz w:val="24"/>
                <w:highlight w:val="none"/>
                <w:u w:val="single"/>
              </w:rPr>
              <w:t>排放</w:t>
            </w:r>
          </w:p>
        </w:tc>
        <w:tc>
          <w:tcPr>
            <w:tcW w:w="2429" w:type="dxa"/>
            <w:vAlign w:val="center"/>
          </w:tcPr>
          <w:p w14:paraId="7F12C31F">
            <w:pPr>
              <w:spacing w:line="360" w:lineRule="auto"/>
              <w:jc w:val="center"/>
              <w:rPr>
                <w:rFonts w:hint="eastAsia"/>
                <w:i/>
                <w:iCs/>
                <w:color w:val="auto"/>
                <w:sz w:val="24"/>
                <w:highlight w:val="none"/>
                <w:u w:val="single"/>
              </w:rPr>
            </w:pPr>
            <w:r>
              <w:rPr>
                <w:i/>
                <w:iCs/>
                <w:color w:val="auto"/>
                <w:sz w:val="24"/>
                <w:highlight w:val="none"/>
                <w:u w:val="single"/>
              </w:rPr>
              <w:t>《恶臭污染物排放标准》（GB14</w:t>
            </w:r>
            <w:r>
              <w:rPr>
                <w:i/>
                <w:iCs/>
                <w:color w:val="auto"/>
                <w:sz w:val="24"/>
                <w:highlight w:val="none"/>
                <w:u w:val="single"/>
              </w:rPr>
              <w:t>554-93</w:t>
            </w:r>
            <w:r>
              <w:rPr>
                <w:i/>
                <w:iCs/>
                <w:color w:val="auto"/>
                <w:sz w:val="24"/>
                <w:highlight w:val="none"/>
                <w:u w:val="single"/>
              </w:rPr>
              <w:t>）</w:t>
            </w:r>
          </w:p>
        </w:tc>
      </w:tr>
      <w:tr w14:paraId="3A923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714" w:type="dxa"/>
            <w:vMerge w:val="continue"/>
            <w:vAlign w:val="center"/>
          </w:tcPr>
          <w:p w14:paraId="40B8722A">
            <w:pPr>
              <w:jc w:val="center"/>
              <w:rPr>
                <w:b/>
                <w:bCs/>
                <w:i/>
                <w:iCs/>
                <w:color w:val="auto"/>
                <w:sz w:val="24"/>
                <w:highlight w:val="none"/>
                <w:u w:val="single"/>
              </w:rPr>
            </w:pPr>
          </w:p>
        </w:tc>
        <w:tc>
          <w:tcPr>
            <w:tcW w:w="1231" w:type="dxa"/>
            <w:vAlign w:val="center"/>
          </w:tcPr>
          <w:p w14:paraId="62C053DC">
            <w:pPr>
              <w:jc w:val="center"/>
              <w:rPr>
                <w:i/>
                <w:iCs/>
                <w:color w:val="auto"/>
                <w:sz w:val="24"/>
                <w:highlight w:val="none"/>
                <w:u w:val="single"/>
              </w:rPr>
            </w:pPr>
            <w:r>
              <w:rPr>
                <w:rFonts w:hint="eastAsia"/>
                <w:i/>
                <w:iCs/>
                <w:color w:val="auto"/>
                <w:sz w:val="24"/>
                <w:highlight w:val="none"/>
                <w:u w:val="single"/>
              </w:rPr>
              <w:t>厂界无组织废气</w:t>
            </w:r>
          </w:p>
        </w:tc>
        <w:tc>
          <w:tcPr>
            <w:tcW w:w="1513" w:type="dxa"/>
            <w:vAlign w:val="center"/>
          </w:tcPr>
          <w:p w14:paraId="075E1C95">
            <w:pPr>
              <w:jc w:val="center"/>
              <w:rPr>
                <w:i/>
                <w:iCs/>
                <w:color w:val="auto"/>
                <w:sz w:val="24"/>
                <w:highlight w:val="none"/>
                <w:u w:val="single"/>
              </w:rPr>
            </w:pPr>
            <w:r>
              <w:rPr>
                <w:i/>
                <w:iCs/>
                <w:color w:val="auto"/>
                <w:kern w:val="0"/>
                <w:sz w:val="24"/>
                <w:highlight w:val="none"/>
                <w:u w:val="single"/>
              </w:rPr>
              <w:t>NH</w:t>
            </w:r>
            <w:r>
              <w:rPr>
                <w:i/>
                <w:iCs/>
                <w:color w:val="auto"/>
                <w:kern w:val="0"/>
                <w:sz w:val="24"/>
                <w:highlight w:val="none"/>
                <w:u w:val="single"/>
                <w:vertAlign w:val="subscript"/>
              </w:rPr>
              <w:t>3</w:t>
            </w:r>
            <w:r>
              <w:rPr>
                <w:i/>
                <w:iCs/>
                <w:color w:val="auto"/>
                <w:kern w:val="0"/>
                <w:sz w:val="24"/>
                <w:highlight w:val="none"/>
                <w:u w:val="single"/>
              </w:rPr>
              <w:t>、H</w:t>
            </w:r>
            <w:r>
              <w:rPr>
                <w:i/>
                <w:iCs/>
                <w:color w:val="auto"/>
                <w:kern w:val="0"/>
                <w:sz w:val="24"/>
                <w:highlight w:val="none"/>
                <w:u w:val="single"/>
                <w:vertAlign w:val="subscript"/>
              </w:rPr>
              <w:t>2</w:t>
            </w:r>
            <w:r>
              <w:rPr>
                <w:i/>
                <w:iCs/>
                <w:color w:val="auto"/>
                <w:kern w:val="0"/>
                <w:sz w:val="24"/>
                <w:highlight w:val="none"/>
                <w:u w:val="single"/>
              </w:rPr>
              <w:t>S</w:t>
            </w:r>
            <w:r>
              <w:rPr>
                <w:rFonts w:hint="eastAsia"/>
                <w:i/>
                <w:iCs/>
                <w:color w:val="auto"/>
                <w:kern w:val="0"/>
                <w:sz w:val="24"/>
                <w:highlight w:val="none"/>
                <w:u w:val="single"/>
              </w:rPr>
              <w:t>、臭气浓度</w:t>
            </w:r>
          </w:p>
        </w:tc>
        <w:tc>
          <w:tcPr>
            <w:tcW w:w="2173" w:type="dxa"/>
            <w:vAlign w:val="center"/>
          </w:tcPr>
          <w:p w14:paraId="407B24B2">
            <w:pPr>
              <w:autoSpaceDE w:val="0"/>
              <w:autoSpaceDN w:val="0"/>
              <w:adjustRightInd w:val="0"/>
              <w:jc w:val="center"/>
              <w:rPr>
                <w:i/>
                <w:iCs/>
                <w:color w:val="auto"/>
                <w:sz w:val="24"/>
                <w:highlight w:val="none"/>
                <w:u w:val="single"/>
              </w:rPr>
            </w:pPr>
            <w:r>
              <w:rPr>
                <w:rFonts w:hint="eastAsia"/>
                <w:i/>
                <w:iCs/>
                <w:color w:val="auto"/>
                <w:sz w:val="24"/>
                <w:highlight w:val="none"/>
                <w:u w:val="single"/>
              </w:rPr>
              <w:t>加强密闭</w:t>
            </w:r>
          </w:p>
        </w:tc>
        <w:tc>
          <w:tcPr>
            <w:tcW w:w="2429" w:type="dxa"/>
            <w:vAlign w:val="center"/>
          </w:tcPr>
          <w:p w14:paraId="4F3B8CB7">
            <w:pPr>
              <w:spacing w:line="360" w:lineRule="auto"/>
              <w:jc w:val="center"/>
              <w:rPr>
                <w:i/>
                <w:iCs/>
                <w:color w:val="auto"/>
                <w:sz w:val="24"/>
                <w:highlight w:val="none"/>
                <w:u w:val="single"/>
              </w:rPr>
            </w:pPr>
            <w:r>
              <w:rPr>
                <w:i/>
                <w:iCs/>
                <w:color w:val="auto"/>
                <w:sz w:val="24"/>
                <w:highlight w:val="none"/>
                <w:u w:val="single"/>
              </w:rPr>
              <w:t>《恶臭污染物排放标准》（GB14554</w:t>
            </w:r>
            <w:r>
              <w:rPr>
                <w:i/>
                <w:iCs/>
                <w:color w:val="auto"/>
                <w:sz w:val="24"/>
                <w:highlight w:val="none"/>
                <w:u w:val="single"/>
              </w:rPr>
              <w:t>-93</w:t>
            </w:r>
            <w:r>
              <w:rPr>
                <w:i/>
                <w:iCs/>
                <w:color w:val="auto"/>
                <w:sz w:val="24"/>
                <w:highlight w:val="none"/>
                <w:u w:val="single"/>
              </w:rPr>
              <w:t>）</w:t>
            </w:r>
          </w:p>
        </w:tc>
      </w:tr>
      <w:tr w14:paraId="6B5BE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714" w:type="dxa"/>
            <w:vMerge w:val="continue"/>
            <w:vAlign w:val="center"/>
          </w:tcPr>
          <w:p w14:paraId="5EF3FBFE">
            <w:pPr>
              <w:jc w:val="center"/>
              <w:rPr>
                <w:b/>
                <w:bCs/>
                <w:i/>
                <w:iCs/>
                <w:color w:val="auto"/>
                <w:sz w:val="24"/>
                <w:highlight w:val="none"/>
                <w:u w:val="single"/>
              </w:rPr>
            </w:pPr>
          </w:p>
        </w:tc>
        <w:tc>
          <w:tcPr>
            <w:tcW w:w="1231" w:type="dxa"/>
            <w:vAlign w:val="center"/>
          </w:tcPr>
          <w:p w14:paraId="51173728">
            <w:pPr>
              <w:jc w:val="center"/>
              <w:rPr>
                <w:i/>
                <w:iCs/>
                <w:color w:val="auto"/>
                <w:sz w:val="24"/>
                <w:highlight w:val="none"/>
                <w:u w:val="single"/>
              </w:rPr>
            </w:pPr>
            <w:r>
              <w:rPr>
                <w:rFonts w:hint="eastAsia"/>
                <w:i/>
                <w:iCs/>
                <w:color w:val="auto"/>
                <w:sz w:val="24"/>
                <w:highlight w:val="none"/>
                <w:u w:val="single"/>
              </w:rPr>
              <w:t>污水站周边无组织废气</w:t>
            </w:r>
          </w:p>
        </w:tc>
        <w:tc>
          <w:tcPr>
            <w:tcW w:w="1513" w:type="dxa"/>
            <w:vAlign w:val="center"/>
          </w:tcPr>
          <w:p w14:paraId="02ABEB5A">
            <w:pPr>
              <w:jc w:val="center"/>
              <w:rPr>
                <w:i/>
                <w:iCs/>
                <w:color w:val="auto"/>
                <w:sz w:val="24"/>
                <w:highlight w:val="none"/>
                <w:u w:val="single"/>
              </w:rPr>
            </w:pPr>
            <w:r>
              <w:rPr>
                <w:i/>
                <w:iCs/>
                <w:color w:val="auto"/>
                <w:kern w:val="0"/>
                <w:sz w:val="24"/>
                <w:highlight w:val="none"/>
                <w:u w:val="single"/>
              </w:rPr>
              <w:t>NH</w:t>
            </w:r>
            <w:r>
              <w:rPr>
                <w:i/>
                <w:iCs/>
                <w:color w:val="auto"/>
                <w:kern w:val="0"/>
                <w:sz w:val="24"/>
                <w:highlight w:val="none"/>
                <w:u w:val="single"/>
                <w:vertAlign w:val="subscript"/>
              </w:rPr>
              <w:t>3</w:t>
            </w:r>
            <w:r>
              <w:rPr>
                <w:i/>
                <w:iCs/>
                <w:color w:val="auto"/>
                <w:kern w:val="0"/>
                <w:sz w:val="24"/>
                <w:highlight w:val="none"/>
                <w:u w:val="single"/>
              </w:rPr>
              <w:t>、H</w:t>
            </w:r>
            <w:r>
              <w:rPr>
                <w:i/>
                <w:iCs/>
                <w:color w:val="auto"/>
                <w:kern w:val="0"/>
                <w:sz w:val="24"/>
                <w:highlight w:val="none"/>
                <w:u w:val="single"/>
                <w:vertAlign w:val="subscript"/>
              </w:rPr>
              <w:t>2</w:t>
            </w:r>
            <w:r>
              <w:rPr>
                <w:i/>
                <w:iCs/>
                <w:color w:val="auto"/>
                <w:kern w:val="0"/>
                <w:sz w:val="24"/>
                <w:highlight w:val="none"/>
                <w:u w:val="single"/>
              </w:rPr>
              <w:t>S</w:t>
            </w:r>
            <w:r>
              <w:rPr>
                <w:rFonts w:hint="eastAsia"/>
                <w:i/>
                <w:iCs/>
                <w:color w:val="auto"/>
                <w:kern w:val="0"/>
                <w:sz w:val="24"/>
                <w:highlight w:val="none"/>
                <w:u w:val="single"/>
              </w:rPr>
              <w:t>、臭气浓度</w:t>
            </w:r>
          </w:p>
        </w:tc>
        <w:tc>
          <w:tcPr>
            <w:tcW w:w="2173" w:type="dxa"/>
            <w:vAlign w:val="center"/>
          </w:tcPr>
          <w:p w14:paraId="18708BCD">
            <w:pPr>
              <w:autoSpaceDE w:val="0"/>
              <w:autoSpaceDN w:val="0"/>
              <w:adjustRightInd w:val="0"/>
              <w:jc w:val="center"/>
              <w:rPr>
                <w:i/>
                <w:iCs/>
                <w:color w:val="auto"/>
                <w:sz w:val="24"/>
                <w:highlight w:val="none"/>
                <w:u w:val="single"/>
              </w:rPr>
            </w:pPr>
            <w:r>
              <w:rPr>
                <w:rFonts w:hint="eastAsia"/>
                <w:i/>
                <w:iCs/>
                <w:color w:val="auto"/>
                <w:sz w:val="24"/>
                <w:highlight w:val="none"/>
                <w:u w:val="single"/>
              </w:rPr>
              <w:t>加强密闭</w:t>
            </w:r>
          </w:p>
        </w:tc>
        <w:tc>
          <w:tcPr>
            <w:tcW w:w="2429" w:type="dxa"/>
            <w:vAlign w:val="center"/>
          </w:tcPr>
          <w:p w14:paraId="30B0027B">
            <w:pPr>
              <w:spacing w:line="360" w:lineRule="auto"/>
              <w:jc w:val="center"/>
              <w:rPr>
                <w:i/>
                <w:iCs/>
                <w:color w:val="auto"/>
                <w:sz w:val="24"/>
                <w:highlight w:val="none"/>
                <w:u w:val="single"/>
              </w:rPr>
            </w:pPr>
            <w:r>
              <w:rPr>
                <w:rFonts w:hint="eastAsia"/>
                <w:bCs/>
                <w:i/>
                <w:iCs/>
                <w:color w:val="auto"/>
                <w:sz w:val="24"/>
                <w:highlight w:val="none"/>
                <w:u w:val="single"/>
              </w:rPr>
              <w:t>《医疗机构水污染物排放标准》（GB18466-2005）</w:t>
            </w:r>
          </w:p>
        </w:tc>
      </w:tr>
      <w:tr w14:paraId="3EBDA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714" w:type="dxa"/>
            <w:vAlign w:val="center"/>
          </w:tcPr>
          <w:p w14:paraId="4086C6A2">
            <w:pPr>
              <w:spacing w:line="360" w:lineRule="auto"/>
              <w:ind w:firstLine="482" w:firstLineChars="200"/>
              <w:rPr>
                <w:b/>
                <w:bCs/>
                <w:i/>
                <w:iCs/>
                <w:color w:val="auto"/>
                <w:sz w:val="24"/>
                <w:highlight w:val="none"/>
                <w:u w:val="single"/>
              </w:rPr>
            </w:pPr>
            <w:r>
              <w:rPr>
                <w:b/>
                <w:bCs/>
                <w:i/>
                <w:iCs/>
                <w:color w:val="auto"/>
                <w:sz w:val="24"/>
                <w:highlight w:val="none"/>
                <w:u w:val="single"/>
              </w:rPr>
              <w:t>地表水</w:t>
            </w:r>
          </w:p>
        </w:tc>
        <w:tc>
          <w:tcPr>
            <w:tcW w:w="1231" w:type="dxa"/>
            <w:vAlign w:val="center"/>
          </w:tcPr>
          <w:p w14:paraId="0D7F069A">
            <w:pPr>
              <w:spacing w:line="360" w:lineRule="auto"/>
              <w:jc w:val="center"/>
              <w:rPr>
                <w:i/>
                <w:iCs/>
                <w:color w:val="auto"/>
                <w:sz w:val="24"/>
                <w:highlight w:val="none"/>
                <w:u w:val="single"/>
              </w:rPr>
            </w:pPr>
            <w:r>
              <w:rPr>
                <w:i/>
                <w:iCs/>
                <w:color w:val="auto"/>
                <w:sz w:val="24"/>
                <w:highlight w:val="none"/>
                <w:u w:val="single"/>
              </w:rPr>
              <w:t>生活污水、住院病房废水、门诊患者废水、地面清洁废水、化验室废水、食堂废水、中药室废水，</w:t>
            </w:r>
          </w:p>
        </w:tc>
        <w:tc>
          <w:tcPr>
            <w:tcW w:w="1513" w:type="dxa"/>
            <w:vAlign w:val="center"/>
          </w:tcPr>
          <w:p w14:paraId="5D2CFBF0">
            <w:pPr>
              <w:spacing w:line="360" w:lineRule="auto"/>
              <w:jc w:val="center"/>
              <w:rPr>
                <w:i/>
                <w:iCs/>
                <w:color w:val="auto"/>
                <w:sz w:val="24"/>
                <w:highlight w:val="none"/>
                <w:u w:val="single"/>
              </w:rPr>
            </w:pPr>
            <w:r>
              <w:rPr>
                <w:i/>
                <w:iCs/>
                <w:color w:val="auto"/>
                <w:sz w:val="24"/>
                <w:highlight w:val="none"/>
                <w:u w:val="single"/>
              </w:rPr>
              <w:t>pH、BOD</w:t>
            </w:r>
            <w:r>
              <w:rPr>
                <w:i/>
                <w:iCs/>
                <w:color w:val="auto"/>
                <w:sz w:val="24"/>
                <w:highlight w:val="none"/>
                <w:u w:val="single"/>
                <w:vertAlign w:val="subscript"/>
              </w:rPr>
              <w:t>5</w:t>
            </w:r>
            <w:r>
              <w:rPr>
                <w:i/>
                <w:iCs/>
                <w:color w:val="auto"/>
                <w:sz w:val="24"/>
                <w:highlight w:val="none"/>
                <w:u w:val="single"/>
              </w:rPr>
              <w:t>、COD、氨氮、SS</w:t>
            </w:r>
            <w:r>
              <w:rPr>
                <w:rFonts w:hint="eastAsia"/>
                <w:i/>
                <w:iCs/>
                <w:color w:val="auto"/>
                <w:sz w:val="24"/>
                <w:highlight w:val="none"/>
                <w:u w:val="single"/>
              </w:rPr>
              <w:t>、</w:t>
            </w:r>
            <w:r>
              <w:rPr>
                <w:i/>
                <w:iCs/>
                <w:color w:val="auto"/>
                <w:sz w:val="24"/>
                <w:highlight w:val="none"/>
                <w:u w:val="single"/>
              </w:rPr>
              <w:t>粪大肠菌群数</w:t>
            </w:r>
            <w:r>
              <w:rPr>
                <w:rFonts w:hint="eastAsia"/>
                <w:i/>
                <w:iCs/>
                <w:color w:val="auto"/>
                <w:sz w:val="24"/>
                <w:highlight w:val="none"/>
                <w:u w:val="single"/>
              </w:rPr>
              <w:t>、动植物油</w:t>
            </w:r>
          </w:p>
        </w:tc>
        <w:tc>
          <w:tcPr>
            <w:tcW w:w="2173" w:type="dxa"/>
            <w:vAlign w:val="center"/>
          </w:tcPr>
          <w:p w14:paraId="21CA16A8">
            <w:pPr>
              <w:autoSpaceDE w:val="0"/>
              <w:autoSpaceDN w:val="0"/>
              <w:adjustRightInd w:val="0"/>
              <w:jc w:val="center"/>
              <w:rPr>
                <w:i/>
                <w:iCs/>
                <w:color w:val="auto"/>
                <w:sz w:val="24"/>
                <w:highlight w:val="none"/>
                <w:u w:val="single"/>
              </w:rPr>
            </w:pPr>
            <w:r>
              <w:rPr>
                <w:rFonts w:hint="eastAsia"/>
                <w:i/>
                <w:iCs/>
                <w:snapToGrid w:val="0"/>
                <w:color w:val="auto"/>
                <w:sz w:val="24"/>
                <w:highlight w:val="none"/>
                <w:u w:val="single"/>
              </w:rPr>
              <w:t>食堂废水经隔油池处理后同其他废水排入化粪池后进入医院污水站，污水站采用“</w:t>
            </w:r>
            <w:r>
              <w:rPr>
                <w:rFonts w:hint="eastAsia"/>
                <w:bCs/>
                <w:i/>
                <w:iCs/>
                <w:color w:val="auto"/>
                <w:sz w:val="24"/>
                <w:highlight w:val="none"/>
                <w:u w:val="single"/>
              </w:rPr>
              <w:t>A</w:t>
            </w:r>
            <w:r>
              <w:rPr>
                <w:rFonts w:hint="eastAsia"/>
                <w:bCs/>
                <w:i/>
                <w:iCs/>
                <w:color w:val="auto"/>
                <w:sz w:val="24"/>
                <w:highlight w:val="none"/>
                <w:u w:val="single"/>
                <w:vertAlign w:val="superscript"/>
              </w:rPr>
              <w:t>2</w:t>
            </w:r>
            <w:r>
              <w:rPr>
                <w:rFonts w:hint="eastAsia"/>
                <w:bCs/>
                <w:i/>
                <w:iCs/>
                <w:color w:val="auto"/>
                <w:sz w:val="24"/>
                <w:highlight w:val="none"/>
                <w:u w:val="single"/>
              </w:rPr>
              <w:t>/O+MBR+次氯酸钠消毒</w:t>
            </w:r>
            <w:r>
              <w:rPr>
                <w:rFonts w:hint="eastAsia"/>
                <w:i/>
                <w:iCs/>
                <w:snapToGrid w:val="0"/>
                <w:color w:val="auto"/>
                <w:sz w:val="24"/>
                <w:highlight w:val="none"/>
                <w:u w:val="single"/>
              </w:rPr>
              <w:t>”处理后经市政污水管网，最后排入长春市南部污水处理厂</w:t>
            </w:r>
          </w:p>
        </w:tc>
        <w:tc>
          <w:tcPr>
            <w:tcW w:w="2429" w:type="dxa"/>
            <w:vAlign w:val="center"/>
          </w:tcPr>
          <w:p w14:paraId="60D3F728">
            <w:pPr>
              <w:spacing w:line="360" w:lineRule="auto"/>
              <w:jc w:val="center"/>
              <w:rPr>
                <w:i/>
                <w:iCs/>
                <w:color w:val="auto"/>
                <w:sz w:val="24"/>
                <w:highlight w:val="none"/>
                <w:u w:val="single"/>
              </w:rPr>
            </w:pPr>
            <w:r>
              <w:rPr>
                <w:i/>
                <w:iCs/>
                <w:color w:val="auto"/>
                <w:sz w:val="24"/>
                <w:highlight w:val="none"/>
                <w:u w:val="single"/>
              </w:rPr>
              <w:t>《医疗机构水污染物排放标准》（GB18466-2005）</w:t>
            </w:r>
          </w:p>
        </w:tc>
      </w:tr>
      <w:tr w14:paraId="31C80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714" w:type="dxa"/>
            <w:vAlign w:val="center"/>
          </w:tcPr>
          <w:p w14:paraId="0CF050FA">
            <w:pPr>
              <w:jc w:val="center"/>
              <w:rPr>
                <w:b/>
                <w:bCs/>
                <w:i/>
                <w:iCs/>
                <w:color w:val="auto"/>
                <w:sz w:val="24"/>
                <w:highlight w:val="none"/>
                <w:u w:val="single"/>
              </w:rPr>
            </w:pPr>
            <w:r>
              <w:rPr>
                <w:b/>
                <w:bCs/>
                <w:i/>
                <w:iCs/>
                <w:color w:val="auto"/>
                <w:sz w:val="24"/>
                <w:highlight w:val="none"/>
                <w:u w:val="single"/>
              </w:rPr>
              <w:t>噪声</w:t>
            </w:r>
          </w:p>
        </w:tc>
        <w:tc>
          <w:tcPr>
            <w:tcW w:w="7346" w:type="dxa"/>
            <w:gridSpan w:val="4"/>
            <w:vAlign w:val="center"/>
          </w:tcPr>
          <w:p w14:paraId="7A5F36D9">
            <w:pPr>
              <w:spacing w:line="360" w:lineRule="auto"/>
              <w:ind w:firstLine="480" w:firstLineChars="200"/>
              <w:rPr>
                <w:i/>
                <w:iCs/>
                <w:color w:val="auto"/>
                <w:szCs w:val="21"/>
                <w:highlight w:val="none"/>
                <w:u w:val="single"/>
              </w:rPr>
            </w:pPr>
            <w:r>
              <w:rPr>
                <w:i/>
                <w:iCs/>
                <w:color w:val="auto"/>
                <w:sz w:val="24"/>
                <w:highlight w:val="none"/>
                <w:u w:val="single"/>
              </w:rPr>
              <w:t>本项目噪声源为</w:t>
            </w:r>
            <w:r>
              <w:rPr>
                <w:rFonts w:hint="eastAsia"/>
                <w:i/>
                <w:iCs/>
                <w:color w:val="auto"/>
                <w:sz w:val="24"/>
                <w:highlight w:val="none"/>
                <w:u w:val="single"/>
              </w:rPr>
              <w:t>医疗</w:t>
            </w:r>
            <w:r>
              <w:rPr>
                <w:i/>
                <w:iCs/>
                <w:color w:val="auto"/>
                <w:sz w:val="24"/>
                <w:highlight w:val="none"/>
                <w:u w:val="single"/>
              </w:rPr>
              <w:t>设备及生活噪声，经过基础减振、安装减振垫等措施后本项目</w:t>
            </w:r>
            <w:r>
              <w:rPr>
                <w:rFonts w:hint="eastAsia"/>
                <w:i/>
                <w:iCs/>
                <w:color w:val="auto"/>
                <w:sz w:val="24"/>
                <w:highlight w:val="none"/>
                <w:u w:val="single"/>
              </w:rPr>
              <w:t>东、南、西、北侧厂界</w:t>
            </w:r>
            <w:r>
              <w:rPr>
                <w:i/>
                <w:iCs/>
                <w:color w:val="auto"/>
                <w:sz w:val="24"/>
                <w:highlight w:val="none"/>
                <w:u w:val="single"/>
              </w:rPr>
              <w:t>噪声执行《工业企业厂界环境噪声排放标准》（GB12348-2008）中2类</w:t>
            </w:r>
            <w:r>
              <w:rPr>
                <w:rFonts w:hint="eastAsia"/>
                <w:i/>
                <w:iCs/>
                <w:color w:val="auto"/>
                <w:sz w:val="24"/>
                <w:highlight w:val="none"/>
                <w:u w:val="single"/>
              </w:rPr>
              <w:t>区</w:t>
            </w:r>
            <w:r>
              <w:rPr>
                <w:i/>
                <w:iCs/>
                <w:color w:val="auto"/>
                <w:sz w:val="24"/>
                <w:highlight w:val="none"/>
                <w:u w:val="single"/>
              </w:rPr>
              <w:t>标准</w:t>
            </w:r>
            <w:r>
              <w:rPr>
                <w:rFonts w:hint="eastAsia"/>
                <w:i/>
                <w:iCs/>
                <w:color w:val="auto"/>
                <w:sz w:val="24"/>
                <w:highlight w:val="none"/>
                <w:u w:val="single"/>
              </w:rPr>
              <w:t>限值要求</w:t>
            </w:r>
            <w:r>
              <w:rPr>
                <w:i/>
                <w:iCs/>
                <w:color w:val="auto"/>
                <w:sz w:val="24"/>
                <w:highlight w:val="none"/>
                <w:u w:val="single"/>
              </w:rPr>
              <w:t>。</w:t>
            </w:r>
          </w:p>
        </w:tc>
      </w:tr>
      <w:tr w14:paraId="7F9CB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714" w:type="dxa"/>
            <w:vAlign w:val="center"/>
          </w:tcPr>
          <w:p w14:paraId="62B06793">
            <w:pPr>
              <w:jc w:val="center"/>
              <w:rPr>
                <w:b/>
                <w:bCs/>
                <w:i/>
                <w:iCs/>
                <w:color w:val="auto"/>
                <w:sz w:val="24"/>
                <w:highlight w:val="none"/>
                <w:u w:val="single"/>
              </w:rPr>
            </w:pPr>
            <w:r>
              <w:rPr>
                <w:b/>
                <w:bCs/>
                <w:i/>
                <w:iCs/>
                <w:color w:val="auto"/>
                <w:sz w:val="24"/>
                <w:highlight w:val="none"/>
                <w:u w:val="single"/>
              </w:rPr>
              <w:t>固体</w:t>
            </w:r>
          </w:p>
          <w:p w14:paraId="248255C2">
            <w:pPr>
              <w:jc w:val="center"/>
              <w:rPr>
                <w:b/>
                <w:bCs/>
                <w:i/>
                <w:iCs/>
                <w:color w:val="auto"/>
                <w:sz w:val="24"/>
                <w:highlight w:val="none"/>
                <w:u w:val="single"/>
              </w:rPr>
            </w:pPr>
            <w:r>
              <w:rPr>
                <w:b/>
                <w:bCs/>
                <w:i/>
                <w:iCs/>
                <w:color w:val="auto"/>
                <w:sz w:val="24"/>
                <w:highlight w:val="none"/>
                <w:u w:val="single"/>
              </w:rPr>
              <w:t>废物</w:t>
            </w:r>
          </w:p>
        </w:tc>
        <w:tc>
          <w:tcPr>
            <w:tcW w:w="7346" w:type="dxa"/>
            <w:gridSpan w:val="4"/>
            <w:vAlign w:val="center"/>
          </w:tcPr>
          <w:p w14:paraId="3720C7C6">
            <w:pPr>
              <w:spacing w:line="360" w:lineRule="auto"/>
              <w:ind w:firstLine="480" w:firstLineChars="200"/>
              <w:rPr>
                <w:i/>
                <w:iCs/>
                <w:color w:val="auto"/>
                <w:szCs w:val="21"/>
                <w:highlight w:val="none"/>
                <w:u w:val="single"/>
              </w:rPr>
            </w:pPr>
            <w:r>
              <w:rPr>
                <w:rFonts w:hint="eastAsia"/>
                <w:i/>
                <w:iCs/>
                <w:color w:val="auto"/>
                <w:sz w:val="24"/>
                <w:highlight w:val="none"/>
                <w:u w:val="single"/>
              </w:rPr>
              <w:t>生活垃圾、中药渣分别统一收集后由环卫部门清运处理</w:t>
            </w:r>
            <w:r>
              <w:rPr>
                <w:i/>
                <w:iCs/>
                <w:color w:val="auto"/>
                <w:sz w:val="24"/>
                <w:highlight w:val="none"/>
                <w:u w:val="single"/>
              </w:rPr>
              <w:t>。</w:t>
            </w:r>
            <w:r>
              <w:rPr>
                <w:rFonts w:hint="eastAsia"/>
                <w:i/>
                <w:iCs/>
                <w:color w:val="auto"/>
                <w:sz w:val="24"/>
                <w:highlight w:val="none"/>
                <w:u w:val="single"/>
              </w:rPr>
              <w:t>未感染的一次性输液袋定期外卖废品收购站。餐厨垃圾及隔油池废油脂</w:t>
            </w:r>
            <w:r>
              <w:rPr>
                <w:rFonts w:hint="eastAsia"/>
                <w:i/>
                <w:iCs/>
                <w:color w:val="auto"/>
                <w:sz w:val="24"/>
                <w:highlight w:val="none"/>
                <w:u w:val="single"/>
                <w:lang w:eastAsia="zh-CN"/>
              </w:rPr>
              <w:t>委托有资质单位处理</w:t>
            </w:r>
            <w:r>
              <w:rPr>
                <w:rFonts w:hint="eastAsia"/>
                <w:i/>
                <w:iCs/>
                <w:color w:val="auto"/>
                <w:sz w:val="24"/>
                <w:highlight w:val="none"/>
                <w:u w:val="single"/>
              </w:rPr>
              <w:t>、化粪池污泥定期清淘，委托有资质单位处理。污水站污泥及废活性炭暂存于危废暂存点委托有资质单位处理，医疗废物集中收集后暂存于医废暂存间，委托有资质单位处理</w:t>
            </w:r>
          </w:p>
        </w:tc>
      </w:tr>
      <w:tr w14:paraId="54DC2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714" w:type="dxa"/>
            <w:vAlign w:val="center"/>
          </w:tcPr>
          <w:p w14:paraId="3A3EF290">
            <w:pPr>
              <w:adjustRightInd w:val="0"/>
              <w:snapToGrid w:val="0"/>
              <w:jc w:val="center"/>
              <w:rPr>
                <w:b/>
                <w:bCs/>
                <w:i/>
                <w:iCs/>
                <w:color w:val="auto"/>
                <w:sz w:val="24"/>
                <w:highlight w:val="none"/>
                <w:u w:val="single"/>
              </w:rPr>
            </w:pPr>
            <w:r>
              <w:rPr>
                <w:b/>
                <w:bCs/>
                <w:i/>
                <w:iCs/>
                <w:color w:val="auto"/>
                <w:sz w:val="24"/>
                <w:highlight w:val="none"/>
                <w:u w:val="single"/>
              </w:rPr>
              <w:t>土壤及地下水污染防治措施</w:t>
            </w:r>
          </w:p>
        </w:tc>
        <w:tc>
          <w:tcPr>
            <w:tcW w:w="7346" w:type="dxa"/>
            <w:gridSpan w:val="4"/>
            <w:vAlign w:val="center"/>
          </w:tcPr>
          <w:p w14:paraId="1BEC5741">
            <w:pPr>
              <w:adjustRightInd w:val="0"/>
              <w:snapToGrid w:val="0"/>
              <w:spacing w:line="360" w:lineRule="auto"/>
              <w:ind w:firstLine="480" w:firstLineChars="200"/>
              <w:rPr>
                <w:i/>
                <w:iCs/>
                <w:color w:val="auto"/>
                <w:sz w:val="24"/>
                <w:highlight w:val="none"/>
                <w:u w:val="single"/>
              </w:rPr>
            </w:pPr>
            <w:r>
              <w:rPr>
                <w:rFonts w:hint="eastAsia"/>
                <w:i/>
                <w:iCs/>
                <w:color w:val="auto"/>
                <w:sz w:val="24"/>
                <w:highlight w:val="none"/>
                <w:u w:val="single"/>
              </w:rPr>
              <w:t>项目</w:t>
            </w:r>
            <w:r>
              <w:rPr>
                <w:i/>
                <w:iCs/>
                <w:color w:val="auto"/>
                <w:sz w:val="24"/>
                <w:highlight w:val="none"/>
                <w:u w:val="single"/>
              </w:rPr>
              <w:t>进行分区防渗，项目的建设对周围的地下水和土壤环境的影响较小。</w:t>
            </w:r>
          </w:p>
        </w:tc>
      </w:tr>
      <w:tr w14:paraId="7495D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714" w:type="dxa"/>
            <w:vAlign w:val="center"/>
          </w:tcPr>
          <w:p w14:paraId="1C4697CF">
            <w:pPr>
              <w:adjustRightInd w:val="0"/>
              <w:snapToGrid w:val="0"/>
              <w:jc w:val="center"/>
              <w:rPr>
                <w:b/>
                <w:bCs/>
                <w:i/>
                <w:iCs/>
                <w:color w:val="auto"/>
                <w:sz w:val="24"/>
                <w:highlight w:val="none"/>
                <w:u w:val="single"/>
              </w:rPr>
            </w:pPr>
            <w:r>
              <w:rPr>
                <w:b/>
                <w:bCs/>
                <w:i/>
                <w:iCs/>
                <w:color w:val="auto"/>
                <w:sz w:val="24"/>
                <w:highlight w:val="none"/>
                <w:u w:val="single"/>
              </w:rPr>
              <w:t>生态保护措施</w:t>
            </w:r>
          </w:p>
        </w:tc>
        <w:tc>
          <w:tcPr>
            <w:tcW w:w="7346" w:type="dxa"/>
            <w:gridSpan w:val="4"/>
            <w:vAlign w:val="center"/>
          </w:tcPr>
          <w:p w14:paraId="5B3AA9ED">
            <w:pPr>
              <w:adjustRightInd w:val="0"/>
              <w:snapToGrid w:val="0"/>
              <w:spacing w:line="360" w:lineRule="auto"/>
              <w:ind w:firstLine="480" w:firstLineChars="200"/>
              <w:rPr>
                <w:i/>
                <w:iCs/>
                <w:color w:val="auto"/>
                <w:sz w:val="24"/>
                <w:highlight w:val="none"/>
                <w:u w:val="single"/>
              </w:rPr>
            </w:pPr>
            <w:r>
              <w:rPr>
                <w:rFonts w:hint="eastAsia"/>
                <w:i/>
                <w:iCs/>
                <w:color w:val="auto"/>
                <w:sz w:val="24"/>
                <w:highlight w:val="none"/>
                <w:u w:val="single"/>
              </w:rPr>
              <w:t>项目评价区内没有自然保护区、水源保护区等需特殊保护地区；没有重要湿地、珍稀动植物栖息地等生态敏感和脆弱区，故本项目的建设对周围的生态环境的影响较小。</w:t>
            </w:r>
          </w:p>
        </w:tc>
      </w:tr>
      <w:tr w14:paraId="1741F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714" w:type="dxa"/>
            <w:vAlign w:val="center"/>
          </w:tcPr>
          <w:p w14:paraId="349D123C">
            <w:pPr>
              <w:adjustRightInd w:val="0"/>
              <w:snapToGrid w:val="0"/>
              <w:jc w:val="center"/>
              <w:rPr>
                <w:b/>
                <w:bCs/>
                <w:i/>
                <w:iCs/>
                <w:color w:val="auto"/>
                <w:spacing w:val="-8"/>
                <w:sz w:val="24"/>
                <w:highlight w:val="none"/>
                <w:u w:val="single"/>
              </w:rPr>
            </w:pPr>
            <w:r>
              <w:rPr>
                <w:b/>
                <w:bCs/>
                <w:i/>
                <w:iCs/>
                <w:color w:val="auto"/>
                <w:spacing w:val="-8"/>
                <w:sz w:val="24"/>
                <w:highlight w:val="none"/>
                <w:u w:val="single"/>
              </w:rPr>
              <w:t>环境风险防范措施</w:t>
            </w:r>
          </w:p>
        </w:tc>
        <w:tc>
          <w:tcPr>
            <w:tcW w:w="7346" w:type="dxa"/>
            <w:gridSpan w:val="4"/>
            <w:vAlign w:val="center"/>
          </w:tcPr>
          <w:p w14:paraId="08D1525B">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1.</w:t>
            </w:r>
            <w:r>
              <w:rPr>
                <w:i/>
                <w:iCs/>
                <w:color w:val="auto"/>
                <w:spacing w:val="-2"/>
                <w:sz w:val="24"/>
                <w:highlight w:val="none"/>
                <w:u w:val="single"/>
              </w:rPr>
              <w:t>次氯酸钠储存</w:t>
            </w:r>
            <w:r>
              <w:rPr>
                <w:rFonts w:hint="eastAsia"/>
                <w:i/>
                <w:iCs/>
                <w:color w:val="auto"/>
                <w:spacing w:val="-2"/>
                <w:sz w:val="24"/>
                <w:highlight w:val="none"/>
                <w:u w:val="single"/>
              </w:rPr>
              <w:t>位置</w:t>
            </w:r>
            <w:r>
              <w:rPr>
                <w:i/>
                <w:iCs/>
                <w:color w:val="auto"/>
                <w:spacing w:val="-2"/>
                <w:sz w:val="24"/>
                <w:highlight w:val="none"/>
                <w:u w:val="single"/>
              </w:rPr>
              <w:t>应做到防雨、防晒、阴凉、通风，地面做好重点防渗处理，并设置围堰</w:t>
            </w:r>
            <w:r>
              <w:rPr>
                <w:rFonts w:hint="eastAsia"/>
                <w:i/>
                <w:iCs/>
                <w:color w:val="auto"/>
                <w:spacing w:val="-2"/>
                <w:sz w:val="24"/>
                <w:highlight w:val="none"/>
                <w:u w:val="single"/>
                <w:lang w:eastAsia="zh-CN"/>
              </w:rPr>
              <w:t>；</w:t>
            </w:r>
            <w:r>
              <w:rPr>
                <w:i/>
                <w:iCs/>
                <w:color w:val="auto"/>
                <w:spacing w:val="-2"/>
                <w:sz w:val="24"/>
                <w:highlight w:val="none"/>
                <w:u w:val="single"/>
              </w:rPr>
              <w:t>强化风险意识、加强安全管理，严格按操作规程操作</w:t>
            </w:r>
            <w:r>
              <w:rPr>
                <w:rFonts w:hint="eastAsia"/>
                <w:i/>
                <w:iCs/>
                <w:color w:val="auto"/>
                <w:spacing w:val="-2"/>
                <w:sz w:val="24"/>
                <w:highlight w:val="none"/>
                <w:u w:val="single"/>
                <w:lang w:eastAsia="zh-CN"/>
              </w:rPr>
              <w:t>；</w:t>
            </w:r>
            <w:r>
              <w:rPr>
                <w:i/>
                <w:iCs/>
                <w:color w:val="auto"/>
                <w:spacing w:val="-2"/>
                <w:sz w:val="24"/>
                <w:highlight w:val="none"/>
                <w:u w:val="single"/>
              </w:rPr>
              <w:t>设置专人管理维护</w:t>
            </w:r>
            <w:r>
              <w:rPr>
                <w:rFonts w:hint="eastAsia"/>
                <w:i/>
                <w:iCs/>
                <w:color w:val="auto"/>
                <w:spacing w:val="-2"/>
                <w:sz w:val="24"/>
                <w:highlight w:val="none"/>
                <w:u w:val="single"/>
                <w:lang w:eastAsia="zh-CN"/>
              </w:rPr>
              <w:t>；</w:t>
            </w:r>
            <w:r>
              <w:rPr>
                <w:i/>
                <w:iCs/>
                <w:color w:val="auto"/>
                <w:spacing w:val="-2"/>
                <w:sz w:val="24"/>
                <w:highlight w:val="none"/>
                <w:u w:val="single"/>
              </w:rPr>
              <w:t>定期检查维护相关设备设施，使其保持正常运行状态。</w:t>
            </w:r>
          </w:p>
          <w:p w14:paraId="61511644">
            <w:pPr>
              <w:spacing w:line="360" w:lineRule="auto"/>
              <w:ind w:firstLine="472" w:firstLineChars="200"/>
              <w:rPr>
                <w:i/>
                <w:iCs/>
                <w:color w:val="auto"/>
                <w:sz w:val="24"/>
                <w:highlight w:val="none"/>
                <w:u w:val="single"/>
              </w:rPr>
            </w:pPr>
            <w:r>
              <w:rPr>
                <w:rFonts w:hint="eastAsia"/>
                <w:i/>
                <w:iCs/>
                <w:color w:val="auto"/>
                <w:spacing w:val="-2"/>
                <w:sz w:val="24"/>
                <w:highlight w:val="none"/>
                <w:u w:val="single"/>
              </w:rPr>
              <w:t>2.</w:t>
            </w:r>
            <w:r>
              <w:rPr>
                <w:i/>
                <w:iCs/>
                <w:color w:val="auto"/>
                <w:spacing w:val="-2"/>
                <w:sz w:val="24"/>
                <w:highlight w:val="none"/>
                <w:u w:val="single"/>
              </w:rPr>
              <w:t>针对医疗废物在收集、储运过程中可能产生的流失、</w:t>
            </w:r>
            <w:r>
              <w:rPr>
                <w:rFonts w:hint="eastAsia"/>
                <w:i/>
                <w:iCs/>
                <w:color w:val="auto"/>
                <w:spacing w:val="-2"/>
                <w:sz w:val="24"/>
                <w:highlight w:val="none"/>
                <w:u w:val="single"/>
                <w:lang w:eastAsia="zh-CN"/>
              </w:rPr>
              <w:t>泄漏</w:t>
            </w:r>
            <w:r>
              <w:rPr>
                <w:i/>
                <w:iCs/>
                <w:color w:val="auto"/>
                <w:spacing w:val="-2"/>
                <w:sz w:val="24"/>
                <w:highlight w:val="none"/>
                <w:u w:val="single"/>
              </w:rPr>
              <w:t>、扩散和意外事故，本项目应当采取完善医疗废物管理制度</w:t>
            </w:r>
            <w:r>
              <w:rPr>
                <w:rFonts w:hint="eastAsia"/>
                <w:i/>
                <w:iCs/>
                <w:color w:val="auto"/>
                <w:spacing w:val="-2"/>
                <w:sz w:val="24"/>
                <w:highlight w:val="none"/>
                <w:u w:val="single"/>
              </w:rPr>
              <w:t>、</w:t>
            </w:r>
            <w:r>
              <w:rPr>
                <w:i/>
                <w:iCs/>
                <w:color w:val="auto"/>
                <w:spacing w:val="-2"/>
                <w:sz w:val="24"/>
                <w:highlight w:val="none"/>
                <w:u w:val="single"/>
              </w:rPr>
              <w:t>提高人员素质，进行人员安全防护</w:t>
            </w:r>
            <w:r>
              <w:rPr>
                <w:rFonts w:hint="eastAsia"/>
                <w:i/>
                <w:iCs/>
                <w:color w:val="auto"/>
                <w:spacing w:val="-2"/>
                <w:sz w:val="24"/>
                <w:highlight w:val="none"/>
                <w:u w:val="single"/>
              </w:rPr>
              <w:t>、</w:t>
            </w:r>
            <w:r>
              <w:rPr>
                <w:i/>
                <w:iCs/>
                <w:color w:val="auto"/>
                <w:spacing w:val="-2"/>
                <w:sz w:val="24"/>
                <w:highlight w:val="none"/>
                <w:u w:val="single"/>
              </w:rPr>
              <w:t>应当使用防渗漏、防抛洒的专用运送工具</w:t>
            </w:r>
            <w:r>
              <w:rPr>
                <w:rFonts w:hint="eastAsia"/>
                <w:i/>
                <w:iCs/>
                <w:color w:val="auto"/>
                <w:spacing w:val="-2"/>
                <w:sz w:val="24"/>
                <w:highlight w:val="none"/>
                <w:u w:val="single"/>
              </w:rPr>
              <w:t>等措施。</w:t>
            </w:r>
          </w:p>
          <w:p w14:paraId="7ED02B28">
            <w:pPr>
              <w:spacing w:line="360" w:lineRule="auto"/>
              <w:ind w:firstLine="472" w:firstLineChars="200"/>
              <w:rPr>
                <w:i/>
                <w:iCs/>
                <w:color w:val="auto"/>
                <w:spacing w:val="-2"/>
                <w:sz w:val="24"/>
                <w:highlight w:val="none"/>
                <w:u w:val="single"/>
              </w:rPr>
            </w:pPr>
            <w:r>
              <w:rPr>
                <w:rFonts w:hint="eastAsia"/>
                <w:i/>
                <w:iCs/>
                <w:color w:val="auto"/>
                <w:spacing w:val="-2"/>
                <w:sz w:val="24"/>
                <w:highlight w:val="none"/>
                <w:u w:val="single"/>
              </w:rPr>
              <w:t>3</w:t>
            </w:r>
            <w:r>
              <w:rPr>
                <w:i/>
                <w:iCs/>
                <w:color w:val="auto"/>
                <w:spacing w:val="-2"/>
                <w:sz w:val="24"/>
                <w:highlight w:val="none"/>
                <w:u w:val="single"/>
              </w:rPr>
              <w:t>火灾风险事故防范措施</w:t>
            </w:r>
          </w:p>
          <w:p w14:paraId="1314926C">
            <w:pPr>
              <w:spacing w:line="360" w:lineRule="auto"/>
              <w:ind w:firstLine="472" w:firstLineChars="200"/>
              <w:rPr>
                <w:i/>
                <w:iCs/>
                <w:color w:val="auto"/>
                <w:sz w:val="24"/>
                <w:highlight w:val="none"/>
                <w:u w:val="single"/>
              </w:rPr>
            </w:pPr>
            <w:r>
              <w:rPr>
                <w:i/>
                <w:iCs/>
                <w:color w:val="auto"/>
                <w:spacing w:val="-2"/>
                <w:sz w:val="24"/>
                <w:highlight w:val="none"/>
                <w:u w:val="single"/>
              </w:rPr>
              <w:t>在项目内配备足够的消防器材。安装火灾烟雾报警器，以便及时发现险情。加强人员的安全防火意识，电气设备定期巡检，防止电气火灾发生。出入口有明显标志，应急照明，消防通道及安全门不能锁闭，疏散路线有明显的引导图例。</w:t>
            </w:r>
          </w:p>
        </w:tc>
      </w:tr>
      <w:tr w14:paraId="68FC9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714" w:type="dxa"/>
            <w:vAlign w:val="center"/>
          </w:tcPr>
          <w:p w14:paraId="5933BBFE">
            <w:pPr>
              <w:adjustRightInd w:val="0"/>
              <w:snapToGrid w:val="0"/>
              <w:jc w:val="center"/>
              <w:rPr>
                <w:b/>
                <w:bCs/>
                <w:i/>
                <w:iCs/>
                <w:color w:val="auto"/>
                <w:spacing w:val="-8"/>
                <w:sz w:val="24"/>
                <w:highlight w:val="none"/>
                <w:u w:val="single"/>
              </w:rPr>
            </w:pPr>
            <w:r>
              <w:rPr>
                <w:b/>
                <w:bCs/>
                <w:i/>
                <w:iCs/>
                <w:color w:val="auto"/>
                <w:spacing w:val="-8"/>
                <w:sz w:val="24"/>
                <w:highlight w:val="none"/>
                <w:u w:val="single"/>
              </w:rPr>
              <w:t>其他环境管理要求</w:t>
            </w:r>
          </w:p>
        </w:tc>
        <w:tc>
          <w:tcPr>
            <w:tcW w:w="7346" w:type="dxa"/>
            <w:gridSpan w:val="4"/>
            <w:vAlign w:val="center"/>
          </w:tcPr>
          <w:p w14:paraId="30BFE1A8">
            <w:pPr>
              <w:snapToGrid w:val="0"/>
              <w:spacing w:line="360" w:lineRule="auto"/>
              <w:ind w:firstLine="482" w:firstLineChars="200"/>
              <w:rPr>
                <w:i/>
                <w:iCs/>
                <w:color w:val="auto"/>
                <w:kern w:val="0"/>
                <w:szCs w:val="21"/>
                <w:highlight w:val="none"/>
                <w:u w:val="single"/>
              </w:rPr>
            </w:pPr>
            <w:r>
              <w:rPr>
                <w:rFonts w:hint="eastAsia"/>
                <w:b/>
                <w:bCs/>
                <w:i/>
                <w:iCs/>
                <w:color w:val="auto"/>
                <w:sz w:val="24"/>
                <w:highlight w:val="none"/>
                <w:u w:val="single"/>
              </w:rPr>
              <w:t>1、</w:t>
            </w:r>
            <w:r>
              <w:rPr>
                <w:b/>
                <w:bCs/>
                <w:i/>
                <w:iCs/>
                <w:color w:val="auto"/>
                <w:sz w:val="24"/>
                <w:highlight w:val="none"/>
                <w:u w:val="single"/>
              </w:rPr>
              <w:t>环保投资</w:t>
            </w:r>
          </w:p>
          <w:p w14:paraId="4C40B077">
            <w:pPr>
              <w:pStyle w:val="61"/>
              <w:spacing w:line="360" w:lineRule="auto"/>
              <w:ind w:firstLine="480" w:firstLineChars="200"/>
              <w:rPr>
                <w:rFonts w:ascii="Times New Roman" w:hAnsi="Times New Roman"/>
                <w:i/>
                <w:iCs/>
                <w:color w:val="auto"/>
                <w:spacing w:val="0"/>
                <w:kern w:val="2"/>
                <w:szCs w:val="21"/>
                <w:highlight w:val="none"/>
                <w:u w:val="single"/>
              </w:rPr>
            </w:pPr>
            <w:r>
              <w:rPr>
                <w:rFonts w:hint="eastAsia" w:ascii="Times New Roman" w:hAnsi="Times New Roman"/>
                <w:i/>
                <w:iCs/>
                <w:color w:val="auto"/>
                <w:spacing w:val="0"/>
                <w:kern w:val="2"/>
                <w:sz w:val="24"/>
                <w:szCs w:val="24"/>
                <w:highlight w:val="none"/>
                <w:u w:val="single"/>
              </w:rPr>
              <w:t>本项目总投资300万元，环保投资</w:t>
            </w:r>
            <w:r>
              <w:rPr>
                <w:rFonts w:hint="eastAsia" w:ascii="Times New Roman" w:hAnsi="Times New Roman"/>
                <w:i/>
                <w:iCs/>
                <w:color w:val="auto"/>
                <w:spacing w:val="0"/>
                <w:kern w:val="2"/>
                <w:sz w:val="24"/>
                <w:szCs w:val="24"/>
                <w:highlight w:val="none"/>
                <w:u w:val="single"/>
                <w:lang w:val="en-US" w:eastAsia="zh-CN"/>
              </w:rPr>
              <w:t>27.2</w:t>
            </w:r>
            <w:r>
              <w:rPr>
                <w:rFonts w:hint="eastAsia" w:ascii="Times New Roman" w:hAnsi="Times New Roman"/>
                <w:i/>
                <w:iCs/>
                <w:color w:val="auto"/>
                <w:spacing w:val="0"/>
                <w:kern w:val="2"/>
                <w:sz w:val="24"/>
                <w:szCs w:val="24"/>
                <w:highlight w:val="none"/>
                <w:u w:val="single"/>
              </w:rPr>
              <w:t>万元，环保投资占总投资的</w:t>
            </w:r>
            <w:r>
              <w:rPr>
                <w:rFonts w:hint="eastAsia" w:ascii="Times New Roman" w:hAnsi="Times New Roman"/>
                <w:i/>
                <w:iCs/>
                <w:color w:val="auto"/>
                <w:spacing w:val="0"/>
                <w:kern w:val="2"/>
                <w:sz w:val="24"/>
                <w:szCs w:val="24"/>
                <w:highlight w:val="none"/>
                <w:u w:val="single"/>
                <w:lang w:val="en-US" w:eastAsia="zh-CN"/>
              </w:rPr>
              <w:t>9</w:t>
            </w:r>
            <w:r>
              <w:rPr>
                <w:rFonts w:hint="eastAsia" w:ascii="Times New Roman" w:hAnsi="Times New Roman"/>
                <w:i/>
                <w:iCs/>
                <w:color w:val="auto"/>
                <w:spacing w:val="0"/>
                <w:kern w:val="2"/>
                <w:sz w:val="24"/>
                <w:szCs w:val="24"/>
                <w:highlight w:val="none"/>
                <w:u w:val="single"/>
              </w:rPr>
              <w:t>.06%，环保投资估算见下表。</w:t>
            </w:r>
          </w:p>
          <w:p w14:paraId="68BE952D">
            <w:pPr>
              <w:pStyle w:val="6"/>
              <w:spacing w:before="0" w:after="0" w:line="240" w:lineRule="auto"/>
              <w:ind w:left="0"/>
              <w:jc w:val="center"/>
              <w:rPr>
                <w:i/>
                <w:iCs/>
                <w:color w:val="auto"/>
                <w:sz w:val="32"/>
                <w:szCs w:val="22"/>
                <w:highlight w:val="none"/>
                <w:u w:val="single"/>
              </w:rPr>
            </w:pPr>
            <w:r>
              <w:rPr>
                <w:i/>
                <w:iCs/>
                <w:color w:val="auto"/>
                <w:highlight w:val="none"/>
                <w:u w:val="single"/>
              </w:rPr>
              <w:t>表</w:t>
            </w:r>
            <w:r>
              <w:rPr>
                <w:rFonts w:hint="eastAsia"/>
                <w:i/>
                <w:iCs/>
                <w:color w:val="auto"/>
                <w:highlight w:val="none"/>
                <w:u w:val="single"/>
              </w:rPr>
              <w:t>5-1</w:t>
            </w:r>
            <w:r>
              <w:rPr>
                <w:i/>
                <w:iCs/>
                <w:color w:val="auto"/>
                <w:highlight w:val="none"/>
                <w:u w:val="single"/>
              </w:rPr>
              <w:t xml:space="preserve"> </w:t>
            </w:r>
            <w:r>
              <w:rPr>
                <w:rFonts w:hint="eastAsia"/>
                <w:i/>
                <w:iCs/>
                <w:color w:val="auto"/>
                <w:highlight w:val="none"/>
                <w:u w:val="single"/>
              </w:rPr>
              <w:t xml:space="preserve"> </w:t>
            </w:r>
            <w:r>
              <w:rPr>
                <w:i/>
                <w:iCs/>
                <w:color w:val="auto"/>
                <w:highlight w:val="none"/>
                <w:u w:val="single"/>
              </w:rPr>
              <w:t>建设项目环保投资一览表</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1582"/>
              <w:gridCol w:w="3796"/>
              <w:gridCol w:w="1259"/>
            </w:tblGrid>
            <w:tr w14:paraId="06483D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3" w:type="pct"/>
                  <w:gridSpan w:val="2"/>
                  <w:vAlign w:val="center"/>
                </w:tcPr>
                <w:p w14:paraId="726DD847">
                  <w:pPr>
                    <w:jc w:val="center"/>
                    <w:rPr>
                      <w:i/>
                      <w:iCs/>
                      <w:color w:val="auto"/>
                      <w:szCs w:val="21"/>
                      <w:highlight w:val="none"/>
                      <w:u w:val="single"/>
                    </w:rPr>
                  </w:pPr>
                  <w:r>
                    <w:rPr>
                      <w:i/>
                      <w:iCs/>
                      <w:color w:val="auto"/>
                      <w:szCs w:val="21"/>
                      <w:highlight w:val="none"/>
                      <w:u w:val="single"/>
                    </w:rPr>
                    <w:t>类别</w:t>
                  </w:r>
                </w:p>
              </w:tc>
              <w:tc>
                <w:tcPr>
                  <w:tcW w:w="2663" w:type="pct"/>
                  <w:vAlign w:val="center"/>
                </w:tcPr>
                <w:p w14:paraId="7B0F2270">
                  <w:pPr>
                    <w:jc w:val="center"/>
                    <w:rPr>
                      <w:i/>
                      <w:iCs/>
                      <w:color w:val="auto"/>
                      <w:szCs w:val="21"/>
                      <w:highlight w:val="none"/>
                      <w:u w:val="single"/>
                    </w:rPr>
                  </w:pPr>
                  <w:r>
                    <w:rPr>
                      <w:i/>
                      <w:iCs/>
                      <w:color w:val="auto"/>
                      <w:szCs w:val="21"/>
                      <w:highlight w:val="none"/>
                      <w:u w:val="single"/>
                    </w:rPr>
                    <w:t>主要环保措施</w:t>
                  </w:r>
                </w:p>
              </w:tc>
              <w:tc>
                <w:tcPr>
                  <w:tcW w:w="883" w:type="pct"/>
                  <w:vAlign w:val="center"/>
                </w:tcPr>
                <w:p w14:paraId="0EA90C44">
                  <w:pPr>
                    <w:jc w:val="center"/>
                    <w:rPr>
                      <w:i/>
                      <w:iCs/>
                      <w:color w:val="auto"/>
                      <w:szCs w:val="21"/>
                      <w:highlight w:val="none"/>
                      <w:u w:val="single"/>
                    </w:rPr>
                  </w:pPr>
                  <w:r>
                    <w:rPr>
                      <w:i/>
                      <w:iCs/>
                      <w:color w:val="auto"/>
                      <w:szCs w:val="21"/>
                      <w:highlight w:val="none"/>
                      <w:u w:val="single"/>
                    </w:rPr>
                    <w:t>投资估算</w:t>
                  </w:r>
                </w:p>
              </w:tc>
            </w:tr>
            <w:tr w14:paraId="6D1044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43" w:type="pct"/>
                  <w:vMerge w:val="restart"/>
                  <w:vAlign w:val="center"/>
                </w:tcPr>
                <w:p w14:paraId="1C713AC8">
                  <w:pPr>
                    <w:jc w:val="center"/>
                    <w:rPr>
                      <w:i/>
                      <w:iCs/>
                      <w:color w:val="auto"/>
                      <w:szCs w:val="21"/>
                      <w:highlight w:val="none"/>
                      <w:u w:val="single"/>
                    </w:rPr>
                  </w:pPr>
                  <w:r>
                    <w:rPr>
                      <w:i/>
                      <w:iCs/>
                      <w:color w:val="auto"/>
                      <w:szCs w:val="21"/>
                      <w:highlight w:val="none"/>
                      <w:u w:val="single"/>
                    </w:rPr>
                    <w:t>废气</w:t>
                  </w:r>
                </w:p>
              </w:tc>
              <w:tc>
                <w:tcPr>
                  <w:tcW w:w="1110" w:type="pct"/>
                  <w:vAlign w:val="center"/>
                </w:tcPr>
                <w:p w14:paraId="3EE8D6B5">
                  <w:pPr>
                    <w:jc w:val="center"/>
                    <w:rPr>
                      <w:i/>
                      <w:iCs/>
                      <w:color w:val="auto"/>
                      <w:szCs w:val="21"/>
                      <w:highlight w:val="none"/>
                      <w:u w:val="single"/>
                    </w:rPr>
                  </w:pPr>
                  <w:r>
                    <w:rPr>
                      <w:rFonts w:hint="eastAsia"/>
                      <w:i/>
                      <w:iCs/>
                      <w:color w:val="auto"/>
                      <w:szCs w:val="21"/>
                      <w:highlight w:val="none"/>
                      <w:u w:val="single"/>
                    </w:rPr>
                    <w:t>污水恶臭气体</w:t>
                  </w:r>
                </w:p>
              </w:tc>
              <w:tc>
                <w:tcPr>
                  <w:tcW w:w="2663" w:type="pct"/>
                  <w:vAlign w:val="center"/>
                </w:tcPr>
                <w:p w14:paraId="0581C59C">
                  <w:pPr>
                    <w:jc w:val="center"/>
                    <w:rPr>
                      <w:i/>
                      <w:iCs/>
                      <w:color w:val="auto"/>
                      <w:szCs w:val="21"/>
                      <w:highlight w:val="none"/>
                      <w:u w:val="single"/>
                    </w:rPr>
                  </w:pPr>
                  <w:r>
                    <w:rPr>
                      <w:rFonts w:hint="eastAsia"/>
                      <w:i/>
                      <w:iCs/>
                      <w:color w:val="auto"/>
                      <w:szCs w:val="21"/>
                      <w:highlight w:val="none"/>
                      <w:u w:val="single"/>
                    </w:rPr>
                    <w:t>负压收集＋活性炭</w:t>
                  </w:r>
                  <w:r>
                    <w:rPr>
                      <w:rFonts w:hint="eastAsia"/>
                      <w:i/>
                      <w:iCs/>
                      <w:color w:val="auto"/>
                      <w:szCs w:val="21"/>
                      <w:highlight w:val="none"/>
                      <w:u w:val="single"/>
                      <w:lang w:eastAsia="zh-CN"/>
                    </w:rPr>
                    <w:t>吸附</w:t>
                  </w:r>
                  <w:r>
                    <w:rPr>
                      <w:rFonts w:hint="eastAsia"/>
                      <w:i/>
                      <w:iCs/>
                      <w:color w:val="auto"/>
                      <w:szCs w:val="21"/>
                      <w:highlight w:val="none"/>
                      <w:u w:val="single"/>
                    </w:rPr>
                    <w:t>＋</w:t>
                  </w:r>
                  <w:r>
                    <w:rPr>
                      <w:rFonts w:hint="eastAsia"/>
                      <w:i/>
                      <w:iCs/>
                      <w:color w:val="auto"/>
                      <w:szCs w:val="21"/>
                      <w:highlight w:val="none"/>
                      <w:u w:val="single"/>
                      <w:lang w:val="en-US" w:eastAsia="zh-CN"/>
                    </w:rPr>
                    <w:t>21</w:t>
                  </w:r>
                  <w:r>
                    <w:rPr>
                      <w:rFonts w:hint="eastAsia"/>
                      <w:i/>
                      <w:iCs/>
                      <w:color w:val="auto"/>
                      <w:szCs w:val="21"/>
                      <w:highlight w:val="none"/>
                      <w:u w:val="single"/>
                    </w:rPr>
                    <w:t>m高排气筒</w:t>
                  </w:r>
                </w:p>
              </w:tc>
              <w:tc>
                <w:tcPr>
                  <w:tcW w:w="883" w:type="pct"/>
                  <w:vAlign w:val="center"/>
                </w:tcPr>
                <w:p w14:paraId="5E869BB5">
                  <w:pPr>
                    <w:jc w:val="center"/>
                    <w:rPr>
                      <w:i/>
                      <w:iCs/>
                      <w:color w:val="auto"/>
                      <w:szCs w:val="21"/>
                      <w:highlight w:val="none"/>
                      <w:u w:val="single"/>
                    </w:rPr>
                  </w:pPr>
                  <w:r>
                    <w:rPr>
                      <w:rFonts w:hint="eastAsia"/>
                      <w:i/>
                      <w:iCs/>
                      <w:color w:val="auto"/>
                      <w:szCs w:val="21"/>
                      <w:highlight w:val="none"/>
                      <w:u w:val="single"/>
                    </w:rPr>
                    <w:t>2.5</w:t>
                  </w:r>
                </w:p>
              </w:tc>
            </w:tr>
            <w:tr w14:paraId="752314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43" w:type="pct"/>
                  <w:vMerge w:val="continue"/>
                  <w:vAlign w:val="center"/>
                </w:tcPr>
                <w:p w14:paraId="6497B56A">
                  <w:pPr>
                    <w:jc w:val="center"/>
                    <w:rPr>
                      <w:i/>
                      <w:iCs/>
                      <w:color w:val="auto"/>
                      <w:szCs w:val="21"/>
                      <w:highlight w:val="none"/>
                      <w:u w:val="single"/>
                    </w:rPr>
                  </w:pPr>
                </w:p>
              </w:tc>
              <w:tc>
                <w:tcPr>
                  <w:tcW w:w="1110" w:type="pct"/>
                  <w:vAlign w:val="center"/>
                </w:tcPr>
                <w:p w14:paraId="2B179447">
                  <w:pPr>
                    <w:jc w:val="center"/>
                    <w:rPr>
                      <w:i/>
                      <w:iCs/>
                      <w:color w:val="auto"/>
                      <w:szCs w:val="21"/>
                      <w:highlight w:val="none"/>
                      <w:u w:val="single"/>
                    </w:rPr>
                  </w:pPr>
                  <w:r>
                    <w:rPr>
                      <w:rFonts w:hint="eastAsia"/>
                      <w:i/>
                      <w:iCs/>
                      <w:color w:val="auto"/>
                      <w:szCs w:val="21"/>
                      <w:highlight w:val="none"/>
                      <w:u w:val="single"/>
                    </w:rPr>
                    <w:t>食堂油烟</w:t>
                  </w:r>
                </w:p>
              </w:tc>
              <w:tc>
                <w:tcPr>
                  <w:tcW w:w="2663" w:type="pct"/>
                  <w:vAlign w:val="center"/>
                </w:tcPr>
                <w:p w14:paraId="42A0296E">
                  <w:pPr>
                    <w:jc w:val="center"/>
                    <w:rPr>
                      <w:i/>
                      <w:iCs/>
                      <w:color w:val="auto"/>
                      <w:szCs w:val="21"/>
                      <w:highlight w:val="none"/>
                      <w:u w:val="single"/>
                    </w:rPr>
                  </w:pPr>
                  <w:r>
                    <w:rPr>
                      <w:rFonts w:hint="eastAsia"/>
                      <w:i/>
                      <w:iCs/>
                      <w:color w:val="auto"/>
                      <w:szCs w:val="21"/>
                      <w:highlight w:val="none"/>
                      <w:u w:val="single"/>
                    </w:rPr>
                    <w:t>集气罩+油烟净化器+2</w:t>
                  </w:r>
                  <w:r>
                    <w:rPr>
                      <w:rFonts w:hint="eastAsia"/>
                      <w:i/>
                      <w:iCs/>
                      <w:color w:val="auto"/>
                      <w:szCs w:val="21"/>
                      <w:highlight w:val="none"/>
                      <w:u w:val="single"/>
                      <w:lang w:val="en-US" w:eastAsia="zh-CN"/>
                    </w:rPr>
                    <w:t>1</w:t>
                  </w:r>
                  <w:r>
                    <w:rPr>
                      <w:rFonts w:hint="eastAsia"/>
                      <w:i/>
                      <w:iCs/>
                      <w:color w:val="auto"/>
                      <w:szCs w:val="21"/>
                      <w:highlight w:val="none"/>
                      <w:u w:val="single"/>
                    </w:rPr>
                    <w:t>m高排气筒</w:t>
                  </w:r>
                </w:p>
              </w:tc>
              <w:tc>
                <w:tcPr>
                  <w:tcW w:w="883" w:type="pct"/>
                  <w:vAlign w:val="center"/>
                </w:tcPr>
                <w:p w14:paraId="15623F4C">
                  <w:pPr>
                    <w:jc w:val="center"/>
                    <w:rPr>
                      <w:rFonts w:hint="default" w:eastAsia="宋体"/>
                      <w:i/>
                      <w:iCs/>
                      <w:color w:val="auto"/>
                      <w:szCs w:val="21"/>
                      <w:highlight w:val="none"/>
                      <w:u w:val="single"/>
                      <w:lang w:val="en-US" w:eastAsia="zh-CN"/>
                    </w:rPr>
                  </w:pPr>
                  <w:r>
                    <w:rPr>
                      <w:rFonts w:hint="eastAsia"/>
                      <w:i/>
                      <w:iCs/>
                      <w:color w:val="auto"/>
                      <w:szCs w:val="21"/>
                      <w:highlight w:val="none"/>
                      <w:u w:val="single"/>
                      <w:lang w:val="en-US" w:eastAsia="zh-CN"/>
                    </w:rPr>
                    <w:t>1.7</w:t>
                  </w:r>
                </w:p>
              </w:tc>
            </w:tr>
            <w:tr w14:paraId="1E3313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43" w:type="pct"/>
                  <w:vMerge w:val="continue"/>
                  <w:vAlign w:val="center"/>
                </w:tcPr>
                <w:p w14:paraId="2E9AB9B0">
                  <w:pPr>
                    <w:jc w:val="center"/>
                    <w:rPr>
                      <w:i/>
                      <w:iCs/>
                      <w:color w:val="auto"/>
                      <w:szCs w:val="21"/>
                      <w:highlight w:val="none"/>
                      <w:u w:val="single"/>
                    </w:rPr>
                  </w:pPr>
                </w:p>
              </w:tc>
              <w:tc>
                <w:tcPr>
                  <w:tcW w:w="1110" w:type="pct"/>
                  <w:vAlign w:val="center"/>
                </w:tcPr>
                <w:p w14:paraId="4026E530">
                  <w:pPr>
                    <w:jc w:val="center"/>
                    <w:rPr>
                      <w:rFonts w:hint="eastAsia" w:eastAsia="宋体"/>
                      <w:i/>
                      <w:iCs/>
                      <w:color w:val="auto"/>
                      <w:szCs w:val="21"/>
                      <w:highlight w:val="none"/>
                      <w:u w:val="single"/>
                      <w:lang w:eastAsia="zh-CN"/>
                    </w:rPr>
                  </w:pPr>
                  <w:r>
                    <w:rPr>
                      <w:rFonts w:hint="eastAsia"/>
                      <w:i/>
                      <w:iCs/>
                      <w:color w:val="auto"/>
                      <w:szCs w:val="21"/>
                      <w:highlight w:val="none"/>
                      <w:u w:val="single"/>
                      <w:lang w:eastAsia="zh-CN"/>
                    </w:rPr>
                    <w:t>煎药室废气</w:t>
                  </w:r>
                </w:p>
              </w:tc>
              <w:tc>
                <w:tcPr>
                  <w:tcW w:w="2663" w:type="pct"/>
                  <w:vAlign w:val="center"/>
                </w:tcPr>
                <w:p w14:paraId="43BA9B2D">
                  <w:pPr>
                    <w:jc w:val="center"/>
                    <w:rPr>
                      <w:rFonts w:hint="eastAsia"/>
                      <w:i/>
                      <w:iCs/>
                      <w:color w:val="auto"/>
                      <w:szCs w:val="21"/>
                      <w:highlight w:val="none"/>
                      <w:u w:val="single"/>
                    </w:rPr>
                  </w:pPr>
                  <w:r>
                    <w:rPr>
                      <w:rFonts w:hint="eastAsia"/>
                      <w:i/>
                      <w:iCs/>
                      <w:color w:val="auto"/>
                      <w:szCs w:val="21"/>
                      <w:highlight w:val="none"/>
                      <w:u w:val="single"/>
                    </w:rPr>
                    <w:t>集气罩+2</w:t>
                  </w:r>
                  <w:r>
                    <w:rPr>
                      <w:rFonts w:hint="eastAsia"/>
                      <w:i/>
                      <w:iCs/>
                      <w:color w:val="auto"/>
                      <w:szCs w:val="21"/>
                      <w:highlight w:val="none"/>
                      <w:u w:val="single"/>
                      <w:lang w:val="en-US" w:eastAsia="zh-CN"/>
                    </w:rPr>
                    <w:t>1</w:t>
                  </w:r>
                  <w:r>
                    <w:rPr>
                      <w:rFonts w:hint="eastAsia"/>
                      <w:i/>
                      <w:iCs/>
                      <w:color w:val="auto"/>
                      <w:szCs w:val="21"/>
                      <w:highlight w:val="none"/>
                      <w:u w:val="single"/>
                    </w:rPr>
                    <w:t>m高排气筒</w:t>
                  </w:r>
                </w:p>
              </w:tc>
              <w:tc>
                <w:tcPr>
                  <w:tcW w:w="883" w:type="pct"/>
                  <w:vAlign w:val="center"/>
                </w:tcPr>
                <w:p w14:paraId="3ADCB194">
                  <w:pPr>
                    <w:jc w:val="center"/>
                    <w:rPr>
                      <w:rFonts w:hint="default" w:eastAsia="宋体"/>
                      <w:i/>
                      <w:iCs/>
                      <w:color w:val="auto"/>
                      <w:szCs w:val="21"/>
                      <w:highlight w:val="none"/>
                      <w:u w:val="single"/>
                      <w:lang w:val="en-US" w:eastAsia="zh-CN"/>
                    </w:rPr>
                  </w:pPr>
                  <w:r>
                    <w:rPr>
                      <w:rFonts w:hint="eastAsia"/>
                      <w:i/>
                      <w:iCs/>
                      <w:color w:val="auto"/>
                      <w:szCs w:val="21"/>
                      <w:highlight w:val="none"/>
                      <w:u w:val="single"/>
                      <w:lang w:val="en-US" w:eastAsia="zh-CN"/>
                    </w:rPr>
                    <w:t>0.8</w:t>
                  </w:r>
                </w:p>
              </w:tc>
            </w:tr>
            <w:tr w14:paraId="56DBAF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43" w:type="pct"/>
                  <w:vAlign w:val="center"/>
                </w:tcPr>
                <w:p w14:paraId="5DD1E245">
                  <w:pPr>
                    <w:jc w:val="center"/>
                    <w:rPr>
                      <w:i/>
                      <w:iCs/>
                      <w:color w:val="auto"/>
                      <w:szCs w:val="21"/>
                      <w:highlight w:val="none"/>
                      <w:u w:val="single"/>
                    </w:rPr>
                  </w:pPr>
                  <w:r>
                    <w:rPr>
                      <w:rFonts w:hint="eastAsia"/>
                      <w:i/>
                      <w:iCs/>
                      <w:color w:val="auto"/>
                      <w:szCs w:val="21"/>
                      <w:highlight w:val="none"/>
                      <w:u w:val="single"/>
                    </w:rPr>
                    <w:t>废水</w:t>
                  </w:r>
                </w:p>
              </w:tc>
              <w:tc>
                <w:tcPr>
                  <w:tcW w:w="1110" w:type="pct"/>
                  <w:vAlign w:val="center"/>
                </w:tcPr>
                <w:p w14:paraId="57E255D8">
                  <w:pPr>
                    <w:jc w:val="center"/>
                    <w:rPr>
                      <w:i/>
                      <w:iCs/>
                      <w:color w:val="auto"/>
                      <w:szCs w:val="21"/>
                      <w:highlight w:val="none"/>
                      <w:u w:val="single"/>
                    </w:rPr>
                  </w:pPr>
                  <w:r>
                    <w:rPr>
                      <w:rFonts w:hint="eastAsia"/>
                      <w:i/>
                      <w:iCs/>
                      <w:color w:val="auto"/>
                      <w:szCs w:val="21"/>
                      <w:highlight w:val="none"/>
                      <w:u w:val="single"/>
                    </w:rPr>
                    <w:t>医院混合废水</w:t>
                  </w:r>
                </w:p>
              </w:tc>
              <w:tc>
                <w:tcPr>
                  <w:tcW w:w="2663" w:type="pct"/>
                  <w:vAlign w:val="center"/>
                </w:tcPr>
                <w:p w14:paraId="21042513">
                  <w:pPr>
                    <w:jc w:val="center"/>
                    <w:rPr>
                      <w:i/>
                      <w:iCs/>
                      <w:color w:val="auto"/>
                      <w:szCs w:val="21"/>
                      <w:highlight w:val="none"/>
                      <w:u w:val="single"/>
                    </w:rPr>
                  </w:pPr>
                  <w:r>
                    <w:rPr>
                      <w:rFonts w:hint="eastAsia"/>
                      <w:i/>
                      <w:iCs/>
                      <w:color w:val="auto"/>
                      <w:szCs w:val="21"/>
                      <w:highlight w:val="none"/>
                      <w:u w:val="single"/>
                    </w:rPr>
                    <w:t>隔油池、MBR一体化处理设备</w:t>
                  </w:r>
                </w:p>
              </w:tc>
              <w:tc>
                <w:tcPr>
                  <w:tcW w:w="883" w:type="pct"/>
                  <w:vAlign w:val="center"/>
                </w:tcPr>
                <w:p w14:paraId="370F0911">
                  <w:pPr>
                    <w:jc w:val="center"/>
                    <w:rPr>
                      <w:i/>
                      <w:iCs/>
                      <w:color w:val="auto"/>
                      <w:szCs w:val="21"/>
                      <w:highlight w:val="none"/>
                      <w:u w:val="single"/>
                    </w:rPr>
                  </w:pPr>
                  <w:r>
                    <w:rPr>
                      <w:rFonts w:hint="eastAsia"/>
                      <w:i/>
                      <w:iCs/>
                      <w:color w:val="auto"/>
                      <w:szCs w:val="21"/>
                      <w:highlight w:val="none"/>
                      <w:u w:val="single"/>
                    </w:rPr>
                    <w:t>18.5</w:t>
                  </w:r>
                </w:p>
              </w:tc>
            </w:tr>
            <w:tr w14:paraId="2A32AE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43" w:type="pct"/>
                  <w:vAlign w:val="center"/>
                </w:tcPr>
                <w:p w14:paraId="44F1A1FA">
                  <w:pPr>
                    <w:jc w:val="center"/>
                    <w:rPr>
                      <w:i/>
                      <w:iCs/>
                      <w:color w:val="auto"/>
                      <w:szCs w:val="21"/>
                      <w:highlight w:val="none"/>
                      <w:u w:val="single"/>
                    </w:rPr>
                  </w:pPr>
                  <w:r>
                    <w:rPr>
                      <w:rFonts w:hint="eastAsia"/>
                      <w:i/>
                      <w:iCs/>
                      <w:color w:val="auto"/>
                      <w:szCs w:val="21"/>
                      <w:highlight w:val="none"/>
                      <w:u w:val="single"/>
                    </w:rPr>
                    <w:t>噪声</w:t>
                  </w:r>
                </w:p>
              </w:tc>
              <w:tc>
                <w:tcPr>
                  <w:tcW w:w="1110" w:type="pct"/>
                  <w:vAlign w:val="center"/>
                </w:tcPr>
                <w:p w14:paraId="04DFD621">
                  <w:pPr>
                    <w:jc w:val="center"/>
                    <w:rPr>
                      <w:i/>
                      <w:iCs/>
                      <w:color w:val="auto"/>
                      <w:szCs w:val="21"/>
                      <w:highlight w:val="none"/>
                      <w:u w:val="single"/>
                    </w:rPr>
                  </w:pPr>
                  <w:r>
                    <w:rPr>
                      <w:rFonts w:hint="eastAsia"/>
                      <w:i/>
                      <w:iCs/>
                      <w:color w:val="auto"/>
                      <w:szCs w:val="21"/>
                      <w:highlight w:val="none"/>
                      <w:u w:val="single"/>
                    </w:rPr>
                    <w:t>设备噪声</w:t>
                  </w:r>
                </w:p>
              </w:tc>
              <w:tc>
                <w:tcPr>
                  <w:tcW w:w="2663" w:type="pct"/>
                  <w:vAlign w:val="center"/>
                </w:tcPr>
                <w:p w14:paraId="1A266F75">
                  <w:pPr>
                    <w:jc w:val="center"/>
                    <w:rPr>
                      <w:i/>
                      <w:iCs/>
                      <w:color w:val="auto"/>
                      <w:szCs w:val="21"/>
                      <w:highlight w:val="none"/>
                      <w:u w:val="single"/>
                    </w:rPr>
                  </w:pPr>
                  <w:r>
                    <w:rPr>
                      <w:rFonts w:hint="eastAsia"/>
                      <w:i/>
                      <w:iCs/>
                      <w:color w:val="auto"/>
                      <w:szCs w:val="21"/>
                      <w:highlight w:val="none"/>
                      <w:u w:val="single"/>
                    </w:rPr>
                    <w:t>选用低噪声设备，并采取相应的减振、隔声措施</w:t>
                  </w:r>
                </w:p>
              </w:tc>
              <w:tc>
                <w:tcPr>
                  <w:tcW w:w="883" w:type="pct"/>
                  <w:vAlign w:val="center"/>
                </w:tcPr>
                <w:p w14:paraId="4F8E8936">
                  <w:pPr>
                    <w:jc w:val="center"/>
                    <w:rPr>
                      <w:i/>
                      <w:iCs/>
                      <w:color w:val="auto"/>
                      <w:szCs w:val="21"/>
                      <w:highlight w:val="none"/>
                      <w:u w:val="single"/>
                    </w:rPr>
                  </w:pPr>
                  <w:r>
                    <w:rPr>
                      <w:rFonts w:hint="eastAsia"/>
                      <w:i/>
                      <w:iCs/>
                      <w:color w:val="auto"/>
                      <w:szCs w:val="21"/>
                      <w:highlight w:val="none"/>
                      <w:u w:val="single"/>
                    </w:rPr>
                    <w:t>0.5</w:t>
                  </w:r>
                </w:p>
              </w:tc>
            </w:tr>
            <w:tr w14:paraId="7ED6AA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43" w:type="pct"/>
                  <w:vMerge w:val="restart"/>
                  <w:vAlign w:val="center"/>
                </w:tcPr>
                <w:p w14:paraId="6296FEE3">
                  <w:pPr>
                    <w:jc w:val="center"/>
                    <w:rPr>
                      <w:i/>
                      <w:iCs/>
                      <w:color w:val="auto"/>
                      <w:szCs w:val="21"/>
                      <w:highlight w:val="none"/>
                      <w:u w:val="single"/>
                    </w:rPr>
                  </w:pPr>
                  <w:r>
                    <w:rPr>
                      <w:rFonts w:hint="eastAsia"/>
                      <w:i/>
                      <w:iCs/>
                      <w:color w:val="auto"/>
                      <w:szCs w:val="21"/>
                      <w:highlight w:val="none"/>
                      <w:u w:val="single"/>
                    </w:rPr>
                    <w:t>固体废物</w:t>
                  </w:r>
                </w:p>
              </w:tc>
              <w:tc>
                <w:tcPr>
                  <w:tcW w:w="1110" w:type="pct"/>
                  <w:vAlign w:val="center"/>
                </w:tcPr>
                <w:p w14:paraId="55BD3F47">
                  <w:pPr>
                    <w:jc w:val="center"/>
                    <w:rPr>
                      <w:i/>
                      <w:iCs/>
                      <w:color w:val="auto"/>
                      <w:szCs w:val="21"/>
                      <w:highlight w:val="none"/>
                      <w:u w:val="single"/>
                    </w:rPr>
                  </w:pPr>
                  <w:r>
                    <w:rPr>
                      <w:rFonts w:hint="eastAsia"/>
                      <w:i/>
                      <w:iCs/>
                      <w:color w:val="auto"/>
                      <w:szCs w:val="21"/>
                      <w:highlight w:val="none"/>
                      <w:u w:val="single"/>
                    </w:rPr>
                    <w:t>生活垃圾、中药渣</w:t>
                  </w:r>
                </w:p>
              </w:tc>
              <w:tc>
                <w:tcPr>
                  <w:tcW w:w="2663" w:type="pct"/>
                  <w:vAlign w:val="center"/>
                </w:tcPr>
                <w:p w14:paraId="58316773">
                  <w:pPr>
                    <w:jc w:val="center"/>
                    <w:rPr>
                      <w:i/>
                      <w:iCs/>
                      <w:color w:val="auto"/>
                      <w:szCs w:val="21"/>
                      <w:highlight w:val="none"/>
                      <w:u w:val="single"/>
                    </w:rPr>
                  </w:pPr>
                  <w:r>
                    <w:rPr>
                      <w:rFonts w:hint="eastAsia"/>
                      <w:i/>
                      <w:iCs/>
                      <w:color w:val="auto"/>
                      <w:szCs w:val="21"/>
                      <w:highlight w:val="none"/>
                      <w:u w:val="single"/>
                    </w:rPr>
                    <w:t>委托环卫部门清运</w:t>
                  </w:r>
                </w:p>
              </w:tc>
              <w:tc>
                <w:tcPr>
                  <w:tcW w:w="883" w:type="pct"/>
                  <w:vAlign w:val="center"/>
                </w:tcPr>
                <w:p w14:paraId="7A5A8CC0">
                  <w:pPr>
                    <w:jc w:val="center"/>
                    <w:rPr>
                      <w:i/>
                      <w:iCs/>
                      <w:color w:val="auto"/>
                      <w:szCs w:val="21"/>
                      <w:highlight w:val="none"/>
                      <w:u w:val="single"/>
                    </w:rPr>
                  </w:pPr>
                  <w:r>
                    <w:rPr>
                      <w:rFonts w:hint="eastAsia"/>
                      <w:i/>
                      <w:iCs/>
                      <w:color w:val="auto"/>
                      <w:szCs w:val="21"/>
                      <w:highlight w:val="none"/>
                      <w:u w:val="single"/>
                    </w:rPr>
                    <w:t>1</w:t>
                  </w:r>
                </w:p>
              </w:tc>
            </w:tr>
            <w:tr w14:paraId="47B3A0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43" w:type="pct"/>
                  <w:vMerge w:val="continue"/>
                  <w:vAlign w:val="center"/>
                </w:tcPr>
                <w:p w14:paraId="0C493138">
                  <w:pPr>
                    <w:jc w:val="center"/>
                    <w:rPr>
                      <w:i/>
                      <w:iCs/>
                      <w:color w:val="auto"/>
                      <w:szCs w:val="21"/>
                      <w:highlight w:val="none"/>
                      <w:u w:val="single"/>
                    </w:rPr>
                  </w:pPr>
                </w:p>
              </w:tc>
              <w:tc>
                <w:tcPr>
                  <w:tcW w:w="1110" w:type="pct"/>
                  <w:vAlign w:val="center"/>
                </w:tcPr>
                <w:p w14:paraId="6EF1EF9B">
                  <w:pPr>
                    <w:jc w:val="center"/>
                    <w:rPr>
                      <w:i/>
                      <w:iCs/>
                      <w:color w:val="auto"/>
                      <w:szCs w:val="21"/>
                      <w:highlight w:val="none"/>
                      <w:u w:val="single"/>
                    </w:rPr>
                  </w:pPr>
                  <w:r>
                    <w:rPr>
                      <w:rFonts w:hint="eastAsia"/>
                      <w:i/>
                      <w:iCs/>
                      <w:color w:val="auto"/>
                      <w:szCs w:val="21"/>
                      <w:highlight w:val="none"/>
                      <w:u w:val="single"/>
                    </w:rPr>
                    <w:t>餐厨垃圾及隔油池废油、化粪池污泥</w:t>
                  </w:r>
                </w:p>
              </w:tc>
              <w:tc>
                <w:tcPr>
                  <w:tcW w:w="2663" w:type="pct"/>
                  <w:vAlign w:val="center"/>
                </w:tcPr>
                <w:p w14:paraId="52820B56">
                  <w:pPr>
                    <w:jc w:val="center"/>
                    <w:rPr>
                      <w:i/>
                      <w:iCs/>
                      <w:color w:val="auto"/>
                      <w:szCs w:val="21"/>
                      <w:highlight w:val="none"/>
                      <w:u w:val="single"/>
                    </w:rPr>
                  </w:pPr>
                  <w:r>
                    <w:rPr>
                      <w:rFonts w:hint="eastAsia"/>
                      <w:i/>
                      <w:iCs/>
                      <w:color w:val="auto"/>
                      <w:szCs w:val="21"/>
                      <w:highlight w:val="none"/>
                      <w:u w:val="single"/>
                    </w:rPr>
                    <w:t>委托有资质单位处理</w:t>
                  </w:r>
                </w:p>
              </w:tc>
              <w:tc>
                <w:tcPr>
                  <w:tcW w:w="883" w:type="pct"/>
                  <w:vMerge w:val="restart"/>
                  <w:vAlign w:val="center"/>
                </w:tcPr>
                <w:p w14:paraId="61F9D029">
                  <w:pPr>
                    <w:jc w:val="center"/>
                    <w:rPr>
                      <w:i/>
                      <w:iCs/>
                      <w:color w:val="auto"/>
                      <w:szCs w:val="21"/>
                      <w:highlight w:val="none"/>
                      <w:u w:val="single"/>
                    </w:rPr>
                  </w:pPr>
                  <w:r>
                    <w:rPr>
                      <w:rFonts w:hint="eastAsia"/>
                      <w:i/>
                      <w:iCs/>
                      <w:color w:val="auto"/>
                      <w:szCs w:val="21"/>
                      <w:highlight w:val="none"/>
                      <w:u w:val="single"/>
                    </w:rPr>
                    <w:t>1</w:t>
                  </w:r>
                </w:p>
              </w:tc>
            </w:tr>
            <w:tr w14:paraId="72A99F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43" w:type="pct"/>
                  <w:vMerge w:val="continue"/>
                  <w:vAlign w:val="center"/>
                </w:tcPr>
                <w:p w14:paraId="5126950F">
                  <w:pPr>
                    <w:jc w:val="center"/>
                    <w:rPr>
                      <w:i/>
                      <w:iCs/>
                      <w:color w:val="auto"/>
                      <w:szCs w:val="21"/>
                      <w:highlight w:val="none"/>
                      <w:u w:val="single"/>
                    </w:rPr>
                  </w:pPr>
                </w:p>
              </w:tc>
              <w:tc>
                <w:tcPr>
                  <w:tcW w:w="1110" w:type="pct"/>
                  <w:vAlign w:val="center"/>
                </w:tcPr>
                <w:p w14:paraId="5031465A">
                  <w:pPr>
                    <w:jc w:val="center"/>
                    <w:rPr>
                      <w:i/>
                      <w:iCs/>
                      <w:color w:val="auto"/>
                      <w:szCs w:val="21"/>
                      <w:highlight w:val="none"/>
                      <w:u w:val="single"/>
                    </w:rPr>
                  </w:pPr>
                  <w:r>
                    <w:rPr>
                      <w:rFonts w:hint="eastAsia"/>
                      <w:i/>
                      <w:iCs/>
                      <w:color w:val="auto"/>
                      <w:szCs w:val="21"/>
                      <w:highlight w:val="none"/>
                      <w:u w:val="single"/>
                    </w:rPr>
                    <w:t>污水站污泥、废活性炭</w:t>
                  </w:r>
                </w:p>
              </w:tc>
              <w:tc>
                <w:tcPr>
                  <w:tcW w:w="2663" w:type="pct"/>
                  <w:vAlign w:val="center"/>
                </w:tcPr>
                <w:p w14:paraId="0D64C5BD">
                  <w:pPr>
                    <w:jc w:val="center"/>
                    <w:rPr>
                      <w:i/>
                      <w:iCs/>
                      <w:color w:val="auto"/>
                      <w:szCs w:val="21"/>
                      <w:highlight w:val="none"/>
                      <w:u w:val="single"/>
                    </w:rPr>
                  </w:pPr>
                  <w:r>
                    <w:rPr>
                      <w:rFonts w:hint="eastAsia"/>
                      <w:i/>
                      <w:iCs/>
                      <w:color w:val="auto"/>
                      <w:szCs w:val="21"/>
                      <w:highlight w:val="none"/>
                      <w:u w:val="single"/>
                    </w:rPr>
                    <w:t>暂存于危废暂存点，委托有资质单位处理</w:t>
                  </w:r>
                </w:p>
              </w:tc>
              <w:tc>
                <w:tcPr>
                  <w:tcW w:w="883" w:type="pct"/>
                  <w:vMerge w:val="continue"/>
                  <w:vAlign w:val="center"/>
                </w:tcPr>
                <w:p w14:paraId="6E028B5F">
                  <w:pPr>
                    <w:jc w:val="center"/>
                    <w:rPr>
                      <w:i/>
                      <w:iCs/>
                      <w:color w:val="auto"/>
                      <w:szCs w:val="21"/>
                      <w:highlight w:val="none"/>
                      <w:u w:val="single"/>
                    </w:rPr>
                  </w:pPr>
                </w:p>
              </w:tc>
            </w:tr>
            <w:tr w14:paraId="6A88F3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43" w:type="pct"/>
                  <w:vMerge w:val="continue"/>
                  <w:vAlign w:val="center"/>
                </w:tcPr>
                <w:p w14:paraId="70601D98">
                  <w:pPr>
                    <w:jc w:val="center"/>
                    <w:rPr>
                      <w:i/>
                      <w:iCs/>
                      <w:color w:val="auto"/>
                      <w:szCs w:val="21"/>
                      <w:highlight w:val="none"/>
                      <w:u w:val="single"/>
                    </w:rPr>
                  </w:pPr>
                </w:p>
              </w:tc>
              <w:tc>
                <w:tcPr>
                  <w:tcW w:w="1110" w:type="pct"/>
                  <w:vAlign w:val="center"/>
                </w:tcPr>
                <w:p w14:paraId="325C3765">
                  <w:pPr>
                    <w:jc w:val="center"/>
                    <w:rPr>
                      <w:i/>
                      <w:iCs/>
                      <w:color w:val="auto"/>
                      <w:szCs w:val="21"/>
                      <w:highlight w:val="none"/>
                      <w:u w:val="single"/>
                    </w:rPr>
                  </w:pPr>
                  <w:r>
                    <w:rPr>
                      <w:rFonts w:hint="eastAsia"/>
                      <w:i/>
                      <w:iCs/>
                      <w:color w:val="auto"/>
                      <w:szCs w:val="21"/>
                      <w:highlight w:val="none"/>
                      <w:u w:val="single"/>
                    </w:rPr>
                    <w:t>医疗废物</w:t>
                  </w:r>
                </w:p>
              </w:tc>
              <w:tc>
                <w:tcPr>
                  <w:tcW w:w="2663" w:type="pct"/>
                  <w:vAlign w:val="center"/>
                </w:tcPr>
                <w:p w14:paraId="16C5FC2E">
                  <w:pPr>
                    <w:jc w:val="center"/>
                    <w:rPr>
                      <w:i/>
                      <w:iCs/>
                      <w:color w:val="auto"/>
                      <w:szCs w:val="21"/>
                      <w:highlight w:val="none"/>
                      <w:u w:val="single"/>
                    </w:rPr>
                  </w:pPr>
                  <w:r>
                    <w:rPr>
                      <w:rFonts w:hint="eastAsia"/>
                      <w:i/>
                      <w:iCs/>
                      <w:color w:val="auto"/>
                      <w:szCs w:val="21"/>
                      <w:highlight w:val="none"/>
                      <w:u w:val="single"/>
                    </w:rPr>
                    <w:t>暂存于医废暂存间，委托有资质单位处理</w:t>
                  </w:r>
                </w:p>
              </w:tc>
              <w:tc>
                <w:tcPr>
                  <w:tcW w:w="883" w:type="pct"/>
                  <w:vAlign w:val="center"/>
                </w:tcPr>
                <w:p w14:paraId="4468260F">
                  <w:pPr>
                    <w:jc w:val="center"/>
                    <w:rPr>
                      <w:i/>
                      <w:iCs/>
                      <w:color w:val="auto"/>
                      <w:szCs w:val="21"/>
                      <w:highlight w:val="none"/>
                      <w:u w:val="single"/>
                    </w:rPr>
                  </w:pPr>
                  <w:r>
                    <w:rPr>
                      <w:rFonts w:hint="eastAsia"/>
                      <w:i/>
                      <w:iCs/>
                      <w:color w:val="auto"/>
                      <w:szCs w:val="21"/>
                      <w:highlight w:val="none"/>
                      <w:u w:val="single"/>
                    </w:rPr>
                    <w:t>1.2</w:t>
                  </w:r>
                </w:p>
              </w:tc>
            </w:tr>
            <w:tr w14:paraId="239E32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16" w:type="pct"/>
                  <w:gridSpan w:val="3"/>
                  <w:vAlign w:val="center"/>
                </w:tcPr>
                <w:p w14:paraId="2300BDD4">
                  <w:pPr>
                    <w:jc w:val="center"/>
                    <w:rPr>
                      <w:i/>
                      <w:iCs/>
                      <w:color w:val="auto"/>
                      <w:szCs w:val="21"/>
                      <w:highlight w:val="none"/>
                      <w:u w:val="single"/>
                    </w:rPr>
                  </w:pPr>
                  <w:r>
                    <w:rPr>
                      <w:rFonts w:hint="eastAsia"/>
                      <w:i/>
                      <w:iCs/>
                      <w:color w:val="auto"/>
                      <w:szCs w:val="21"/>
                      <w:highlight w:val="none"/>
                      <w:u w:val="single"/>
                    </w:rPr>
                    <w:t>合计</w:t>
                  </w:r>
                </w:p>
              </w:tc>
              <w:tc>
                <w:tcPr>
                  <w:tcW w:w="883" w:type="pct"/>
                  <w:vAlign w:val="center"/>
                </w:tcPr>
                <w:p w14:paraId="6E7F459B">
                  <w:pPr>
                    <w:jc w:val="center"/>
                    <w:rPr>
                      <w:rFonts w:hint="default" w:eastAsia="宋体"/>
                      <w:i/>
                      <w:iCs/>
                      <w:color w:val="auto"/>
                      <w:szCs w:val="21"/>
                      <w:highlight w:val="none"/>
                      <w:u w:val="single"/>
                      <w:lang w:val="en-US" w:eastAsia="zh-CN"/>
                    </w:rPr>
                  </w:pPr>
                  <w:r>
                    <w:rPr>
                      <w:rFonts w:hint="eastAsia"/>
                      <w:i/>
                      <w:iCs/>
                      <w:color w:val="auto"/>
                      <w:szCs w:val="21"/>
                      <w:highlight w:val="none"/>
                      <w:u w:val="single"/>
                      <w:lang w:val="en-US" w:eastAsia="zh-CN"/>
                    </w:rPr>
                    <w:t>27.2</w:t>
                  </w:r>
                </w:p>
              </w:tc>
            </w:tr>
          </w:tbl>
          <w:p w14:paraId="06F53E1B">
            <w:pPr>
              <w:autoSpaceDE w:val="0"/>
              <w:autoSpaceDN w:val="0"/>
              <w:adjustRightInd w:val="0"/>
              <w:spacing w:line="360" w:lineRule="auto"/>
              <w:jc w:val="left"/>
              <w:rPr>
                <w:i/>
                <w:iCs/>
                <w:color w:val="auto"/>
                <w:kern w:val="0"/>
                <w:szCs w:val="21"/>
                <w:highlight w:val="none"/>
                <w:u w:val="single"/>
              </w:rPr>
            </w:pPr>
          </w:p>
          <w:p w14:paraId="095C54CC">
            <w:pPr>
              <w:snapToGrid w:val="0"/>
              <w:spacing w:line="360" w:lineRule="auto"/>
              <w:ind w:firstLine="482" w:firstLineChars="200"/>
              <w:rPr>
                <w:b/>
                <w:bCs/>
                <w:i/>
                <w:iCs/>
                <w:color w:val="auto"/>
                <w:sz w:val="24"/>
                <w:highlight w:val="none"/>
                <w:u w:val="single"/>
              </w:rPr>
            </w:pPr>
            <w:r>
              <w:rPr>
                <w:rFonts w:hint="eastAsia"/>
                <w:b/>
                <w:bCs/>
                <w:i/>
                <w:iCs/>
                <w:color w:val="auto"/>
                <w:sz w:val="24"/>
                <w:highlight w:val="none"/>
                <w:u w:val="single"/>
              </w:rPr>
              <w:t>2、排污许可管理要求</w:t>
            </w:r>
          </w:p>
          <w:p w14:paraId="362DD86C">
            <w:pPr>
              <w:spacing w:line="360" w:lineRule="auto"/>
              <w:ind w:firstLine="480" w:firstLineChars="200"/>
              <w:rPr>
                <w:i/>
                <w:iCs/>
                <w:color w:val="auto"/>
                <w:sz w:val="24"/>
                <w:highlight w:val="none"/>
                <w:u w:val="single"/>
              </w:rPr>
            </w:pPr>
            <w:r>
              <w:rPr>
                <w:rFonts w:hint="eastAsia"/>
                <w:i/>
                <w:iCs/>
                <w:color w:val="auto"/>
                <w:sz w:val="24"/>
                <w:highlight w:val="none"/>
                <w:u w:val="single"/>
              </w:rPr>
              <w:t>根据《固定污染源排污许可分类管理名录（2019年版）》（生态环境部第11号）可知。本项目属于“四十九、卫生84”中的“医院841中床位100张及以上500张以下的综合医院8411”，应实行排污许可简化管理，因此建设单位应当在启动生产设施或产生实际排污之前，在全国排污许可证管理信息平台中申领排污许可证。取得排污许可证后合法排污。按照环评报告中监测点位、因子和频次要求，定期实施自行监测并向环境管理部门报告检测数据，做好环境管理工作内容。</w:t>
            </w:r>
          </w:p>
          <w:p w14:paraId="17D4778F">
            <w:pPr>
              <w:snapToGrid w:val="0"/>
              <w:spacing w:line="360" w:lineRule="auto"/>
              <w:ind w:firstLine="482" w:firstLineChars="200"/>
              <w:rPr>
                <w:b/>
                <w:bCs/>
                <w:i/>
                <w:iCs/>
                <w:color w:val="auto"/>
                <w:sz w:val="24"/>
                <w:highlight w:val="none"/>
                <w:u w:val="single"/>
              </w:rPr>
            </w:pPr>
            <w:r>
              <w:rPr>
                <w:rFonts w:hint="eastAsia"/>
                <w:b/>
                <w:bCs/>
                <w:i/>
                <w:iCs/>
                <w:color w:val="auto"/>
                <w:sz w:val="24"/>
                <w:highlight w:val="none"/>
                <w:u w:val="single"/>
              </w:rPr>
              <w:t>3、竣工环境环保验收</w:t>
            </w:r>
          </w:p>
          <w:p w14:paraId="4CFB7800">
            <w:pPr>
              <w:adjustRightInd w:val="0"/>
              <w:snapToGrid w:val="0"/>
              <w:spacing w:line="360" w:lineRule="auto"/>
              <w:ind w:firstLine="480" w:firstLineChars="200"/>
              <w:rPr>
                <w:rFonts w:cs="宋体"/>
                <w:i/>
                <w:iCs/>
                <w:color w:val="auto"/>
                <w:sz w:val="24"/>
                <w:highlight w:val="none"/>
                <w:u w:val="single"/>
              </w:rPr>
            </w:pPr>
            <w:r>
              <w:rPr>
                <w:rFonts w:hint="eastAsia"/>
                <w:i/>
                <w:iCs/>
                <w:color w:val="auto"/>
                <w:sz w:val="24"/>
                <w:highlight w:val="none"/>
                <w:u w:val="single"/>
              </w:rPr>
              <w:t>根据《建设项目竣工环境保护验收暂行办法》的规定，建设项目竣工后，建设单位应该如实查验、监测、记载建设项目环境保护设施建设和调试情况，编制验收监测报告表。</w:t>
            </w:r>
          </w:p>
          <w:p w14:paraId="663763AD">
            <w:pPr>
              <w:adjustRightInd w:val="0"/>
              <w:snapToGrid w:val="0"/>
              <w:spacing w:line="360" w:lineRule="auto"/>
              <w:ind w:firstLine="480" w:firstLineChars="200"/>
              <w:rPr>
                <w:rFonts w:cs="宋体"/>
                <w:i/>
                <w:iCs/>
                <w:color w:val="auto"/>
                <w:sz w:val="24"/>
                <w:highlight w:val="none"/>
                <w:u w:val="single"/>
              </w:rPr>
            </w:pPr>
            <w:r>
              <w:rPr>
                <w:rFonts w:hint="eastAsia" w:cs="宋体"/>
                <w:i/>
                <w:iCs/>
                <w:color w:val="auto"/>
                <w:sz w:val="24"/>
                <w:highlight w:val="none"/>
                <w:u w:val="single"/>
              </w:rPr>
              <w:t>1.环境管理监测</w:t>
            </w:r>
          </w:p>
          <w:p w14:paraId="75F7CF38">
            <w:pPr>
              <w:adjustRightInd w:val="0"/>
              <w:snapToGrid w:val="0"/>
              <w:spacing w:line="360" w:lineRule="auto"/>
              <w:ind w:firstLine="480" w:firstLineChars="200"/>
              <w:rPr>
                <w:rFonts w:cs="宋体"/>
                <w:i/>
                <w:iCs/>
                <w:color w:val="auto"/>
                <w:sz w:val="24"/>
                <w:highlight w:val="none"/>
                <w:u w:val="single"/>
              </w:rPr>
            </w:pPr>
            <w:r>
              <w:rPr>
                <w:rFonts w:hint="eastAsia" w:cs="宋体"/>
                <w:i/>
                <w:iCs/>
                <w:color w:val="auto"/>
                <w:sz w:val="24"/>
                <w:highlight w:val="none"/>
                <w:u w:val="single"/>
              </w:rPr>
              <w:t>定期做好环境监测，排污口规范化设置，做好企业信息公开，申请环保验收，并做好与排污许可的衔接工作。</w:t>
            </w:r>
          </w:p>
          <w:p w14:paraId="3ED57C59">
            <w:pPr>
              <w:adjustRightInd w:val="0"/>
              <w:snapToGrid w:val="0"/>
              <w:spacing w:line="360" w:lineRule="auto"/>
              <w:ind w:firstLine="470" w:firstLineChars="196"/>
              <w:rPr>
                <w:rFonts w:cs="宋体"/>
                <w:i/>
                <w:iCs/>
                <w:color w:val="auto"/>
                <w:szCs w:val="21"/>
                <w:highlight w:val="none"/>
                <w:u w:val="single"/>
              </w:rPr>
            </w:pPr>
            <w:r>
              <w:rPr>
                <w:rFonts w:hint="eastAsia" w:cs="宋体"/>
                <w:i/>
                <w:iCs/>
                <w:color w:val="auto"/>
                <w:sz w:val="24"/>
                <w:highlight w:val="none"/>
                <w:u w:val="single"/>
              </w:rPr>
              <w:t>2.三同时验收</w:t>
            </w:r>
          </w:p>
          <w:p w14:paraId="1F10367B">
            <w:pPr>
              <w:adjustRightInd w:val="0"/>
              <w:snapToGrid w:val="0"/>
              <w:spacing w:line="360" w:lineRule="auto"/>
              <w:ind w:firstLine="480" w:firstLineChars="200"/>
              <w:rPr>
                <w:rFonts w:cs="宋体"/>
                <w:i/>
                <w:iCs/>
                <w:color w:val="auto"/>
                <w:sz w:val="24"/>
                <w:highlight w:val="none"/>
                <w:u w:val="single"/>
              </w:rPr>
            </w:pPr>
            <w:r>
              <w:rPr>
                <w:rFonts w:hint="eastAsia" w:cs="宋体"/>
                <w:i/>
                <w:iCs/>
                <w:color w:val="auto"/>
                <w:sz w:val="24"/>
                <w:highlight w:val="none"/>
                <w:u w:val="single"/>
              </w:rPr>
              <w:t>建设单位根据《建设项目竣工环境保护验收暂行办法》中华人民共和国环境保护部国环规环评【2017】4号要求执行验收规定。</w:t>
            </w:r>
          </w:p>
          <w:p w14:paraId="4C06BF7C">
            <w:pPr>
              <w:pStyle w:val="26"/>
              <w:widowControl w:val="0"/>
              <w:snapToGrid/>
              <w:spacing w:before="0" w:after="0" w:line="360" w:lineRule="auto"/>
              <w:ind w:right="0" w:firstLine="480" w:firstLineChars="200"/>
              <w:rPr>
                <w:i/>
                <w:iCs/>
                <w:color w:val="auto"/>
                <w:sz w:val="24"/>
                <w:highlight w:val="none"/>
                <w:u w:val="single"/>
              </w:rPr>
            </w:pPr>
            <w:r>
              <w:rPr>
                <w:rFonts w:hint="eastAsia" w:cs="宋体"/>
                <w:i/>
                <w:iCs/>
                <w:color w:val="auto"/>
                <w:sz w:val="24"/>
                <w:highlight w:val="none"/>
                <w:u w:val="single"/>
              </w:rPr>
              <w:t>建设单位是项目竣工环境保护验收的责任主体，应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39ECD7BB">
            <w:pPr>
              <w:adjustRightInd w:val="0"/>
              <w:snapToGrid w:val="0"/>
              <w:spacing w:line="360" w:lineRule="auto"/>
              <w:rPr>
                <w:i/>
                <w:iCs/>
                <w:color w:val="auto"/>
                <w:highlight w:val="none"/>
                <w:u w:val="single"/>
              </w:rPr>
            </w:pPr>
          </w:p>
          <w:p w14:paraId="4E1CF90C">
            <w:pPr>
              <w:adjustRightInd w:val="0"/>
              <w:snapToGrid w:val="0"/>
              <w:spacing w:line="360" w:lineRule="auto"/>
              <w:rPr>
                <w:i/>
                <w:iCs/>
                <w:color w:val="auto"/>
                <w:highlight w:val="none"/>
                <w:u w:val="single"/>
              </w:rPr>
            </w:pPr>
          </w:p>
          <w:p w14:paraId="488B3293">
            <w:pPr>
              <w:adjustRightInd w:val="0"/>
              <w:snapToGrid w:val="0"/>
              <w:spacing w:line="360" w:lineRule="auto"/>
              <w:rPr>
                <w:i/>
                <w:iCs/>
                <w:color w:val="auto"/>
                <w:highlight w:val="none"/>
                <w:u w:val="single"/>
              </w:rPr>
            </w:pPr>
          </w:p>
          <w:p w14:paraId="1F201CDA">
            <w:pPr>
              <w:adjustRightInd w:val="0"/>
              <w:snapToGrid w:val="0"/>
              <w:spacing w:line="360" w:lineRule="auto"/>
              <w:rPr>
                <w:i/>
                <w:iCs/>
                <w:color w:val="auto"/>
                <w:highlight w:val="none"/>
                <w:u w:val="single"/>
              </w:rPr>
            </w:pPr>
          </w:p>
          <w:p w14:paraId="2DFF9CCE">
            <w:pPr>
              <w:adjustRightInd w:val="0"/>
              <w:snapToGrid w:val="0"/>
              <w:spacing w:line="360" w:lineRule="auto"/>
              <w:rPr>
                <w:i/>
                <w:iCs/>
                <w:color w:val="auto"/>
                <w:highlight w:val="none"/>
                <w:u w:val="single"/>
              </w:rPr>
            </w:pPr>
          </w:p>
          <w:p w14:paraId="422F5ADC">
            <w:pPr>
              <w:adjustRightInd w:val="0"/>
              <w:snapToGrid w:val="0"/>
              <w:spacing w:line="360" w:lineRule="auto"/>
              <w:rPr>
                <w:i/>
                <w:iCs/>
                <w:color w:val="auto"/>
                <w:highlight w:val="none"/>
                <w:u w:val="single"/>
              </w:rPr>
            </w:pPr>
          </w:p>
          <w:p w14:paraId="2DBD8376">
            <w:pPr>
              <w:adjustRightInd w:val="0"/>
              <w:snapToGrid w:val="0"/>
              <w:spacing w:line="360" w:lineRule="auto"/>
              <w:rPr>
                <w:i/>
                <w:iCs/>
                <w:color w:val="auto"/>
                <w:highlight w:val="none"/>
                <w:u w:val="single"/>
              </w:rPr>
            </w:pPr>
          </w:p>
          <w:p w14:paraId="5A692207">
            <w:pPr>
              <w:adjustRightInd w:val="0"/>
              <w:snapToGrid w:val="0"/>
              <w:spacing w:line="360" w:lineRule="auto"/>
              <w:rPr>
                <w:i/>
                <w:iCs/>
                <w:color w:val="auto"/>
                <w:highlight w:val="none"/>
                <w:u w:val="single"/>
              </w:rPr>
            </w:pPr>
          </w:p>
          <w:p w14:paraId="0E4B506C">
            <w:pPr>
              <w:adjustRightInd w:val="0"/>
              <w:snapToGrid w:val="0"/>
              <w:spacing w:line="360" w:lineRule="auto"/>
              <w:rPr>
                <w:i/>
                <w:iCs/>
                <w:color w:val="auto"/>
                <w:highlight w:val="none"/>
                <w:u w:val="single"/>
              </w:rPr>
            </w:pPr>
          </w:p>
          <w:p w14:paraId="7A58E598">
            <w:pPr>
              <w:adjustRightInd w:val="0"/>
              <w:snapToGrid w:val="0"/>
              <w:spacing w:line="360" w:lineRule="auto"/>
              <w:rPr>
                <w:i/>
                <w:iCs/>
                <w:color w:val="auto"/>
                <w:highlight w:val="none"/>
                <w:u w:val="single"/>
              </w:rPr>
            </w:pPr>
          </w:p>
          <w:p w14:paraId="3F6CF86C">
            <w:pPr>
              <w:adjustRightInd w:val="0"/>
              <w:snapToGrid w:val="0"/>
              <w:spacing w:line="360" w:lineRule="auto"/>
              <w:rPr>
                <w:i/>
                <w:iCs/>
                <w:color w:val="auto"/>
                <w:highlight w:val="none"/>
                <w:u w:val="single"/>
              </w:rPr>
            </w:pPr>
          </w:p>
          <w:p w14:paraId="528318FB">
            <w:pPr>
              <w:adjustRightInd w:val="0"/>
              <w:snapToGrid w:val="0"/>
              <w:spacing w:line="360" w:lineRule="auto"/>
              <w:rPr>
                <w:i/>
                <w:iCs/>
                <w:color w:val="auto"/>
                <w:highlight w:val="none"/>
                <w:u w:val="single"/>
              </w:rPr>
            </w:pPr>
          </w:p>
          <w:p w14:paraId="0A62358C">
            <w:pPr>
              <w:adjustRightInd w:val="0"/>
              <w:snapToGrid w:val="0"/>
              <w:spacing w:line="360" w:lineRule="auto"/>
              <w:rPr>
                <w:i/>
                <w:iCs/>
                <w:color w:val="auto"/>
                <w:highlight w:val="none"/>
                <w:u w:val="single"/>
              </w:rPr>
            </w:pPr>
          </w:p>
          <w:p w14:paraId="74ACDF99">
            <w:pPr>
              <w:adjustRightInd w:val="0"/>
              <w:snapToGrid w:val="0"/>
              <w:spacing w:line="360" w:lineRule="auto"/>
              <w:rPr>
                <w:i/>
                <w:iCs/>
                <w:color w:val="auto"/>
                <w:highlight w:val="none"/>
                <w:u w:val="single"/>
              </w:rPr>
            </w:pPr>
          </w:p>
          <w:p w14:paraId="270AE313">
            <w:pPr>
              <w:adjustRightInd w:val="0"/>
              <w:snapToGrid w:val="0"/>
              <w:spacing w:line="360" w:lineRule="auto"/>
              <w:rPr>
                <w:i/>
                <w:iCs/>
                <w:color w:val="auto"/>
                <w:highlight w:val="none"/>
                <w:u w:val="single"/>
              </w:rPr>
            </w:pPr>
          </w:p>
          <w:p w14:paraId="67B6185B">
            <w:pPr>
              <w:adjustRightInd w:val="0"/>
              <w:snapToGrid w:val="0"/>
              <w:spacing w:line="360" w:lineRule="auto"/>
              <w:rPr>
                <w:i/>
                <w:iCs/>
                <w:color w:val="auto"/>
                <w:highlight w:val="none"/>
                <w:u w:val="single"/>
              </w:rPr>
            </w:pPr>
          </w:p>
          <w:p w14:paraId="3C1411D3">
            <w:pPr>
              <w:adjustRightInd w:val="0"/>
              <w:snapToGrid w:val="0"/>
              <w:spacing w:line="360" w:lineRule="auto"/>
              <w:rPr>
                <w:i/>
                <w:iCs/>
                <w:color w:val="auto"/>
                <w:highlight w:val="none"/>
                <w:u w:val="single"/>
              </w:rPr>
            </w:pPr>
          </w:p>
        </w:tc>
      </w:tr>
    </w:tbl>
    <w:p w14:paraId="3D579C1D">
      <w:pPr>
        <w:pStyle w:val="24"/>
        <w:spacing w:before="0" w:beforeAutospacing="0" w:after="0" w:afterAutospacing="0"/>
        <w:jc w:val="center"/>
        <w:outlineLvl w:val="0"/>
        <w:rPr>
          <w:rFonts w:hint="eastAsia" w:ascii="黑体" w:hAnsi="黑体" w:eastAsia="黑体"/>
          <w:snapToGrid w:val="0"/>
          <w:color w:val="auto"/>
          <w:sz w:val="30"/>
          <w:szCs w:val="30"/>
          <w:highlight w:val="none"/>
        </w:rPr>
      </w:pPr>
      <w:r>
        <w:rPr>
          <w:snapToGrid w:val="0"/>
          <w:color w:val="auto"/>
          <w:highlight w:val="none"/>
        </w:rPr>
        <w:br w:type="page"/>
      </w:r>
      <w:r>
        <w:rPr>
          <w:rFonts w:hint="eastAsia" w:ascii="黑体" w:hAnsi="黑体" w:eastAsia="黑体"/>
          <w:snapToGrid w:val="0"/>
          <w:color w:val="auto"/>
          <w:sz w:val="30"/>
          <w:szCs w:val="30"/>
          <w:highlight w:val="none"/>
        </w:rPr>
        <w:t>六、结论</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2C3F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865" w:type="dxa"/>
            <w:vAlign w:val="center"/>
          </w:tcPr>
          <w:p w14:paraId="650CD0CF">
            <w:pPr>
              <w:spacing w:line="360" w:lineRule="auto"/>
              <w:ind w:firstLine="482" w:firstLineChars="200"/>
              <w:outlineLvl w:val="1"/>
              <w:rPr>
                <w:b/>
                <w:bCs/>
                <w:color w:val="auto"/>
                <w:sz w:val="24"/>
                <w:highlight w:val="none"/>
              </w:rPr>
            </w:pPr>
            <w:r>
              <w:rPr>
                <w:rFonts w:hint="eastAsia"/>
                <w:b/>
                <w:bCs/>
                <w:color w:val="auto"/>
                <w:sz w:val="24"/>
                <w:highlight w:val="none"/>
              </w:rPr>
              <w:t>1、结论</w:t>
            </w:r>
          </w:p>
          <w:p w14:paraId="37B391F5">
            <w:pPr>
              <w:spacing w:line="360" w:lineRule="auto"/>
              <w:ind w:firstLine="480"/>
              <w:rPr>
                <w:color w:val="auto"/>
                <w:sz w:val="24"/>
                <w:highlight w:val="none"/>
              </w:rPr>
            </w:pPr>
            <w:r>
              <w:rPr>
                <w:rFonts w:hint="eastAsia"/>
                <w:color w:val="auto"/>
                <w:sz w:val="24"/>
                <w:highlight w:val="none"/>
              </w:rPr>
              <w:t>长春新区民康康复医院建设项目符合产业政策要求，项目符合“三线一单”要求，只要项目在实施过程中，切实落实本报告提出的施工期及运营期各项污染防治措施，确保环境保护措施与主体工程同时设计、同时施工、同时投运，生产过程中产生的废气和噪声均能达标排放，固体废物</w:t>
            </w:r>
            <w:r>
              <w:rPr>
                <w:rFonts w:hint="eastAsia"/>
                <w:color w:val="auto"/>
                <w:sz w:val="24"/>
                <w:highlight w:val="none"/>
                <w:lang w:eastAsia="zh-CN"/>
              </w:rPr>
              <w:t>得到</w:t>
            </w:r>
            <w:r>
              <w:rPr>
                <w:rFonts w:hint="eastAsia"/>
                <w:color w:val="auto"/>
                <w:sz w:val="24"/>
                <w:highlight w:val="none"/>
              </w:rPr>
              <w:t>有效处理/处置，对环境的影响可接受，从环境保护角度分析，本项目是可行的。</w:t>
            </w:r>
          </w:p>
          <w:p w14:paraId="7EF32809">
            <w:pPr>
              <w:spacing w:line="360" w:lineRule="auto"/>
              <w:ind w:firstLine="482" w:firstLineChars="200"/>
              <w:outlineLvl w:val="1"/>
              <w:rPr>
                <w:b/>
                <w:bCs/>
                <w:color w:val="auto"/>
                <w:sz w:val="24"/>
                <w:highlight w:val="none"/>
              </w:rPr>
            </w:pPr>
            <w:r>
              <w:rPr>
                <w:rFonts w:hint="eastAsia"/>
                <w:b/>
                <w:bCs/>
                <w:color w:val="auto"/>
                <w:sz w:val="24"/>
                <w:highlight w:val="none"/>
              </w:rPr>
              <w:t>2、附图</w:t>
            </w:r>
          </w:p>
          <w:p w14:paraId="5153DEC6">
            <w:pPr>
              <w:spacing w:line="360" w:lineRule="auto"/>
              <w:ind w:firstLine="480" w:firstLineChars="200"/>
              <w:outlineLvl w:val="1"/>
              <w:rPr>
                <w:color w:val="auto"/>
                <w:sz w:val="24"/>
                <w:highlight w:val="none"/>
              </w:rPr>
            </w:pPr>
            <w:r>
              <w:rPr>
                <w:rFonts w:hint="eastAsia"/>
                <w:color w:val="auto"/>
                <w:sz w:val="24"/>
                <w:highlight w:val="none"/>
              </w:rPr>
              <w:t>附图1   建设项目地理位置示意图</w:t>
            </w:r>
          </w:p>
          <w:p w14:paraId="1996355D">
            <w:pPr>
              <w:spacing w:line="360" w:lineRule="auto"/>
              <w:ind w:firstLine="480" w:firstLineChars="200"/>
              <w:outlineLvl w:val="1"/>
              <w:rPr>
                <w:color w:val="auto"/>
                <w:sz w:val="24"/>
                <w:highlight w:val="none"/>
              </w:rPr>
            </w:pPr>
            <w:r>
              <w:rPr>
                <w:rFonts w:hint="eastAsia" w:ascii="宋体" w:hAnsi="宋体" w:cs="宋体"/>
                <w:color w:val="auto"/>
                <w:sz w:val="24"/>
                <w:highlight w:val="none"/>
                <w:lang w:bidi="ar"/>
              </w:rPr>
              <w:t>附图</w:t>
            </w:r>
            <w:r>
              <w:rPr>
                <w:rFonts w:hint="eastAsia"/>
                <w:color w:val="auto"/>
                <w:sz w:val="24"/>
                <w:highlight w:val="none"/>
                <w:lang w:bidi="ar"/>
              </w:rPr>
              <w:t>2</w:t>
            </w:r>
            <w:r>
              <w:rPr>
                <w:color w:val="auto"/>
                <w:sz w:val="24"/>
                <w:highlight w:val="none"/>
                <w:lang w:bidi="ar"/>
              </w:rPr>
              <w:t xml:space="preserve">   项</w:t>
            </w:r>
            <w:r>
              <w:rPr>
                <w:rFonts w:hint="eastAsia" w:ascii="宋体" w:hAnsi="宋体" w:cs="宋体"/>
                <w:color w:val="auto"/>
                <w:sz w:val="24"/>
                <w:highlight w:val="none"/>
                <w:lang w:bidi="ar"/>
              </w:rPr>
              <w:t>目在开发区规划中的位置示意图</w:t>
            </w:r>
          </w:p>
          <w:p w14:paraId="3289E5B0">
            <w:pPr>
              <w:spacing w:line="360" w:lineRule="auto"/>
              <w:ind w:firstLine="480" w:firstLineChars="200"/>
              <w:outlineLvl w:val="1"/>
              <w:rPr>
                <w:rFonts w:hint="eastAsia" w:ascii="宋体" w:hAnsi="宋体" w:cs="宋体"/>
                <w:color w:val="auto"/>
                <w:sz w:val="24"/>
                <w:highlight w:val="none"/>
                <w:lang w:bidi="ar"/>
              </w:rPr>
            </w:pPr>
            <w:r>
              <w:rPr>
                <w:rFonts w:hint="eastAsia"/>
                <w:color w:val="auto"/>
                <w:sz w:val="24"/>
                <w:highlight w:val="none"/>
              </w:rPr>
              <w:t>附图3</w:t>
            </w:r>
            <w:r>
              <w:rPr>
                <w:color w:val="auto"/>
                <w:sz w:val="24"/>
                <w:highlight w:val="none"/>
              </w:rPr>
              <w:t xml:space="preserve"> </w:t>
            </w:r>
            <w:r>
              <w:rPr>
                <w:rFonts w:hint="eastAsia"/>
                <w:color w:val="auto"/>
                <w:sz w:val="24"/>
                <w:highlight w:val="none"/>
              </w:rPr>
              <w:t xml:space="preserve">  建设</w:t>
            </w:r>
            <w:r>
              <w:rPr>
                <w:rFonts w:hint="eastAsia" w:ascii="宋体" w:hAnsi="宋体" w:cs="宋体"/>
                <w:color w:val="auto"/>
                <w:sz w:val="24"/>
                <w:highlight w:val="none"/>
                <w:lang w:bidi="ar"/>
              </w:rPr>
              <w:t>项目楼层平面布置图</w:t>
            </w:r>
          </w:p>
          <w:p w14:paraId="6F3D4D8D">
            <w:pPr>
              <w:autoSpaceDE w:val="0"/>
              <w:adjustRightInd w:val="0"/>
              <w:snapToGrid w:val="0"/>
              <w:spacing w:line="360" w:lineRule="auto"/>
              <w:ind w:firstLine="480" w:firstLineChars="200"/>
              <w:rPr>
                <w:color w:val="auto"/>
                <w:sz w:val="24"/>
                <w:highlight w:val="none"/>
              </w:rPr>
            </w:pPr>
            <w:r>
              <w:rPr>
                <w:rFonts w:hint="eastAsia" w:ascii="宋体" w:hAnsi="宋体" w:cs="宋体"/>
                <w:color w:val="auto"/>
                <w:sz w:val="24"/>
                <w:highlight w:val="none"/>
                <w:lang w:bidi="ar"/>
              </w:rPr>
              <w:t>附图</w:t>
            </w:r>
            <w:r>
              <w:rPr>
                <w:rFonts w:hint="eastAsia"/>
                <w:color w:val="auto"/>
                <w:sz w:val="24"/>
                <w:highlight w:val="none"/>
                <w:lang w:bidi="ar"/>
              </w:rPr>
              <w:t>4</w:t>
            </w:r>
            <w:r>
              <w:rPr>
                <w:rFonts w:hint="eastAsia" w:ascii="宋体" w:hAnsi="宋体" w:cs="宋体"/>
                <w:color w:val="auto"/>
                <w:sz w:val="24"/>
                <w:highlight w:val="none"/>
                <w:lang w:bidi="ar"/>
              </w:rPr>
              <w:t xml:space="preserve">   </w:t>
            </w:r>
            <w:r>
              <w:rPr>
                <w:color w:val="auto"/>
                <w:sz w:val="24"/>
                <w:highlight w:val="none"/>
                <w:lang w:bidi="ar"/>
              </w:rPr>
              <w:t>建设项目</w:t>
            </w:r>
            <w:r>
              <w:rPr>
                <w:rFonts w:hint="eastAsia"/>
                <w:color w:val="auto"/>
                <w:sz w:val="24"/>
                <w:highlight w:val="none"/>
                <w:lang w:bidi="ar"/>
              </w:rPr>
              <w:t>环境保护目标分布图</w:t>
            </w:r>
          </w:p>
          <w:p w14:paraId="1DD51868">
            <w:pPr>
              <w:autoSpaceDE w:val="0"/>
              <w:adjustRightInd w:val="0"/>
              <w:snapToGrid w:val="0"/>
              <w:spacing w:line="360" w:lineRule="auto"/>
              <w:ind w:firstLine="480" w:firstLineChars="200"/>
              <w:rPr>
                <w:color w:val="auto"/>
                <w:sz w:val="24"/>
                <w:highlight w:val="none"/>
                <w:lang w:bidi="ar"/>
              </w:rPr>
            </w:pPr>
            <w:r>
              <w:rPr>
                <w:color w:val="auto"/>
                <w:sz w:val="24"/>
                <w:highlight w:val="none"/>
                <w:lang w:bidi="ar"/>
              </w:rPr>
              <w:t>附图</w:t>
            </w:r>
            <w:r>
              <w:rPr>
                <w:rFonts w:hint="eastAsia"/>
                <w:color w:val="auto"/>
                <w:sz w:val="24"/>
                <w:highlight w:val="none"/>
                <w:lang w:bidi="ar"/>
              </w:rPr>
              <w:t>5</w:t>
            </w:r>
            <w:r>
              <w:rPr>
                <w:color w:val="auto"/>
                <w:sz w:val="24"/>
                <w:highlight w:val="none"/>
                <w:lang w:bidi="ar"/>
              </w:rPr>
              <w:t xml:space="preserve">   </w:t>
            </w:r>
            <w:r>
              <w:rPr>
                <w:rFonts w:hint="eastAsia" w:ascii="宋体" w:hAnsi="宋体" w:cs="宋体"/>
                <w:color w:val="auto"/>
                <w:sz w:val="24"/>
                <w:highlight w:val="none"/>
                <w:lang w:bidi="ar"/>
              </w:rPr>
              <w:t>建设项目在长春市声环境功能区划的位置图</w:t>
            </w:r>
          </w:p>
          <w:p w14:paraId="1315FCC4">
            <w:pPr>
              <w:autoSpaceDE w:val="0"/>
              <w:adjustRightInd w:val="0"/>
              <w:snapToGrid w:val="0"/>
              <w:spacing w:line="360" w:lineRule="auto"/>
              <w:ind w:firstLine="480" w:firstLineChars="200"/>
              <w:rPr>
                <w:color w:val="auto"/>
                <w:sz w:val="24"/>
                <w:highlight w:val="none"/>
              </w:rPr>
            </w:pPr>
            <w:r>
              <w:rPr>
                <w:rFonts w:hint="eastAsia" w:ascii="宋体" w:hAnsi="宋体" w:cs="宋体"/>
                <w:color w:val="auto"/>
                <w:sz w:val="24"/>
                <w:highlight w:val="none"/>
                <w:lang w:bidi="ar"/>
              </w:rPr>
              <w:t>附图</w:t>
            </w:r>
            <w:r>
              <w:rPr>
                <w:rFonts w:hint="eastAsia"/>
                <w:color w:val="auto"/>
                <w:sz w:val="24"/>
                <w:highlight w:val="none"/>
                <w:lang w:bidi="ar"/>
              </w:rPr>
              <w:t>6</w:t>
            </w:r>
            <w:r>
              <w:rPr>
                <w:color w:val="auto"/>
                <w:sz w:val="24"/>
                <w:highlight w:val="none"/>
                <w:lang w:bidi="ar"/>
              </w:rPr>
              <w:t xml:space="preserve"> </w:t>
            </w:r>
            <w:r>
              <w:rPr>
                <w:rFonts w:hint="eastAsia"/>
                <w:color w:val="auto"/>
                <w:sz w:val="24"/>
                <w:highlight w:val="none"/>
                <w:lang w:bidi="ar"/>
              </w:rPr>
              <w:t xml:space="preserve"> </w:t>
            </w:r>
            <w:r>
              <w:rPr>
                <w:color w:val="auto"/>
                <w:sz w:val="24"/>
                <w:highlight w:val="none"/>
                <w:lang w:bidi="ar"/>
              </w:rPr>
              <w:t xml:space="preserve"> </w:t>
            </w:r>
            <w:r>
              <w:rPr>
                <w:rFonts w:hint="eastAsia" w:ascii="宋体" w:hAnsi="宋体" w:cs="宋体"/>
                <w:color w:val="auto"/>
                <w:sz w:val="24"/>
                <w:highlight w:val="none"/>
                <w:lang w:bidi="ar"/>
              </w:rPr>
              <w:t>建设项目在管控单元中的位置</w:t>
            </w:r>
          </w:p>
          <w:p w14:paraId="4D8E9A68">
            <w:pPr>
              <w:autoSpaceDE w:val="0"/>
              <w:adjustRightInd w:val="0"/>
              <w:snapToGrid w:val="0"/>
              <w:spacing w:line="360" w:lineRule="auto"/>
              <w:ind w:firstLine="480" w:firstLineChars="200"/>
              <w:rPr>
                <w:color w:val="auto"/>
                <w:sz w:val="24"/>
                <w:highlight w:val="none"/>
                <w:lang w:bidi="ar"/>
              </w:rPr>
            </w:pPr>
            <w:r>
              <w:rPr>
                <w:rFonts w:hint="eastAsia" w:ascii="宋体" w:hAnsi="宋体" w:cs="宋体"/>
                <w:color w:val="auto"/>
                <w:sz w:val="24"/>
                <w:highlight w:val="none"/>
                <w:lang w:bidi="ar"/>
              </w:rPr>
              <w:t>附图</w:t>
            </w:r>
            <w:r>
              <w:rPr>
                <w:rFonts w:hint="eastAsia"/>
                <w:color w:val="auto"/>
                <w:sz w:val="24"/>
                <w:highlight w:val="none"/>
                <w:lang w:bidi="ar"/>
              </w:rPr>
              <w:t>7</w:t>
            </w:r>
            <w:r>
              <w:rPr>
                <w:color w:val="auto"/>
                <w:sz w:val="24"/>
                <w:highlight w:val="none"/>
                <w:lang w:bidi="ar"/>
              </w:rPr>
              <w:t xml:space="preserve">   </w:t>
            </w:r>
            <w:r>
              <w:rPr>
                <w:rFonts w:hint="eastAsia"/>
                <w:color w:val="auto"/>
                <w:sz w:val="24"/>
                <w:highlight w:val="none"/>
                <w:lang w:bidi="ar"/>
              </w:rPr>
              <w:t>项目周围情况示意图</w:t>
            </w:r>
          </w:p>
          <w:p w14:paraId="72C67240">
            <w:pPr>
              <w:autoSpaceDE w:val="0"/>
              <w:adjustRightInd w:val="0"/>
              <w:snapToGrid w:val="0"/>
              <w:spacing w:line="360" w:lineRule="auto"/>
              <w:ind w:firstLine="480" w:firstLineChars="200"/>
              <w:rPr>
                <w:color w:val="auto"/>
                <w:sz w:val="24"/>
                <w:highlight w:val="none"/>
              </w:rPr>
            </w:pPr>
            <w:r>
              <w:rPr>
                <w:rFonts w:hint="eastAsia"/>
                <w:color w:val="auto"/>
                <w:sz w:val="24"/>
                <w:highlight w:val="none"/>
                <w:lang w:bidi="ar"/>
              </w:rPr>
              <w:t xml:space="preserve">附图8   </w:t>
            </w:r>
            <w:r>
              <w:rPr>
                <w:rFonts w:hint="eastAsia" w:ascii="宋体" w:hAnsi="宋体" w:cs="宋体"/>
                <w:color w:val="auto"/>
                <w:sz w:val="24"/>
                <w:highlight w:val="none"/>
                <w:lang w:bidi="ar"/>
              </w:rPr>
              <w:t>建设项目现场照片</w:t>
            </w:r>
          </w:p>
          <w:p w14:paraId="421A05B9">
            <w:pPr>
              <w:autoSpaceDE w:val="0"/>
              <w:adjustRightInd w:val="0"/>
              <w:snapToGrid w:val="0"/>
              <w:spacing w:line="360" w:lineRule="auto"/>
              <w:ind w:firstLine="480" w:firstLineChars="200"/>
              <w:rPr>
                <w:color w:val="auto"/>
                <w:sz w:val="24"/>
                <w:highlight w:val="none"/>
              </w:rPr>
            </w:pPr>
            <w:r>
              <w:rPr>
                <w:color w:val="auto"/>
                <w:sz w:val="24"/>
                <w:highlight w:val="none"/>
              </w:rPr>
              <w:t>附件：</w:t>
            </w:r>
          </w:p>
          <w:p w14:paraId="7B5A6970">
            <w:pPr>
              <w:autoSpaceDE w:val="0"/>
              <w:adjustRightInd w:val="0"/>
              <w:snapToGrid w:val="0"/>
              <w:spacing w:line="360" w:lineRule="auto"/>
              <w:ind w:firstLine="480" w:firstLineChars="200"/>
              <w:rPr>
                <w:color w:val="auto"/>
                <w:sz w:val="24"/>
                <w:highlight w:val="none"/>
              </w:rPr>
            </w:pPr>
            <w:r>
              <w:rPr>
                <w:rFonts w:hint="eastAsia"/>
                <w:color w:val="auto"/>
                <w:sz w:val="24"/>
                <w:highlight w:val="none"/>
              </w:rPr>
              <w:t>附件1   规划环评审查意见</w:t>
            </w:r>
          </w:p>
          <w:p w14:paraId="568BE8B8">
            <w:pPr>
              <w:pStyle w:val="18"/>
              <w:spacing w:after="0" w:line="360" w:lineRule="auto"/>
              <w:ind w:left="0" w:leftChars="0" w:firstLine="480" w:firstLineChars="200"/>
              <w:rPr>
                <w:color w:val="auto"/>
                <w:sz w:val="24"/>
                <w:szCs w:val="32"/>
                <w:highlight w:val="none"/>
              </w:rPr>
            </w:pPr>
            <w:r>
              <w:rPr>
                <w:rFonts w:hint="eastAsia"/>
                <w:color w:val="auto"/>
                <w:sz w:val="24"/>
                <w:highlight w:val="none"/>
              </w:rPr>
              <w:t>附件2   租赁协议</w:t>
            </w:r>
          </w:p>
          <w:p w14:paraId="506BBE93">
            <w:pPr>
              <w:pStyle w:val="18"/>
              <w:spacing w:after="0" w:line="360" w:lineRule="auto"/>
              <w:ind w:left="1439" w:leftChars="228" w:hanging="960" w:hangingChars="400"/>
              <w:rPr>
                <w:color w:val="auto"/>
                <w:sz w:val="24"/>
                <w:szCs w:val="32"/>
                <w:highlight w:val="none"/>
              </w:rPr>
            </w:pPr>
            <w:r>
              <w:rPr>
                <w:color w:val="auto"/>
                <w:sz w:val="24"/>
                <w:szCs w:val="32"/>
                <w:highlight w:val="none"/>
              </w:rPr>
              <w:t xml:space="preserve">附件3 </w:t>
            </w:r>
            <w:r>
              <w:rPr>
                <w:rFonts w:hint="eastAsia"/>
                <w:color w:val="auto"/>
                <w:sz w:val="24"/>
                <w:szCs w:val="32"/>
                <w:highlight w:val="none"/>
              </w:rPr>
              <w:t xml:space="preserve">  </w:t>
            </w:r>
            <w:r>
              <w:rPr>
                <w:color w:val="auto"/>
                <w:sz w:val="24"/>
                <w:szCs w:val="32"/>
                <w:highlight w:val="none"/>
              </w:rPr>
              <w:t>长府办规〔2024〕3号长春市人民政府办公厅关于印发长春市临时改变房屋用途管理办法的通知</w:t>
            </w:r>
          </w:p>
          <w:p w14:paraId="507ADE2D">
            <w:pPr>
              <w:pStyle w:val="18"/>
              <w:spacing w:after="0" w:line="360" w:lineRule="auto"/>
              <w:ind w:left="0" w:leftChars="0"/>
              <w:rPr>
                <w:color w:val="auto"/>
                <w:sz w:val="24"/>
                <w:szCs w:val="32"/>
                <w:highlight w:val="none"/>
              </w:rPr>
            </w:pPr>
          </w:p>
          <w:p w14:paraId="14AA36D9">
            <w:pPr>
              <w:adjustRightInd w:val="0"/>
              <w:snapToGrid w:val="0"/>
              <w:spacing w:line="360" w:lineRule="auto"/>
              <w:ind w:firstLine="480" w:firstLineChars="200"/>
              <w:jc w:val="left"/>
              <w:rPr>
                <w:color w:val="auto"/>
                <w:sz w:val="24"/>
                <w:highlight w:val="none"/>
              </w:rPr>
            </w:pPr>
          </w:p>
          <w:p w14:paraId="6106D5C8">
            <w:pPr>
              <w:pStyle w:val="33"/>
              <w:rPr>
                <w:rFonts w:hint="eastAsia"/>
                <w:color w:val="auto"/>
                <w:sz w:val="24"/>
                <w:highlight w:val="none"/>
              </w:rPr>
            </w:pPr>
          </w:p>
          <w:p w14:paraId="5E444746">
            <w:pPr>
              <w:pStyle w:val="33"/>
              <w:rPr>
                <w:rFonts w:hint="eastAsia"/>
                <w:color w:val="auto"/>
                <w:sz w:val="24"/>
                <w:highlight w:val="none"/>
              </w:rPr>
            </w:pPr>
          </w:p>
          <w:p w14:paraId="7C6F3EAA">
            <w:pPr>
              <w:pStyle w:val="33"/>
              <w:ind w:firstLine="0"/>
              <w:rPr>
                <w:rFonts w:hint="eastAsia"/>
                <w:color w:val="auto"/>
                <w:sz w:val="24"/>
                <w:highlight w:val="none"/>
              </w:rPr>
            </w:pPr>
          </w:p>
        </w:tc>
      </w:tr>
    </w:tbl>
    <w:p w14:paraId="6A78647B">
      <w:pPr>
        <w:pStyle w:val="36"/>
        <w:rPr>
          <w:rFonts w:hint="default"/>
          <w:color w:val="auto"/>
          <w:highlight w:val="none"/>
        </w:rPr>
        <w:sectPr>
          <w:pgSz w:w="11906" w:h="16838"/>
          <w:pgMar w:top="1701" w:right="1531" w:bottom="1701" w:left="1531" w:header="851" w:footer="851" w:gutter="0"/>
          <w:cols w:space="720" w:num="1"/>
          <w:docGrid w:linePitch="312" w:charSpace="0"/>
        </w:sectPr>
      </w:pPr>
    </w:p>
    <w:p w14:paraId="73FB6BAA">
      <w:pPr>
        <w:pStyle w:val="24"/>
        <w:adjustRightInd w:val="0"/>
        <w:snapToGrid w:val="0"/>
        <w:spacing w:before="0" w:beforeAutospacing="0" w:after="0" w:afterAutospacing="0"/>
        <w:outlineLvl w:val="0"/>
        <w:rPr>
          <w:rFonts w:hint="eastAsia" w:ascii="黑体" w:hAnsi="黑体" w:eastAsia="黑体"/>
          <w:snapToGrid w:val="0"/>
          <w:color w:val="auto"/>
          <w:sz w:val="32"/>
          <w:szCs w:val="32"/>
          <w:highlight w:val="none"/>
        </w:rPr>
      </w:pPr>
      <w:r>
        <w:rPr>
          <w:rFonts w:hint="eastAsia" w:ascii="黑体" w:hAnsi="黑体" w:eastAsia="黑体"/>
          <w:snapToGrid w:val="0"/>
          <w:color w:val="auto"/>
          <w:sz w:val="32"/>
          <w:szCs w:val="32"/>
          <w:highlight w:val="none"/>
        </w:rPr>
        <w:t>附表</w:t>
      </w:r>
    </w:p>
    <w:p w14:paraId="0F5E4EC6">
      <w:pPr>
        <w:pStyle w:val="24"/>
        <w:adjustRightInd w:val="0"/>
        <w:snapToGrid w:val="0"/>
        <w:spacing w:before="0" w:beforeAutospacing="0" w:after="0" w:afterAutospacing="0"/>
        <w:jc w:val="center"/>
        <w:outlineLvl w:val="0"/>
        <w:rPr>
          <w:rFonts w:ascii="Times New Roman" w:hAnsi="Times New Roman" w:eastAsia="方正小标宋_GBK"/>
          <w:snapToGrid w:val="0"/>
          <w:color w:val="auto"/>
          <w:szCs w:val="24"/>
          <w:highlight w:val="none"/>
        </w:rPr>
      </w:pPr>
      <w:r>
        <w:rPr>
          <w:rFonts w:ascii="Times New Roman" w:hAnsi="Times New Roman" w:eastAsia="方正小标宋_GBK"/>
          <w:snapToGrid w:val="0"/>
          <w:color w:val="auto"/>
          <w:szCs w:val="24"/>
          <w:highlight w:val="none"/>
        </w:rPr>
        <w:t>建设项目污染物排放量汇总表</w:t>
      </w:r>
    </w:p>
    <w:tbl>
      <w:tblPr>
        <w:tblStyle w:val="2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57"/>
        <w:gridCol w:w="1637"/>
        <w:gridCol w:w="1095"/>
        <w:gridCol w:w="1620"/>
        <w:gridCol w:w="1560"/>
        <w:gridCol w:w="1500"/>
        <w:gridCol w:w="1783"/>
        <w:gridCol w:w="1673"/>
      </w:tblGrid>
      <w:tr w14:paraId="312D5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63" w:type="dxa"/>
            <w:tcBorders>
              <w:tl2br w:val="single" w:color="auto" w:sz="4" w:space="0"/>
            </w:tcBorders>
            <w:tcMar>
              <w:left w:w="28" w:type="dxa"/>
              <w:right w:w="28" w:type="dxa"/>
            </w:tcMar>
            <w:vAlign w:val="center"/>
          </w:tcPr>
          <w:p w14:paraId="3000B8B4">
            <w:pPr>
              <w:pStyle w:val="53"/>
              <w:spacing w:beforeLines="0" w:afterLines="0" w:line="240" w:lineRule="auto"/>
              <w:ind w:left="396" w:hanging="396"/>
              <w:jc w:val="right"/>
              <w:rPr>
                <w:rFonts w:ascii="Times New Roman" w:eastAsia="黑体"/>
                <w:i/>
                <w:iCs/>
                <w:snapToGrid w:val="0"/>
                <w:color w:val="auto"/>
                <w:spacing w:val="-6"/>
                <w:kern w:val="21"/>
                <w:sz w:val="24"/>
                <w:szCs w:val="24"/>
                <w:highlight w:val="none"/>
                <w:u w:val="single"/>
              </w:rPr>
            </w:pPr>
            <w:r>
              <w:rPr>
                <w:rFonts w:ascii="Times New Roman" w:eastAsia="黑体"/>
                <w:i/>
                <w:iCs/>
                <w:snapToGrid w:val="0"/>
                <w:color w:val="auto"/>
                <w:spacing w:val="-6"/>
                <w:kern w:val="21"/>
                <w:sz w:val="24"/>
                <w:szCs w:val="24"/>
                <w:highlight w:val="none"/>
                <w:u w:val="single"/>
              </w:rPr>
              <w:t>项目</w:t>
            </w:r>
          </w:p>
          <w:p w14:paraId="26BAA2C4">
            <w:pPr>
              <w:pStyle w:val="53"/>
              <w:spacing w:beforeLines="0" w:afterLines="0" w:line="240" w:lineRule="auto"/>
              <w:ind w:left="396" w:hanging="396"/>
              <w:jc w:val="left"/>
              <w:rPr>
                <w:rFonts w:ascii="Times New Roman" w:eastAsia="黑体"/>
                <w:i/>
                <w:iCs/>
                <w:snapToGrid w:val="0"/>
                <w:color w:val="auto"/>
                <w:spacing w:val="-6"/>
                <w:kern w:val="21"/>
                <w:sz w:val="24"/>
                <w:szCs w:val="24"/>
                <w:highlight w:val="none"/>
                <w:u w:val="single"/>
              </w:rPr>
            </w:pPr>
            <w:r>
              <w:rPr>
                <w:rFonts w:ascii="Times New Roman" w:eastAsia="黑体"/>
                <w:i/>
                <w:iCs/>
                <w:snapToGrid w:val="0"/>
                <w:color w:val="auto"/>
                <w:spacing w:val="-6"/>
                <w:kern w:val="21"/>
                <w:sz w:val="24"/>
                <w:szCs w:val="24"/>
                <w:highlight w:val="none"/>
                <w:u w:val="single"/>
              </w:rPr>
              <w:t>分类</w:t>
            </w:r>
          </w:p>
        </w:tc>
        <w:tc>
          <w:tcPr>
            <w:tcW w:w="1657" w:type="dxa"/>
            <w:tcMar>
              <w:left w:w="28" w:type="dxa"/>
              <w:right w:w="28" w:type="dxa"/>
            </w:tcMar>
            <w:vAlign w:val="center"/>
          </w:tcPr>
          <w:p w14:paraId="6102F6B8">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污染物名称</w:t>
            </w:r>
          </w:p>
        </w:tc>
        <w:tc>
          <w:tcPr>
            <w:tcW w:w="1637" w:type="dxa"/>
            <w:tcMar>
              <w:left w:w="28" w:type="dxa"/>
              <w:right w:w="28" w:type="dxa"/>
            </w:tcMar>
            <w:vAlign w:val="center"/>
          </w:tcPr>
          <w:p w14:paraId="49BFCF8E">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现有工程</w:t>
            </w:r>
          </w:p>
          <w:p w14:paraId="5E8A44D7">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排放量（固体废物产生量）</w:t>
            </w:r>
            <w:r>
              <w:rPr>
                <w:rFonts w:ascii="Times New Roman" w:eastAsia="黑体"/>
                <w:i/>
                <w:iCs/>
                <w:snapToGrid w:val="0"/>
                <w:color w:val="auto"/>
                <w:spacing w:val="-6"/>
                <w:kern w:val="21"/>
                <w:szCs w:val="21"/>
                <w:highlight w:val="none"/>
                <w:u w:val="single"/>
              </w:rPr>
              <w:fldChar w:fldCharType="begin"/>
            </w:r>
            <w:r>
              <w:rPr>
                <w:rFonts w:ascii="Times New Roman" w:eastAsia="黑体"/>
                <w:i/>
                <w:iCs/>
                <w:snapToGrid w:val="0"/>
                <w:color w:val="auto"/>
                <w:spacing w:val="-6"/>
                <w:kern w:val="21"/>
                <w:szCs w:val="21"/>
                <w:highlight w:val="none"/>
                <w:u w:val="single"/>
              </w:rPr>
              <w:instrText xml:space="preserve"> = 1 \* GB3 \* MERGEFORMAT </w:instrText>
            </w:r>
            <w:r>
              <w:rPr>
                <w:rFonts w:ascii="Times New Roman" w:eastAsia="黑体"/>
                <w:i/>
                <w:iCs/>
                <w:snapToGrid w:val="0"/>
                <w:color w:val="auto"/>
                <w:spacing w:val="-6"/>
                <w:kern w:val="21"/>
                <w:szCs w:val="21"/>
                <w:highlight w:val="none"/>
                <w:u w:val="single"/>
              </w:rPr>
              <w:fldChar w:fldCharType="separate"/>
            </w:r>
            <w:r>
              <w:rPr>
                <w:rFonts w:hint="eastAsia" w:ascii="Times New Roman" w:eastAsia="黑体"/>
                <w:i/>
                <w:iCs/>
                <w:snapToGrid w:val="0"/>
                <w:color w:val="auto"/>
                <w:spacing w:val="-6"/>
                <w:kern w:val="21"/>
                <w:szCs w:val="21"/>
                <w:highlight w:val="none"/>
                <w:u w:val="single"/>
              </w:rPr>
              <w:t>①</w:t>
            </w:r>
            <w:r>
              <w:rPr>
                <w:rFonts w:ascii="Times New Roman" w:eastAsia="黑体"/>
                <w:i/>
                <w:iCs/>
                <w:snapToGrid w:val="0"/>
                <w:color w:val="auto"/>
                <w:spacing w:val="-6"/>
                <w:kern w:val="21"/>
                <w:szCs w:val="21"/>
                <w:highlight w:val="none"/>
                <w:u w:val="single"/>
              </w:rPr>
              <w:fldChar w:fldCharType="end"/>
            </w:r>
          </w:p>
        </w:tc>
        <w:tc>
          <w:tcPr>
            <w:tcW w:w="1095" w:type="dxa"/>
            <w:tcMar>
              <w:left w:w="28" w:type="dxa"/>
              <w:right w:w="28" w:type="dxa"/>
            </w:tcMar>
            <w:vAlign w:val="center"/>
          </w:tcPr>
          <w:p w14:paraId="797FC62B">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现有工程</w:t>
            </w:r>
          </w:p>
          <w:p w14:paraId="35E24633">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许可排放量</w:t>
            </w:r>
          </w:p>
          <w:p w14:paraId="44ABDFA1">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fldChar w:fldCharType="begin"/>
            </w:r>
            <w:r>
              <w:rPr>
                <w:rFonts w:ascii="Times New Roman" w:eastAsia="黑体"/>
                <w:i/>
                <w:iCs/>
                <w:snapToGrid w:val="0"/>
                <w:color w:val="auto"/>
                <w:spacing w:val="-6"/>
                <w:kern w:val="21"/>
                <w:szCs w:val="21"/>
                <w:highlight w:val="none"/>
                <w:u w:val="single"/>
              </w:rPr>
              <w:instrText xml:space="preserve"> = 2 \* GB3 \* MERGEFORMAT </w:instrText>
            </w:r>
            <w:r>
              <w:rPr>
                <w:rFonts w:ascii="Times New Roman" w:eastAsia="黑体"/>
                <w:i/>
                <w:iCs/>
                <w:snapToGrid w:val="0"/>
                <w:color w:val="auto"/>
                <w:spacing w:val="-6"/>
                <w:kern w:val="21"/>
                <w:szCs w:val="21"/>
                <w:highlight w:val="none"/>
                <w:u w:val="single"/>
              </w:rPr>
              <w:fldChar w:fldCharType="separate"/>
            </w:r>
            <w:r>
              <w:rPr>
                <w:rFonts w:hint="eastAsia" w:ascii="Times New Roman" w:eastAsia="黑体"/>
                <w:i/>
                <w:iCs/>
                <w:snapToGrid w:val="0"/>
                <w:color w:val="auto"/>
                <w:spacing w:val="-6"/>
                <w:kern w:val="21"/>
                <w:szCs w:val="21"/>
                <w:highlight w:val="none"/>
                <w:u w:val="single"/>
              </w:rPr>
              <w:t>②</w:t>
            </w:r>
            <w:r>
              <w:rPr>
                <w:rFonts w:ascii="Times New Roman" w:eastAsia="黑体"/>
                <w:i/>
                <w:iCs/>
                <w:snapToGrid w:val="0"/>
                <w:color w:val="auto"/>
                <w:spacing w:val="-6"/>
                <w:kern w:val="21"/>
                <w:szCs w:val="21"/>
                <w:highlight w:val="none"/>
                <w:u w:val="single"/>
              </w:rPr>
              <w:fldChar w:fldCharType="end"/>
            </w:r>
          </w:p>
        </w:tc>
        <w:tc>
          <w:tcPr>
            <w:tcW w:w="1620" w:type="dxa"/>
            <w:tcMar>
              <w:left w:w="28" w:type="dxa"/>
              <w:right w:w="28" w:type="dxa"/>
            </w:tcMar>
            <w:vAlign w:val="center"/>
          </w:tcPr>
          <w:p w14:paraId="10AEF9CF">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在建工程</w:t>
            </w:r>
          </w:p>
          <w:p w14:paraId="23B23745">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排放量（固体废物产生量）</w:t>
            </w:r>
            <w:r>
              <w:rPr>
                <w:rFonts w:ascii="Times New Roman" w:eastAsia="黑体"/>
                <w:i/>
                <w:iCs/>
                <w:snapToGrid w:val="0"/>
                <w:color w:val="auto"/>
                <w:spacing w:val="-6"/>
                <w:kern w:val="21"/>
                <w:szCs w:val="21"/>
                <w:highlight w:val="none"/>
                <w:u w:val="single"/>
              </w:rPr>
              <w:fldChar w:fldCharType="begin"/>
            </w:r>
            <w:r>
              <w:rPr>
                <w:rFonts w:ascii="Times New Roman" w:eastAsia="黑体"/>
                <w:i/>
                <w:iCs/>
                <w:snapToGrid w:val="0"/>
                <w:color w:val="auto"/>
                <w:spacing w:val="-6"/>
                <w:kern w:val="21"/>
                <w:szCs w:val="21"/>
                <w:highlight w:val="none"/>
                <w:u w:val="single"/>
              </w:rPr>
              <w:instrText xml:space="preserve"> = 3 \* GB3 \* MERGEFORMAT </w:instrText>
            </w:r>
            <w:r>
              <w:rPr>
                <w:rFonts w:ascii="Times New Roman" w:eastAsia="黑体"/>
                <w:i/>
                <w:iCs/>
                <w:snapToGrid w:val="0"/>
                <w:color w:val="auto"/>
                <w:spacing w:val="-6"/>
                <w:kern w:val="21"/>
                <w:szCs w:val="21"/>
                <w:highlight w:val="none"/>
                <w:u w:val="single"/>
              </w:rPr>
              <w:fldChar w:fldCharType="separate"/>
            </w:r>
            <w:r>
              <w:rPr>
                <w:rFonts w:hint="eastAsia" w:ascii="Times New Roman" w:eastAsia="黑体"/>
                <w:i/>
                <w:iCs/>
                <w:snapToGrid w:val="0"/>
                <w:color w:val="auto"/>
                <w:spacing w:val="-6"/>
                <w:kern w:val="21"/>
                <w:szCs w:val="21"/>
                <w:highlight w:val="none"/>
                <w:u w:val="single"/>
              </w:rPr>
              <w:t>③</w:t>
            </w:r>
            <w:r>
              <w:rPr>
                <w:rFonts w:ascii="Times New Roman" w:eastAsia="黑体"/>
                <w:i/>
                <w:iCs/>
                <w:snapToGrid w:val="0"/>
                <w:color w:val="auto"/>
                <w:spacing w:val="-6"/>
                <w:kern w:val="21"/>
                <w:szCs w:val="21"/>
                <w:highlight w:val="none"/>
                <w:u w:val="single"/>
              </w:rPr>
              <w:fldChar w:fldCharType="end"/>
            </w:r>
          </w:p>
        </w:tc>
        <w:tc>
          <w:tcPr>
            <w:tcW w:w="1560" w:type="dxa"/>
            <w:tcMar>
              <w:left w:w="28" w:type="dxa"/>
              <w:right w:w="28" w:type="dxa"/>
            </w:tcMar>
            <w:vAlign w:val="center"/>
          </w:tcPr>
          <w:p w14:paraId="06FF06F8">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本项目</w:t>
            </w:r>
          </w:p>
          <w:p w14:paraId="00BB14B7">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排放量（固体废物产生量）</w:t>
            </w:r>
            <w:r>
              <w:rPr>
                <w:rFonts w:ascii="Times New Roman" w:eastAsia="黑体"/>
                <w:i/>
                <w:iCs/>
                <w:snapToGrid w:val="0"/>
                <w:color w:val="auto"/>
                <w:spacing w:val="-6"/>
                <w:kern w:val="21"/>
                <w:szCs w:val="21"/>
                <w:highlight w:val="none"/>
                <w:u w:val="single"/>
              </w:rPr>
              <w:fldChar w:fldCharType="begin"/>
            </w:r>
            <w:r>
              <w:rPr>
                <w:rFonts w:ascii="Times New Roman" w:eastAsia="黑体"/>
                <w:i/>
                <w:iCs/>
                <w:snapToGrid w:val="0"/>
                <w:color w:val="auto"/>
                <w:spacing w:val="-6"/>
                <w:kern w:val="21"/>
                <w:szCs w:val="21"/>
                <w:highlight w:val="none"/>
                <w:u w:val="single"/>
              </w:rPr>
              <w:instrText xml:space="preserve"> = 4 \* GB3 \* MERGEFORMAT </w:instrText>
            </w:r>
            <w:r>
              <w:rPr>
                <w:rFonts w:ascii="Times New Roman" w:eastAsia="黑体"/>
                <w:i/>
                <w:iCs/>
                <w:snapToGrid w:val="0"/>
                <w:color w:val="auto"/>
                <w:spacing w:val="-6"/>
                <w:kern w:val="21"/>
                <w:szCs w:val="21"/>
                <w:highlight w:val="none"/>
                <w:u w:val="single"/>
              </w:rPr>
              <w:fldChar w:fldCharType="separate"/>
            </w:r>
            <w:r>
              <w:rPr>
                <w:rFonts w:hint="eastAsia" w:ascii="Times New Roman" w:eastAsia="黑体"/>
                <w:i/>
                <w:iCs/>
                <w:snapToGrid w:val="0"/>
                <w:color w:val="auto"/>
                <w:spacing w:val="-6"/>
                <w:kern w:val="21"/>
                <w:szCs w:val="21"/>
                <w:highlight w:val="none"/>
                <w:u w:val="single"/>
              </w:rPr>
              <w:t>④</w:t>
            </w:r>
            <w:r>
              <w:rPr>
                <w:rFonts w:ascii="Times New Roman" w:eastAsia="黑体"/>
                <w:i/>
                <w:iCs/>
                <w:snapToGrid w:val="0"/>
                <w:color w:val="auto"/>
                <w:spacing w:val="-6"/>
                <w:kern w:val="21"/>
                <w:szCs w:val="21"/>
                <w:highlight w:val="none"/>
                <w:u w:val="single"/>
              </w:rPr>
              <w:fldChar w:fldCharType="end"/>
            </w:r>
          </w:p>
        </w:tc>
        <w:tc>
          <w:tcPr>
            <w:tcW w:w="1500" w:type="dxa"/>
            <w:tcMar>
              <w:left w:w="28" w:type="dxa"/>
              <w:right w:w="28" w:type="dxa"/>
            </w:tcMar>
            <w:vAlign w:val="center"/>
          </w:tcPr>
          <w:p w14:paraId="241661EF">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以新带老削减量</w:t>
            </w:r>
          </w:p>
          <w:p w14:paraId="09B7E32C">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（新建项目不填）</w:t>
            </w:r>
            <w:r>
              <w:rPr>
                <w:rFonts w:ascii="Times New Roman" w:eastAsia="黑体"/>
                <w:i/>
                <w:iCs/>
                <w:snapToGrid w:val="0"/>
                <w:color w:val="auto"/>
                <w:spacing w:val="-6"/>
                <w:kern w:val="21"/>
                <w:szCs w:val="21"/>
                <w:highlight w:val="none"/>
                <w:u w:val="single"/>
              </w:rPr>
              <w:fldChar w:fldCharType="begin"/>
            </w:r>
            <w:r>
              <w:rPr>
                <w:rFonts w:ascii="Times New Roman" w:eastAsia="黑体"/>
                <w:i/>
                <w:iCs/>
                <w:snapToGrid w:val="0"/>
                <w:color w:val="auto"/>
                <w:spacing w:val="-6"/>
                <w:kern w:val="21"/>
                <w:szCs w:val="21"/>
                <w:highlight w:val="none"/>
                <w:u w:val="single"/>
              </w:rPr>
              <w:instrText xml:space="preserve"> = 5 \* GB3 \* MERGEFORMAT </w:instrText>
            </w:r>
            <w:r>
              <w:rPr>
                <w:rFonts w:ascii="Times New Roman" w:eastAsia="黑体"/>
                <w:i/>
                <w:iCs/>
                <w:snapToGrid w:val="0"/>
                <w:color w:val="auto"/>
                <w:spacing w:val="-6"/>
                <w:kern w:val="21"/>
                <w:szCs w:val="21"/>
                <w:highlight w:val="none"/>
                <w:u w:val="single"/>
              </w:rPr>
              <w:fldChar w:fldCharType="separate"/>
            </w:r>
            <w:r>
              <w:rPr>
                <w:rFonts w:hint="eastAsia" w:ascii="Times New Roman" w:eastAsia="黑体"/>
                <w:i/>
                <w:iCs/>
                <w:snapToGrid w:val="0"/>
                <w:color w:val="auto"/>
                <w:spacing w:val="-6"/>
                <w:kern w:val="21"/>
                <w:szCs w:val="21"/>
                <w:highlight w:val="none"/>
                <w:u w:val="single"/>
              </w:rPr>
              <w:t>⑤</w:t>
            </w:r>
            <w:r>
              <w:rPr>
                <w:rFonts w:ascii="Times New Roman" w:eastAsia="黑体"/>
                <w:i/>
                <w:iCs/>
                <w:snapToGrid w:val="0"/>
                <w:color w:val="auto"/>
                <w:spacing w:val="-6"/>
                <w:kern w:val="21"/>
                <w:szCs w:val="21"/>
                <w:highlight w:val="none"/>
                <w:u w:val="single"/>
              </w:rPr>
              <w:fldChar w:fldCharType="end"/>
            </w:r>
          </w:p>
        </w:tc>
        <w:tc>
          <w:tcPr>
            <w:tcW w:w="1783" w:type="dxa"/>
            <w:tcMar>
              <w:left w:w="28" w:type="dxa"/>
              <w:right w:w="28" w:type="dxa"/>
            </w:tcMar>
            <w:vAlign w:val="center"/>
          </w:tcPr>
          <w:p w14:paraId="6E92C9B0">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本项目建成后</w:t>
            </w:r>
          </w:p>
          <w:p w14:paraId="10505E10">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全厂排放量（固体废物产生量）</w:t>
            </w:r>
            <w:r>
              <w:rPr>
                <w:rFonts w:ascii="Times New Roman" w:eastAsia="黑体"/>
                <w:i/>
                <w:iCs/>
                <w:snapToGrid w:val="0"/>
                <w:color w:val="auto"/>
                <w:spacing w:val="-6"/>
                <w:kern w:val="21"/>
                <w:szCs w:val="21"/>
                <w:highlight w:val="none"/>
                <w:u w:val="single"/>
              </w:rPr>
              <w:fldChar w:fldCharType="begin"/>
            </w:r>
            <w:r>
              <w:rPr>
                <w:rFonts w:ascii="Times New Roman" w:eastAsia="黑体"/>
                <w:i/>
                <w:iCs/>
                <w:snapToGrid w:val="0"/>
                <w:color w:val="auto"/>
                <w:spacing w:val="-6"/>
                <w:kern w:val="21"/>
                <w:szCs w:val="21"/>
                <w:highlight w:val="none"/>
                <w:u w:val="single"/>
              </w:rPr>
              <w:instrText xml:space="preserve"> = 6 \* GB3 \* MERGEFORMAT </w:instrText>
            </w:r>
            <w:r>
              <w:rPr>
                <w:rFonts w:ascii="Times New Roman" w:eastAsia="黑体"/>
                <w:i/>
                <w:iCs/>
                <w:snapToGrid w:val="0"/>
                <w:color w:val="auto"/>
                <w:spacing w:val="-6"/>
                <w:kern w:val="21"/>
                <w:szCs w:val="21"/>
                <w:highlight w:val="none"/>
                <w:u w:val="single"/>
              </w:rPr>
              <w:fldChar w:fldCharType="separate"/>
            </w:r>
            <w:r>
              <w:rPr>
                <w:rFonts w:hint="eastAsia" w:ascii="Times New Roman" w:eastAsia="黑体"/>
                <w:i/>
                <w:iCs/>
                <w:snapToGrid w:val="0"/>
                <w:color w:val="auto"/>
                <w:spacing w:val="-6"/>
                <w:kern w:val="21"/>
                <w:szCs w:val="21"/>
                <w:highlight w:val="none"/>
                <w:u w:val="single"/>
              </w:rPr>
              <w:t>⑥</w:t>
            </w:r>
            <w:r>
              <w:rPr>
                <w:rFonts w:ascii="Times New Roman" w:eastAsia="黑体"/>
                <w:i/>
                <w:iCs/>
                <w:snapToGrid w:val="0"/>
                <w:color w:val="auto"/>
                <w:spacing w:val="-6"/>
                <w:kern w:val="21"/>
                <w:szCs w:val="21"/>
                <w:highlight w:val="none"/>
                <w:u w:val="single"/>
              </w:rPr>
              <w:fldChar w:fldCharType="end"/>
            </w:r>
          </w:p>
        </w:tc>
        <w:tc>
          <w:tcPr>
            <w:tcW w:w="1673" w:type="dxa"/>
            <w:tcMar>
              <w:left w:w="28" w:type="dxa"/>
              <w:right w:w="28" w:type="dxa"/>
            </w:tcMar>
            <w:vAlign w:val="center"/>
          </w:tcPr>
          <w:p w14:paraId="76354415">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t>变化量</w:t>
            </w:r>
          </w:p>
          <w:p w14:paraId="7481C346">
            <w:pPr>
              <w:pStyle w:val="53"/>
              <w:spacing w:beforeLines="0" w:afterLines="0" w:line="240" w:lineRule="auto"/>
              <w:ind w:left="396" w:hanging="396"/>
              <w:rPr>
                <w:rFonts w:ascii="Times New Roman" w:eastAsia="黑体"/>
                <w:i/>
                <w:iCs/>
                <w:snapToGrid w:val="0"/>
                <w:color w:val="auto"/>
                <w:spacing w:val="-6"/>
                <w:kern w:val="21"/>
                <w:szCs w:val="21"/>
                <w:highlight w:val="none"/>
                <w:u w:val="single"/>
              </w:rPr>
            </w:pPr>
            <w:r>
              <w:rPr>
                <w:rFonts w:ascii="Times New Roman" w:eastAsia="黑体"/>
                <w:i/>
                <w:iCs/>
                <w:snapToGrid w:val="0"/>
                <w:color w:val="auto"/>
                <w:spacing w:val="-6"/>
                <w:kern w:val="21"/>
                <w:szCs w:val="21"/>
                <w:highlight w:val="none"/>
                <w:u w:val="single"/>
              </w:rPr>
              <w:fldChar w:fldCharType="begin"/>
            </w:r>
            <w:r>
              <w:rPr>
                <w:rFonts w:ascii="Times New Roman" w:eastAsia="黑体"/>
                <w:i/>
                <w:iCs/>
                <w:snapToGrid w:val="0"/>
                <w:color w:val="auto"/>
                <w:spacing w:val="-6"/>
                <w:kern w:val="21"/>
                <w:szCs w:val="21"/>
                <w:highlight w:val="none"/>
                <w:u w:val="single"/>
              </w:rPr>
              <w:instrText xml:space="preserve"> = 7 \* GB3 \* MERGEFORMAT </w:instrText>
            </w:r>
            <w:r>
              <w:rPr>
                <w:rFonts w:ascii="Times New Roman" w:eastAsia="黑体"/>
                <w:i/>
                <w:iCs/>
                <w:snapToGrid w:val="0"/>
                <w:color w:val="auto"/>
                <w:spacing w:val="-6"/>
                <w:kern w:val="21"/>
                <w:szCs w:val="21"/>
                <w:highlight w:val="none"/>
                <w:u w:val="single"/>
              </w:rPr>
              <w:fldChar w:fldCharType="separate"/>
            </w:r>
            <w:r>
              <w:rPr>
                <w:rFonts w:hint="eastAsia" w:ascii="Times New Roman" w:eastAsia="黑体"/>
                <w:i/>
                <w:iCs/>
                <w:snapToGrid w:val="0"/>
                <w:color w:val="auto"/>
                <w:spacing w:val="-6"/>
                <w:kern w:val="21"/>
                <w:szCs w:val="21"/>
                <w:highlight w:val="none"/>
                <w:u w:val="single"/>
              </w:rPr>
              <w:t>⑦</w:t>
            </w:r>
            <w:r>
              <w:rPr>
                <w:rFonts w:ascii="Times New Roman" w:eastAsia="黑体"/>
                <w:i/>
                <w:iCs/>
                <w:snapToGrid w:val="0"/>
                <w:color w:val="auto"/>
                <w:spacing w:val="-6"/>
                <w:kern w:val="21"/>
                <w:szCs w:val="21"/>
                <w:highlight w:val="none"/>
                <w:u w:val="single"/>
              </w:rPr>
              <w:fldChar w:fldCharType="end"/>
            </w:r>
          </w:p>
        </w:tc>
      </w:tr>
      <w:tr w14:paraId="5FEBD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restart"/>
            <w:vAlign w:val="center"/>
          </w:tcPr>
          <w:p w14:paraId="33C114D7">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r>
              <w:rPr>
                <w:rFonts w:hint="eastAsia" w:hAnsi="宋体" w:eastAsia="宋体" w:cs="宋体"/>
                <w:i/>
                <w:iCs/>
                <w:snapToGrid w:val="0"/>
                <w:color w:val="auto"/>
                <w:kern w:val="21"/>
                <w:sz w:val="24"/>
                <w:szCs w:val="24"/>
                <w:highlight w:val="none"/>
                <w:u w:val="single"/>
              </w:rPr>
              <w:t>废气</w:t>
            </w:r>
          </w:p>
        </w:tc>
        <w:tc>
          <w:tcPr>
            <w:tcW w:w="1657" w:type="dxa"/>
            <w:vAlign w:val="center"/>
          </w:tcPr>
          <w:p w14:paraId="11494B62">
            <w:pPr>
              <w:pStyle w:val="53"/>
              <w:spacing w:beforeLines="0" w:afterLines="0" w:line="240" w:lineRule="auto"/>
              <w:ind w:left="420" w:hanging="420"/>
              <w:rPr>
                <w:rFonts w:ascii="Times New Roman" w:eastAsia="宋体"/>
                <w:i/>
                <w:iCs/>
                <w:color w:val="auto"/>
                <w:sz w:val="24"/>
                <w:szCs w:val="24"/>
                <w:highlight w:val="none"/>
                <w:u w:val="single"/>
              </w:rPr>
            </w:pPr>
            <w:r>
              <w:rPr>
                <w:rFonts w:hint="eastAsia" w:ascii="Times New Roman" w:eastAsia="宋体"/>
                <w:i/>
                <w:iCs/>
                <w:color w:val="auto"/>
                <w:sz w:val="24"/>
                <w:szCs w:val="24"/>
                <w:highlight w:val="none"/>
                <w:u w:val="single"/>
              </w:rPr>
              <w:t>NH</w:t>
            </w:r>
            <w:r>
              <w:rPr>
                <w:rFonts w:hint="eastAsia" w:ascii="Times New Roman" w:eastAsia="宋体"/>
                <w:i/>
                <w:iCs/>
                <w:color w:val="auto"/>
                <w:sz w:val="24"/>
                <w:szCs w:val="24"/>
                <w:highlight w:val="none"/>
                <w:u w:val="single"/>
                <w:vertAlign w:val="subscript"/>
              </w:rPr>
              <w:t>3</w:t>
            </w:r>
          </w:p>
        </w:tc>
        <w:tc>
          <w:tcPr>
            <w:tcW w:w="1637" w:type="dxa"/>
            <w:vAlign w:val="center"/>
          </w:tcPr>
          <w:p w14:paraId="43DDA8D2">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color w:val="auto"/>
                <w:sz w:val="24"/>
                <w:szCs w:val="24"/>
                <w:highlight w:val="none"/>
                <w:u w:val="single"/>
              </w:rPr>
              <w:t>0</w:t>
            </w:r>
          </w:p>
        </w:tc>
        <w:tc>
          <w:tcPr>
            <w:tcW w:w="1095" w:type="dxa"/>
            <w:vAlign w:val="center"/>
          </w:tcPr>
          <w:p w14:paraId="29A25F4D">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552ECCBC">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7F71383C">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eastAsia="宋体"/>
                <w:bCs w:val="0"/>
                <w:i/>
                <w:iCs/>
                <w:color w:val="auto"/>
                <w:spacing w:val="-2"/>
                <w:sz w:val="24"/>
                <w:szCs w:val="24"/>
                <w:highlight w:val="none"/>
                <w:u w:val="single"/>
              </w:rPr>
              <w:t>0.534kg</w:t>
            </w:r>
            <w:r>
              <w:rPr>
                <w:rFonts w:ascii="Times New Roman" w:eastAsia="宋体"/>
                <w:bCs w:val="0"/>
                <w:i/>
                <w:iCs/>
                <w:color w:val="auto"/>
                <w:spacing w:val="-2"/>
                <w:sz w:val="24"/>
                <w:szCs w:val="24"/>
                <w:highlight w:val="none"/>
                <w:u w:val="single"/>
              </w:rPr>
              <w:t>/</w:t>
            </w:r>
            <w:r>
              <w:rPr>
                <w:rFonts w:hint="eastAsia" w:ascii="Times New Roman" w:eastAsia="宋体"/>
                <w:bCs w:val="0"/>
                <w:i/>
                <w:iCs/>
                <w:color w:val="auto"/>
                <w:spacing w:val="-2"/>
                <w:sz w:val="24"/>
                <w:szCs w:val="24"/>
                <w:highlight w:val="none"/>
                <w:u w:val="single"/>
              </w:rPr>
              <w:t>a</w:t>
            </w:r>
          </w:p>
        </w:tc>
        <w:tc>
          <w:tcPr>
            <w:tcW w:w="1500" w:type="dxa"/>
            <w:vAlign w:val="center"/>
          </w:tcPr>
          <w:p w14:paraId="3587643D">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shd w:val="clear" w:color="auto" w:fill="auto"/>
            <w:vAlign w:val="center"/>
          </w:tcPr>
          <w:p w14:paraId="261D372D">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eastAsia="宋体"/>
                <w:bCs w:val="0"/>
                <w:i/>
                <w:iCs/>
                <w:color w:val="auto"/>
                <w:spacing w:val="-2"/>
                <w:sz w:val="24"/>
                <w:szCs w:val="24"/>
                <w:highlight w:val="none"/>
                <w:u w:val="single"/>
              </w:rPr>
              <w:t>0.534kg</w:t>
            </w:r>
            <w:r>
              <w:rPr>
                <w:rFonts w:ascii="Times New Roman" w:eastAsia="宋体"/>
                <w:bCs w:val="0"/>
                <w:i/>
                <w:iCs/>
                <w:color w:val="auto"/>
                <w:spacing w:val="-2"/>
                <w:sz w:val="24"/>
                <w:szCs w:val="24"/>
                <w:highlight w:val="none"/>
                <w:u w:val="single"/>
              </w:rPr>
              <w:t>/</w:t>
            </w:r>
            <w:r>
              <w:rPr>
                <w:rFonts w:hint="eastAsia" w:ascii="Times New Roman" w:eastAsia="宋体"/>
                <w:bCs w:val="0"/>
                <w:i/>
                <w:iCs/>
                <w:color w:val="auto"/>
                <w:spacing w:val="-2"/>
                <w:sz w:val="24"/>
                <w:szCs w:val="24"/>
                <w:highlight w:val="none"/>
                <w:u w:val="single"/>
              </w:rPr>
              <w:t>a</w:t>
            </w:r>
          </w:p>
        </w:tc>
        <w:tc>
          <w:tcPr>
            <w:tcW w:w="1673" w:type="dxa"/>
            <w:vAlign w:val="center"/>
          </w:tcPr>
          <w:p w14:paraId="49DA89F8">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w:t>
            </w:r>
            <w:r>
              <w:rPr>
                <w:rFonts w:hint="eastAsia" w:ascii="Times New Roman" w:eastAsia="宋体"/>
                <w:bCs w:val="0"/>
                <w:i/>
                <w:iCs/>
                <w:color w:val="auto"/>
                <w:spacing w:val="-2"/>
                <w:sz w:val="24"/>
                <w:szCs w:val="24"/>
                <w:highlight w:val="none"/>
                <w:u w:val="single"/>
              </w:rPr>
              <w:t>0.534kg</w:t>
            </w:r>
            <w:r>
              <w:rPr>
                <w:rFonts w:ascii="Times New Roman" w:eastAsia="宋体"/>
                <w:bCs w:val="0"/>
                <w:i/>
                <w:iCs/>
                <w:color w:val="auto"/>
                <w:spacing w:val="-2"/>
                <w:sz w:val="24"/>
                <w:szCs w:val="24"/>
                <w:highlight w:val="none"/>
                <w:u w:val="single"/>
              </w:rPr>
              <w:t>/</w:t>
            </w:r>
            <w:r>
              <w:rPr>
                <w:rFonts w:hint="eastAsia" w:ascii="Times New Roman" w:eastAsia="宋体"/>
                <w:bCs w:val="0"/>
                <w:i/>
                <w:iCs/>
                <w:color w:val="auto"/>
                <w:spacing w:val="-2"/>
                <w:sz w:val="24"/>
                <w:szCs w:val="24"/>
                <w:highlight w:val="none"/>
                <w:u w:val="single"/>
              </w:rPr>
              <w:t>a</w:t>
            </w:r>
          </w:p>
        </w:tc>
      </w:tr>
      <w:tr w14:paraId="665F2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14:paraId="7617AD02">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0555129A">
            <w:pPr>
              <w:jc w:val="center"/>
              <w:rPr>
                <w:i/>
                <w:iCs/>
                <w:snapToGrid w:val="0"/>
                <w:color w:val="auto"/>
                <w:kern w:val="21"/>
                <w:sz w:val="24"/>
                <w:highlight w:val="none"/>
                <w:u w:val="single"/>
              </w:rPr>
            </w:pPr>
            <w:r>
              <w:rPr>
                <w:i/>
                <w:iCs/>
                <w:color w:val="auto"/>
                <w:spacing w:val="-2"/>
                <w:sz w:val="24"/>
                <w:highlight w:val="none"/>
                <w:u w:val="single"/>
              </w:rPr>
              <w:t>H</w:t>
            </w:r>
            <w:r>
              <w:rPr>
                <w:i/>
                <w:iCs/>
                <w:color w:val="auto"/>
                <w:spacing w:val="-2"/>
                <w:sz w:val="24"/>
                <w:highlight w:val="none"/>
                <w:u w:val="single"/>
                <w:vertAlign w:val="subscript"/>
              </w:rPr>
              <w:t>2</w:t>
            </w:r>
            <w:r>
              <w:rPr>
                <w:i/>
                <w:iCs/>
                <w:color w:val="auto"/>
                <w:spacing w:val="-2"/>
                <w:sz w:val="24"/>
                <w:highlight w:val="none"/>
                <w:u w:val="single"/>
              </w:rPr>
              <w:t>S</w:t>
            </w:r>
          </w:p>
        </w:tc>
        <w:tc>
          <w:tcPr>
            <w:tcW w:w="1637" w:type="dxa"/>
            <w:vAlign w:val="center"/>
          </w:tcPr>
          <w:p w14:paraId="2BB74E93">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095" w:type="dxa"/>
            <w:vAlign w:val="center"/>
          </w:tcPr>
          <w:p w14:paraId="324E32D2">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7D007ED2">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snapToGrid w:val="0"/>
                <w:color w:val="auto"/>
                <w:kern w:val="21"/>
                <w:sz w:val="24"/>
                <w:szCs w:val="24"/>
                <w:highlight w:val="none"/>
                <w:u w:val="single"/>
              </w:rPr>
              <w:t>0</w:t>
            </w:r>
          </w:p>
        </w:tc>
        <w:tc>
          <w:tcPr>
            <w:tcW w:w="1560" w:type="dxa"/>
            <w:vAlign w:val="center"/>
          </w:tcPr>
          <w:p w14:paraId="170E4B02">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eastAsia="宋体"/>
                <w:bCs w:val="0"/>
                <w:i/>
                <w:iCs/>
                <w:color w:val="auto"/>
                <w:spacing w:val="-2"/>
                <w:sz w:val="24"/>
                <w:szCs w:val="24"/>
                <w:highlight w:val="none"/>
                <w:u w:val="single"/>
              </w:rPr>
              <w:t>0.0201kg</w:t>
            </w:r>
            <w:r>
              <w:rPr>
                <w:rFonts w:ascii="Times New Roman" w:eastAsia="宋体"/>
                <w:bCs w:val="0"/>
                <w:i/>
                <w:iCs/>
                <w:color w:val="auto"/>
                <w:spacing w:val="-2"/>
                <w:sz w:val="24"/>
                <w:szCs w:val="24"/>
                <w:highlight w:val="none"/>
                <w:u w:val="single"/>
              </w:rPr>
              <w:t>/</w:t>
            </w:r>
            <w:r>
              <w:rPr>
                <w:rFonts w:hint="eastAsia" w:ascii="Times New Roman" w:eastAsia="宋体"/>
                <w:bCs w:val="0"/>
                <w:i/>
                <w:iCs/>
                <w:color w:val="auto"/>
                <w:spacing w:val="-2"/>
                <w:sz w:val="24"/>
                <w:szCs w:val="24"/>
                <w:highlight w:val="none"/>
                <w:u w:val="single"/>
              </w:rPr>
              <w:t>a</w:t>
            </w:r>
          </w:p>
        </w:tc>
        <w:tc>
          <w:tcPr>
            <w:tcW w:w="1500" w:type="dxa"/>
          </w:tcPr>
          <w:p w14:paraId="1A604400">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ascii="Times New Roman"/>
                <w:i/>
                <w:iCs/>
                <w:snapToGrid w:val="0"/>
                <w:color w:val="auto"/>
                <w:kern w:val="21"/>
                <w:sz w:val="24"/>
                <w:szCs w:val="24"/>
                <w:highlight w:val="none"/>
                <w:u w:val="single"/>
              </w:rPr>
              <w:t>0</w:t>
            </w:r>
          </w:p>
        </w:tc>
        <w:tc>
          <w:tcPr>
            <w:tcW w:w="1783" w:type="dxa"/>
            <w:shd w:val="clear" w:color="auto" w:fill="auto"/>
            <w:vAlign w:val="center"/>
          </w:tcPr>
          <w:p w14:paraId="7A1D7748">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eastAsia="宋体"/>
                <w:bCs w:val="0"/>
                <w:i/>
                <w:iCs/>
                <w:color w:val="auto"/>
                <w:spacing w:val="-2"/>
                <w:sz w:val="24"/>
                <w:szCs w:val="24"/>
                <w:highlight w:val="none"/>
                <w:u w:val="single"/>
              </w:rPr>
              <w:t>0.0201kg</w:t>
            </w:r>
            <w:r>
              <w:rPr>
                <w:rFonts w:ascii="Times New Roman" w:eastAsia="宋体"/>
                <w:bCs w:val="0"/>
                <w:i/>
                <w:iCs/>
                <w:color w:val="auto"/>
                <w:spacing w:val="-2"/>
                <w:sz w:val="24"/>
                <w:szCs w:val="24"/>
                <w:highlight w:val="none"/>
                <w:u w:val="single"/>
              </w:rPr>
              <w:t>/</w:t>
            </w:r>
            <w:r>
              <w:rPr>
                <w:rFonts w:hint="eastAsia" w:ascii="Times New Roman" w:eastAsia="宋体"/>
                <w:bCs w:val="0"/>
                <w:i/>
                <w:iCs/>
                <w:color w:val="auto"/>
                <w:spacing w:val="-2"/>
                <w:sz w:val="24"/>
                <w:szCs w:val="24"/>
                <w:highlight w:val="none"/>
                <w:u w:val="single"/>
              </w:rPr>
              <w:t>a</w:t>
            </w:r>
          </w:p>
        </w:tc>
        <w:tc>
          <w:tcPr>
            <w:tcW w:w="1673" w:type="dxa"/>
            <w:vAlign w:val="center"/>
          </w:tcPr>
          <w:p w14:paraId="577609B4">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w:t>
            </w:r>
            <w:r>
              <w:rPr>
                <w:rFonts w:hint="eastAsia" w:ascii="Times New Roman" w:eastAsia="宋体"/>
                <w:bCs w:val="0"/>
                <w:i/>
                <w:iCs/>
                <w:color w:val="auto"/>
                <w:spacing w:val="-2"/>
                <w:sz w:val="24"/>
                <w:szCs w:val="24"/>
                <w:highlight w:val="none"/>
                <w:u w:val="single"/>
              </w:rPr>
              <w:t>0.0201kg</w:t>
            </w:r>
            <w:r>
              <w:rPr>
                <w:rFonts w:ascii="Times New Roman" w:eastAsia="宋体"/>
                <w:bCs w:val="0"/>
                <w:i/>
                <w:iCs/>
                <w:color w:val="auto"/>
                <w:spacing w:val="-2"/>
                <w:sz w:val="24"/>
                <w:szCs w:val="24"/>
                <w:highlight w:val="none"/>
                <w:u w:val="single"/>
              </w:rPr>
              <w:t>/</w:t>
            </w:r>
            <w:r>
              <w:rPr>
                <w:rFonts w:hint="eastAsia" w:ascii="Times New Roman" w:eastAsia="宋体"/>
                <w:bCs w:val="0"/>
                <w:i/>
                <w:iCs/>
                <w:color w:val="auto"/>
                <w:spacing w:val="-2"/>
                <w:sz w:val="24"/>
                <w:szCs w:val="24"/>
                <w:highlight w:val="none"/>
                <w:u w:val="single"/>
              </w:rPr>
              <w:t>a</w:t>
            </w:r>
          </w:p>
        </w:tc>
      </w:tr>
      <w:tr w14:paraId="676A0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14:paraId="6B0E8BA3">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280FCC0D">
            <w:pPr>
              <w:jc w:val="center"/>
              <w:rPr>
                <w:i/>
                <w:iCs/>
                <w:color w:val="auto"/>
                <w:sz w:val="24"/>
                <w:highlight w:val="none"/>
                <w:u w:val="single"/>
              </w:rPr>
            </w:pPr>
            <w:r>
              <w:rPr>
                <w:rFonts w:hint="eastAsia"/>
                <w:i/>
                <w:iCs/>
                <w:color w:val="auto"/>
                <w:sz w:val="24"/>
                <w:highlight w:val="none"/>
                <w:u w:val="single"/>
              </w:rPr>
              <w:t>NMHC</w:t>
            </w:r>
          </w:p>
        </w:tc>
        <w:tc>
          <w:tcPr>
            <w:tcW w:w="1637" w:type="dxa"/>
            <w:vAlign w:val="center"/>
          </w:tcPr>
          <w:p w14:paraId="0113CE7E">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095" w:type="dxa"/>
            <w:vAlign w:val="center"/>
          </w:tcPr>
          <w:p w14:paraId="6FE55AFD">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4CE083FC">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snapToGrid w:val="0"/>
                <w:color w:val="auto"/>
                <w:kern w:val="21"/>
                <w:sz w:val="24"/>
                <w:szCs w:val="24"/>
                <w:highlight w:val="none"/>
                <w:u w:val="single"/>
              </w:rPr>
              <w:t>0</w:t>
            </w:r>
          </w:p>
        </w:tc>
        <w:tc>
          <w:tcPr>
            <w:tcW w:w="1560" w:type="dxa"/>
            <w:vAlign w:val="center"/>
          </w:tcPr>
          <w:p w14:paraId="5C344B76">
            <w:pPr>
              <w:pStyle w:val="53"/>
              <w:spacing w:beforeLines="0" w:afterLines="0" w:line="240" w:lineRule="auto"/>
              <w:ind w:left="420" w:hanging="420"/>
              <w:rPr>
                <w:rFonts w:ascii="Times New Roman" w:eastAsia="宋体"/>
                <w:bCs w:val="0"/>
                <w:i/>
                <w:iCs/>
                <w:color w:val="auto"/>
                <w:spacing w:val="-2"/>
                <w:sz w:val="24"/>
                <w:szCs w:val="24"/>
                <w:highlight w:val="none"/>
                <w:u w:val="single"/>
              </w:rPr>
            </w:pPr>
            <w:r>
              <w:rPr>
                <w:rFonts w:hint="eastAsia" w:ascii="Times New Roman" w:eastAsia="宋体"/>
                <w:bCs w:val="0"/>
                <w:i/>
                <w:iCs/>
                <w:color w:val="auto"/>
                <w:spacing w:val="-2"/>
                <w:sz w:val="24"/>
                <w:szCs w:val="24"/>
                <w:highlight w:val="none"/>
                <w:u w:val="single"/>
              </w:rPr>
              <w:t>0.59t/a</w:t>
            </w:r>
          </w:p>
        </w:tc>
        <w:tc>
          <w:tcPr>
            <w:tcW w:w="1500" w:type="dxa"/>
          </w:tcPr>
          <w:p w14:paraId="5D3FE3CE">
            <w:pPr>
              <w:pStyle w:val="53"/>
              <w:spacing w:beforeLines="0" w:afterLines="0" w:line="240" w:lineRule="auto"/>
              <w:ind w:left="420" w:hanging="420"/>
              <w:rPr>
                <w:rFonts w:ascii="Times New Roman" w:eastAsia="宋体"/>
                <w:bCs w:val="0"/>
                <w:i/>
                <w:iCs/>
                <w:color w:val="auto"/>
                <w:spacing w:val="-2"/>
                <w:sz w:val="24"/>
                <w:szCs w:val="24"/>
                <w:highlight w:val="none"/>
                <w:u w:val="single"/>
              </w:rPr>
            </w:pPr>
            <w:r>
              <w:rPr>
                <w:rFonts w:hint="eastAsia" w:ascii="Times New Roman" w:eastAsia="宋体"/>
                <w:bCs w:val="0"/>
                <w:i/>
                <w:iCs/>
                <w:color w:val="auto"/>
                <w:spacing w:val="-2"/>
                <w:sz w:val="24"/>
                <w:szCs w:val="24"/>
                <w:highlight w:val="none"/>
                <w:u w:val="single"/>
              </w:rPr>
              <w:t>0</w:t>
            </w:r>
          </w:p>
        </w:tc>
        <w:tc>
          <w:tcPr>
            <w:tcW w:w="1783" w:type="dxa"/>
            <w:shd w:val="clear" w:color="auto" w:fill="auto"/>
            <w:vAlign w:val="center"/>
          </w:tcPr>
          <w:p w14:paraId="77132BED">
            <w:pPr>
              <w:pStyle w:val="53"/>
              <w:spacing w:beforeLines="0" w:afterLines="0" w:line="240" w:lineRule="auto"/>
              <w:ind w:left="420" w:hanging="420"/>
              <w:rPr>
                <w:rFonts w:ascii="Times New Roman" w:eastAsia="宋体"/>
                <w:bCs w:val="0"/>
                <w:i/>
                <w:iCs/>
                <w:color w:val="auto"/>
                <w:spacing w:val="-2"/>
                <w:sz w:val="24"/>
                <w:szCs w:val="24"/>
                <w:highlight w:val="none"/>
                <w:u w:val="single"/>
              </w:rPr>
            </w:pPr>
            <w:r>
              <w:rPr>
                <w:rFonts w:hint="eastAsia" w:ascii="Times New Roman" w:eastAsia="宋体"/>
                <w:bCs w:val="0"/>
                <w:i/>
                <w:iCs/>
                <w:color w:val="auto"/>
                <w:spacing w:val="-2"/>
                <w:sz w:val="24"/>
                <w:szCs w:val="24"/>
                <w:highlight w:val="none"/>
                <w:u w:val="single"/>
              </w:rPr>
              <w:t>0.59t/a</w:t>
            </w:r>
          </w:p>
        </w:tc>
        <w:tc>
          <w:tcPr>
            <w:tcW w:w="1673" w:type="dxa"/>
            <w:vAlign w:val="center"/>
          </w:tcPr>
          <w:p w14:paraId="358917FD">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w:t>
            </w:r>
            <w:r>
              <w:rPr>
                <w:rFonts w:hint="eastAsia" w:ascii="Times New Roman" w:eastAsia="宋体"/>
                <w:bCs w:val="0"/>
                <w:i/>
                <w:iCs/>
                <w:color w:val="auto"/>
                <w:spacing w:val="-2"/>
                <w:sz w:val="24"/>
                <w:szCs w:val="24"/>
                <w:highlight w:val="none"/>
                <w:u w:val="single"/>
              </w:rPr>
              <w:t>0.59t/a</w:t>
            </w:r>
          </w:p>
        </w:tc>
      </w:tr>
      <w:tr w14:paraId="5B1E1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restart"/>
            <w:vAlign w:val="center"/>
          </w:tcPr>
          <w:p w14:paraId="697BA7D7">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r>
              <w:rPr>
                <w:rFonts w:hint="eastAsia" w:hAnsi="宋体" w:eastAsia="宋体" w:cs="宋体"/>
                <w:i/>
                <w:iCs/>
                <w:snapToGrid w:val="0"/>
                <w:color w:val="auto"/>
                <w:kern w:val="21"/>
                <w:sz w:val="24"/>
                <w:szCs w:val="24"/>
                <w:highlight w:val="none"/>
                <w:u w:val="single"/>
              </w:rPr>
              <w:t>废水</w:t>
            </w:r>
          </w:p>
        </w:tc>
        <w:tc>
          <w:tcPr>
            <w:tcW w:w="1657" w:type="dxa"/>
            <w:vAlign w:val="center"/>
          </w:tcPr>
          <w:p w14:paraId="47E2C57C">
            <w:pPr>
              <w:pStyle w:val="53"/>
              <w:spacing w:beforeLines="0" w:afterLines="0" w:line="240" w:lineRule="auto"/>
              <w:ind w:left="420" w:hanging="420"/>
              <w:rPr>
                <w:rFonts w:ascii="Times New Roman" w:eastAsia="宋体"/>
                <w:i/>
                <w:iCs/>
                <w:color w:val="auto"/>
                <w:sz w:val="24"/>
                <w:szCs w:val="24"/>
                <w:highlight w:val="none"/>
                <w:u w:val="single"/>
              </w:rPr>
            </w:pPr>
            <w:r>
              <w:rPr>
                <w:rFonts w:ascii="Times New Roman" w:eastAsia="宋体"/>
                <w:i/>
                <w:iCs/>
                <w:color w:val="auto"/>
                <w:sz w:val="24"/>
                <w:szCs w:val="24"/>
                <w:highlight w:val="none"/>
                <w:u w:val="single"/>
              </w:rPr>
              <w:t>COD</w:t>
            </w:r>
          </w:p>
        </w:tc>
        <w:tc>
          <w:tcPr>
            <w:tcW w:w="1637" w:type="dxa"/>
            <w:vAlign w:val="center"/>
          </w:tcPr>
          <w:p w14:paraId="61BF12D7">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color w:val="auto"/>
                <w:sz w:val="24"/>
                <w:szCs w:val="24"/>
                <w:highlight w:val="none"/>
                <w:u w:val="single"/>
              </w:rPr>
              <w:t>0</w:t>
            </w:r>
          </w:p>
        </w:tc>
        <w:tc>
          <w:tcPr>
            <w:tcW w:w="1095" w:type="dxa"/>
            <w:vAlign w:val="center"/>
          </w:tcPr>
          <w:p w14:paraId="7A42B86A">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6CA9B371">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4555D67C">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0.26</w:t>
            </w:r>
            <w:r>
              <w:rPr>
                <w:rFonts w:hint="eastAsia" w:ascii="Times New Roman" w:eastAsia="宋体"/>
                <w:bCs w:val="0"/>
                <w:i/>
                <w:iCs/>
                <w:color w:val="auto"/>
                <w:spacing w:val="-2"/>
                <w:sz w:val="24"/>
                <w:szCs w:val="24"/>
                <w:highlight w:val="none"/>
                <w:u w:val="single"/>
              </w:rPr>
              <w:t>t/a</w:t>
            </w:r>
          </w:p>
        </w:tc>
        <w:tc>
          <w:tcPr>
            <w:tcW w:w="1500" w:type="dxa"/>
          </w:tcPr>
          <w:p w14:paraId="09122433">
            <w:pPr>
              <w:pStyle w:val="53"/>
              <w:spacing w:beforeLines="0" w:afterLines="0" w:line="240" w:lineRule="auto"/>
              <w:ind w:left="420" w:hanging="420"/>
              <w:rPr>
                <w:rFonts w:ascii="Times New Roman"/>
                <w:i/>
                <w:iCs/>
                <w:color w:val="auto"/>
                <w:sz w:val="24"/>
                <w:szCs w:val="24"/>
                <w:highlight w:val="none"/>
                <w:u w:val="single"/>
              </w:rPr>
            </w:pPr>
            <w:r>
              <w:rPr>
                <w:rFonts w:ascii="Times New Roman"/>
                <w:i/>
                <w:iCs/>
                <w:color w:val="auto"/>
                <w:sz w:val="24"/>
                <w:szCs w:val="24"/>
                <w:highlight w:val="none"/>
                <w:u w:val="single"/>
              </w:rPr>
              <w:t>0</w:t>
            </w:r>
          </w:p>
        </w:tc>
        <w:tc>
          <w:tcPr>
            <w:tcW w:w="1783" w:type="dxa"/>
            <w:vAlign w:val="center"/>
          </w:tcPr>
          <w:p w14:paraId="18036124">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0.26</w:t>
            </w:r>
            <w:r>
              <w:rPr>
                <w:rFonts w:hint="eastAsia" w:ascii="Times New Roman" w:eastAsia="宋体"/>
                <w:bCs w:val="0"/>
                <w:i/>
                <w:iCs/>
                <w:color w:val="auto"/>
                <w:spacing w:val="-2"/>
                <w:sz w:val="24"/>
                <w:szCs w:val="24"/>
                <w:highlight w:val="none"/>
                <w:u w:val="single"/>
              </w:rPr>
              <w:t>t/a</w:t>
            </w:r>
          </w:p>
        </w:tc>
        <w:tc>
          <w:tcPr>
            <w:tcW w:w="1673" w:type="dxa"/>
            <w:shd w:val="clear" w:color="auto" w:fill="auto"/>
            <w:vAlign w:val="center"/>
          </w:tcPr>
          <w:p w14:paraId="54B266C9">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+0.26</w:t>
            </w:r>
            <w:r>
              <w:rPr>
                <w:rFonts w:hint="eastAsia" w:ascii="Times New Roman" w:eastAsia="宋体"/>
                <w:bCs w:val="0"/>
                <w:i/>
                <w:iCs/>
                <w:color w:val="auto"/>
                <w:spacing w:val="-2"/>
                <w:sz w:val="24"/>
                <w:szCs w:val="24"/>
                <w:highlight w:val="none"/>
                <w:u w:val="single"/>
              </w:rPr>
              <w:t>t/a</w:t>
            </w:r>
          </w:p>
        </w:tc>
      </w:tr>
      <w:tr w14:paraId="4F233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14:paraId="2D38B238">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7319E602">
            <w:pPr>
              <w:pStyle w:val="53"/>
              <w:spacing w:beforeLines="0" w:afterLines="0" w:line="240" w:lineRule="auto"/>
              <w:ind w:left="420" w:hanging="420"/>
              <w:rPr>
                <w:rFonts w:ascii="Times New Roman" w:eastAsia="宋体"/>
                <w:i/>
                <w:iCs/>
                <w:color w:val="auto"/>
                <w:sz w:val="24"/>
                <w:szCs w:val="24"/>
                <w:highlight w:val="none"/>
                <w:u w:val="single"/>
              </w:rPr>
            </w:pPr>
            <w:r>
              <w:rPr>
                <w:rFonts w:ascii="Times New Roman" w:eastAsia="宋体"/>
                <w:i/>
                <w:iCs/>
                <w:color w:val="auto"/>
                <w:sz w:val="24"/>
                <w:szCs w:val="24"/>
                <w:highlight w:val="none"/>
                <w:u w:val="single"/>
              </w:rPr>
              <w:t>BOD</w:t>
            </w:r>
            <w:r>
              <w:rPr>
                <w:rFonts w:ascii="Times New Roman" w:eastAsia="宋体"/>
                <w:i/>
                <w:iCs/>
                <w:color w:val="auto"/>
                <w:sz w:val="24"/>
                <w:szCs w:val="24"/>
                <w:highlight w:val="none"/>
                <w:u w:val="single"/>
                <w:vertAlign w:val="subscript"/>
              </w:rPr>
              <w:t>5</w:t>
            </w:r>
          </w:p>
        </w:tc>
        <w:tc>
          <w:tcPr>
            <w:tcW w:w="1637" w:type="dxa"/>
            <w:vAlign w:val="center"/>
          </w:tcPr>
          <w:p w14:paraId="4399C87F">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095" w:type="dxa"/>
            <w:vAlign w:val="center"/>
          </w:tcPr>
          <w:p w14:paraId="7DAD8E05">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062E4683">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snapToGrid w:val="0"/>
                <w:color w:val="auto"/>
                <w:kern w:val="21"/>
                <w:sz w:val="24"/>
                <w:szCs w:val="24"/>
                <w:highlight w:val="none"/>
                <w:u w:val="single"/>
              </w:rPr>
              <w:t>0</w:t>
            </w:r>
          </w:p>
        </w:tc>
        <w:tc>
          <w:tcPr>
            <w:tcW w:w="1560" w:type="dxa"/>
            <w:vAlign w:val="center"/>
          </w:tcPr>
          <w:p w14:paraId="3853CA42">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0.056</w:t>
            </w:r>
            <w:r>
              <w:rPr>
                <w:rFonts w:hint="eastAsia" w:ascii="Times New Roman" w:eastAsia="宋体"/>
                <w:bCs w:val="0"/>
                <w:i/>
                <w:iCs/>
                <w:color w:val="auto"/>
                <w:spacing w:val="-2"/>
                <w:sz w:val="24"/>
                <w:szCs w:val="24"/>
                <w:highlight w:val="none"/>
                <w:u w:val="single"/>
              </w:rPr>
              <w:t>t/a</w:t>
            </w:r>
          </w:p>
        </w:tc>
        <w:tc>
          <w:tcPr>
            <w:tcW w:w="1500" w:type="dxa"/>
          </w:tcPr>
          <w:p w14:paraId="01832870">
            <w:pPr>
              <w:pStyle w:val="53"/>
              <w:spacing w:beforeLines="0" w:afterLines="0" w:line="240" w:lineRule="auto"/>
              <w:ind w:left="420" w:hanging="420"/>
              <w:rPr>
                <w:rFonts w:ascii="Times New Roman"/>
                <w:i/>
                <w:iCs/>
                <w:color w:val="auto"/>
                <w:sz w:val="24"/>
                <w:szCs w:val="24"/>
                <w:highlight w:val="none"/>
                <w:u w:val="single"/>
              </w:rPr>
            </w:pPr>
            <w:r>
              <w:rPr>
                <w:rFonts w:ascii="Times New Roman"/>
                <w:i/>
                <w:iCs/>
                <w:color w:val="auto"/>
                <w:sz w:val="24"/>
                <w:szCs w:val="24"/>
                <w:highlight w:val="none"/>
                <w:u w:val="single"/>
              </w:rPr>
              <w:t>0</w:t>
            </w:r>
          </w:p>
        </w:tc>
        <w:tc>
          <w:tcPr>
            <w:tcW w:w="1783" w:type="dxa"/>
            <w:vAlign w:val="center"/>
          </w:tcPr>
          <w:p w14:paraId="1FB2F7BA">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0.056</w:t>
            </w:r>
            <w:r>
              <w:rPr>
                <w:rFonts w:hint="eastAsia" w:ascii="Times New Roman" w:eastAsia="宋体"/>
                <w:bCs w:val="0"/>
                <w:i/>
                <w:iCs/>
                <w:color w:val="auto"/>
                <w:spacing w:val="-2"/>
                <w:sz w:val="24"/>
                <w:szCs w:val="24"/>
                <w:highlight w:val="none"/>
                <w:u w:val="single"/>
              </w:rPr>
              <w:t>t/a</w:t>
            </w:r>
          </w:p>
        </w:tc>
        <w:tc>
          <w:tcPr>
            <w:tcW w:w="1673" w:type="dxa"/>
            <w:shd w:val="clear" w:color="auto" w:fill="auto"/>
            <w:vAlign w:val="center"/>
          </w:tcPr>
          <w:p w14:paraId="2FD66666">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+0.056</w:t>
            </w:r>
            <w:r>
              <w:rPr>
                <w:rFonts w:hint="eastAsia" w:ascii="Times New Roman" w:eastAsia="宋体"/>
                <w:bCs w:val="0"/>
                <w:i/>
                <w:iCs/>
                <w:color w:val="auto"/>
                <w:spacing w:val="-2"/>
                <w:sz w:val="24"/>
                <w:szCs w:val="24"/>
                <w:highlight w:val="none"/>
                <w:u w:val="single"/>
              </w:rPr>
              <w:t>t/a</w:t>
            </w:r>
          </w:p>
        </w:tc>
      </w:tr>
      <w:tr w14:paraId="47FD1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14:paraId="14C85AEA">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655471E9">
            <w:pPr>
              <w:pStyle w:val="53"/>
              <w:spacing w:beforeLines="0" w:afterLines="0" w:line="240" w:lineRule="auto"/>
              <w:ind w:left="420" w:hanging="420"/>
              <w:rPr>
                <w:rFonts w:ascii="Times New Roman" w:eastAsia="宋体"/>
                <w:i/>
                <w:iCs/>
                <w:color w:val="auto"/>
                <w:sz w:val="24"/>
                <w:szCs w:val="24"/>
                <w:highlight w:val="none"/>
                <w:u w:val="single"/>
              </w:rPr>
            </w:pPr>
            <w:r>
              <w:rPr>
                <w:rFonts w:ascii="Times New Roman" w:eastAsia="宋体"/>
                <w:i/>
                <w:iCs/>
                <w:color w:val="auto"/>
                <w:sz w:val="24"/>
                <w:szCs w:val="24"/>
                <w:highlight w:val="none"/>
                <w:u w:val="single"/>
              </w:rPr>
              <w:t>SS</w:t>
            </w:r>
          </w:p>
        </w:tc>
        <w:tc>
          <w:tcPr>
            <w:tcW w:w="1637" w:type="dxa"/>
            <w:vAlign w:val="center"/>
          </w:tcPr>
          <w:p w14:paraId="73A2EC9B">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color w:val="auto"/>
                <w:sz w:val="24"/>
                <w:szCs w:val="24"/>
                <w:highlight w:val="none"/>
                <w:u w:val="single"/>
              </w:rPr>
              <w:t>0</w:t>
            </w:r>
          </w:p>
        </w:tc>
        <w:tc>
          <w:tcPr>
            <w:tcW w:w="1095" w:type="dxa"/>
            <w:vAlign w:val="center"/>
          </w:tcPr>
          <w:p w14:paraId="4C5BE4E7">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7C694FA6">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6F219C6C">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0.15</w:t>
            </w:r>
            <w:r>
              <w:rPr>
                <w:rFonts w:hint="eastAsia" w:ascii="Times New Roman" w:eastAsia="宋体"/>
                <w:bCs w:val="0"/>
                <w:i/>
                <w:iCs/>
                <w:color w:val="auto"/>
                <w:spacing w:val="-2"/>
                <w:sz w:val="24"/>
                <w:szCs w:val="24"/>
                <w:highlight w:val="none"/>
                <w:u w:val="single"/>
              </w:rPr>
              <w:t>t/a</w:t>
            </w:r>
          </w:p>
        </w:tc>
        <w:tc>
          <w:tcPr>
            <w:tcW w:w="1500" w:type="dxa"/>
          </w:tcPr>
          <w:p w14:paraId="777AC4A8">
            <w:pPr>
              <w:pStyle w:val="53"/>
              <w:spacing w:beforeLines="0" w:afterLines="0" w:line="240" w:lineRule="auto"/>
              <w:ind w:left="420" w:hanging="420"/>
              <w:rPr>
                <w:rFonts w:ascii="Times New Roman"/>
                <w:i/>
                <w:iCs/>
                <w:color w:val="auto"/>
                <w:sz w:val="24"/>
                <w:szCs w:val="24"/>
                <w:highlight w:val="none"/>
                <w:u w:val="single"/>
              </w:rPr>
            </w:pPr>
            <w:r>
              <w:rPr>
                <w:rFonts w:ascii="Times New Roman"/>
                <w:i/>
                <w:iCs/>
                <w:color w:val="auto"/>
                <w:sz w:val="24"/>
                <w:szCs w:val="24"/>
                <w:highlight w:val="none"/>
                <w:u w:val="single"/>
              </w:rPr>
              <w:t>0</w:t>
            </w:r>
          </w:p>
        </w:tc>
        <w:tc>
          <w:tcPr>
            <w:tcW w:w="1783" w:type="dxa"/>
            <w:vAlign w:val="center"/>
          </w:tcPr>
          <w:p w14:paraId="3BD750C0">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0.15</w:t>
            </w:r>
            <w:r>
              <w:rPr>
                <w:rFonts w:hint="eastAsia" w:ascii="Times New Roman" w:eastAsia="宋体"/>
                <w:bCs w:val="0"/>
                <w:i/>
                <w:iCs/>
                <w:color w:val="auto"/>
                <w:spacing w:val="-2"/>
                <w:sz w:val="24"/>
                <w:szCs w:val="24"/>
                <w:highlight w:val="none"/>
                <w:u w:val="single"/>
              </w:rPr>
              <w:t>t/a</w:t>
            </w:r>
          </w:p>
        </w:tc>
        <w:tc>
          <w:tcPr>
            <w:tcW w:w="1673" w:type="dxa"/>
            <w:shd w:val="clear" w:color="auto" w:fill="auto"/>
            <w:vAlign w:val="center"/>
          </w:tcPr>
          <w:p w14:paraId="4E41A8FF">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+0.15</w:t>
            </w:r>
            <w:r>
              <w:rPr>
                <w:rFonts w:hint="eastAsia" w:ascii="Times New Roman" w:eastAsia="宋体"/>
                <w:bCs w:val="0"/>
                <w:i/>
                <w:iCs/>
                <w:color w:val="auto"/>
                <w:spacing w:val="-2"/>
                <w:sz w:val="24"/>
                <w:szCs w:val="24"/>
                <w:highlight w:val="none"/>
                <w:u w:val="single"/>
              </w:rPr>
              <w:t>t/a</w:t>
            </w:r>
          </w:p>
        </w:tc>
      </w:tr>
      <w:tr w14:paraId="68DC0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14:paraId="527E7F0E">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59DD0FB4">
            <w:pPr>
              <w:pStyle w:val="53"/>
              <w:spacing w:beforeLines="0" w:afterLines="0" w:line="240" w:lineRule="auto"/>
              <w:ind w:left="420" w:hanging="420"/>
              <w:rPr>
                <w:rFonts w:ascii="Times New Roman" w:eastAsia="宋体"/>
                <w:i/>
                <w:iCs/>
                <w:color w:val="auto"/>
                <w:sz w:val="24"/>
                <w:szCs w:val="24"/>
                <w:highlight w:val="none"/>
                <w:u w:val="single"/>
              </w:rPr>
            </w:pPr>
            <w:r>
              <w:rPr>
                <w:rFonts w:ascii="Times New Roman" w:eastAsia="宋体"/>
                <w:i/>
                <w:iCs/>
                <w:color w:val="auto"/>
                <w:sz w:val="24"/>
                <w:szCs w:val="24"/>
                <w:highlight w:val="none"/>
                <w:u w:val="single"/>
              </w:rPr>
              <w:t>NH</w:t>
            </w:r>
            <w:r>
              <w:rPr>
                <w:rFonts w:ascii="Times New Roman" w:eastAsia="宋体"/>
                <w:i/>
                <w:iCs/>
                <w:color w:val="auto"/>
                <w:sz w:val="24"/>
                <w:szCs w:val="24"/>
                <w:highlight w:val="none"/>
                <w:u w:val="single"/>
                <w:vertAlign w:val="subscript"/>
              </w:rPr>
              <w:t>3</w:t>
            </w:r>
            <w:r>
              <w:rPr>
                <w:rFonts w:ascii="Times New Roman" w:eastAsia="宋体"/>
                <w:i/>
                <w:iCs/>
                <w:color w:val="auto"/>
                <w:sz w:val="24"/>
                <w:szCs w:val="24"/>
                <w:highlight w:val="none"/>
                <w:u w:val="single"/>
              </w:rPr>
              <w:t>-N</w:t>
            </w:r>
          </w:p>
        </w:tc>
        <w:tc>
          <w:tcPr>
            <w:tcW w:w="1637" w:type="dxa"/>
            <w:vAlign w:val="center"/>
          </w:tcPr>
          <w:p w14:paraId="10B06182">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095" w:type="dxa"/>
            <w:vAlign w:val="center"/>
          </w:tcPr>
          <w:p w14:paraId="59996808">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6D38D066">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snapToGrid w:val="0"/>
                <w:color w:val="auto"/>
                <w:kern w:val="21"/>
                <w:sz w:val="24"/>
                <w:szCs w:val="24"/>
                <w:highlight w:val="none"/>
                <w:u w:val="single"/>
              </w:rPr>
              <w:t>0</w:t>
            </w:r>
          </w:p>
        </w:tc>
        <w:tc>
          <w:tcPr>
            <w:tcW w:w="1560" w:type="dxa"/>
            <w:vAlign w:val="center"/>
          </w:tcPr>
          <w:p w14:paraId="379FBC8F">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0.061</w:t>
            </w:r>
            <w:r>
              <w:rPr>
                <w:rFonts w:hint="eastAsia" w:ascii="Times New Roman" w:eastAsia="宋体"/>
                <w:bCs w:val="0"/>
                <w:i/>
                <w:iCs/>
                <w:color w:val="auto"/>
                <w:spacing w:val="-2"/>
                <w:sz w:val="24"/>
                <w:szCs w:val="24"/>
                <w:highlight w:val="none"/>
                <w:u w:val="single"/>
              </w:rPr>
              <w:t>t/a</w:t>
            </w:r>
          </w:p>
        </w:tc>
        <w:tc>
          <w:tcPr>
            <w:tcW w:w="1500" w:type="dxa"/>
          </w:tcPr>
          <w:p w14:paraId="06119C2F">
            <w:pPr>
              <w:pStyle w:val="53"/>
              <w:spacing w:beforeLines="0" w:afterLines="0" w:line="240" w:lineRule="auto"/>
              <w:ind w:left="420" w:hanging="420"/>
              <w:rPr>
                <w:rFonts w:ascii="Times New Roman"/>
                <w:i/>
                <w:iCs/>
                <w:color w:val="auto"/>
                <w:sz w:val="24"/>
                <w:szCs w:val="24"/>
                <w:highlight w:val="none"/>
                <w:u w:val="single"/>
              </w:rPr>
            </w:pPr>
            <w:r>
              <w:rPr>
                <w:rFonts w:ascii="Times New Roman"/>
                <w:i/>
                <w:iCs/>
                <w:color w:val="auto"/>
                <w:sz w:val="24"/>
                <w:szCs w:val="24"/>
                <w:highlight w:val="none"/>
                <w:u w:val="single"/>
              </w:rPr>
              <w:t>0</w:t>
            </w:r>
          </w:p>
        </w:tc>
        <w:tc>
          <w:tcPr>
            <w:tcW w:w="1783" w:type="dxa"/>
            <w:vAlign w:val="center"/>
          </w:tcPr>
          <w:p w14:paraId="6CA16F91">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0.061</w:t>
            </w:r>
            <w:r>
              <w:rPr>
                <w:rFonts w:hint="eastAsia" w:ascii="Times New Roman" w:eastAsia="宋体"/>
                <w:bCs w:val="0"/>
                <w:i/>
                <w:iCs/>
                <w:color w:val="auto"/>
                <w:spacing w:val="-2"/>
                <w:sz w:val="24"/>
                <w:szCs w:val="24"/>
                <w:highlight w:val="none"/>
                <w:u w:val="single"/>
              </w:rPr>
              <w:t>t/a</w:t>
            </w:r>
          </w:p>
        </w:tc>
        <w:tc>
          <w:tcPr>
            <w:tcW w:w="1673" w:type="dxa"/>
            <w:shd w:val="clear" w:color="auto" w:fill="auto"/>
            <w:vAlign w:val="center"/>
          </w:tcPr>
          <w:p w14:paraId="08420C3C">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+0.061</w:t>
            </w:r>
            <w:r>
              <w:rPr>
                <w:rFonts w:hint="eastAsia" w:ascii="Times New Roman" w:eastAsia="宋体"/>
                <w:bCs w:val="0"/>
                <w:i/>
                <w:iCs/>
                <w:color w:val="auto"/>
                <w:spacing w:val="-2"/>
                <w:sz w:val="24"/>
                <w:szCs w:val="24"/>
                <w:highlight w:val="none"/>
                <w:u w:val="single"/>
              </w:rPr>
              <w:t>t/a</w:t>
            </w:r>
          </w:p>
        </w:tc>
      </w:tr>
      <w:tr w14:paraId="4C582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14:paraId="5BC555CF">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3C79CE6D">
            <w:pPr>
              <w:pStyle w:val="53"/>
              <w:spacing w:beforeLines="0" w:afterLines="0" w:line="240" w:lineRule="auto"/>
              <w:ind w:left="420" w:hanging="420"/>
              <w:rPr>
                <w:rFonts w:ascii="Times New Roman" w:eastAsia="宋体"/>
                <w:i/>
                <w:iCs/>
                <w:color w:val="auto"/>
                <w:sz w:val="24"/>
                <w:szCs w:val="24"/>
                <w:highlight w:val="none"/>
                <w:u w:val="single"/>
              </w:rPr>
            </w:pPr>
            <w:r>
              <w:rPr>
                <w:rFonts w:hint="eastAsia" w:ascii="Times New Roman" w:eastAsia="宋体"/>
                <w:i/>
                <w:iCs/>
                <w:color w:val="auto"/>
                <w:sz w:val="24"/>
                <w:szCs w:val="24"/>
                <w:highlight w:val="none"/>
                <w:u w:val="single"/>
              </w:rPr>
              <w:t>动植物油</w:t>
            </w:r>
          </w:p>
        </w:tc>
        <w:tc>
          <w:tcPr>
            <w:tcW w:w="1637" w:type="dxa"/>
            <w:shd w:val="clear" w:color="auto" w:fill="auto"/>
            <w:vAlign w:val="center"/>
          </w:tcPr>
          <w:p w14:paraId="27F0F87A">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color w:val="auto"/>
                <w:sz w:val="24"/>
                <w:szCs w:val="24"/>
                <w:highlight w:val="none"/>
                <w:u w:val="single"/>
              </w:rPr>
              <w:t>0</w:t>
            </w:r>
          </w:p>
        </w:tc>
        <w:tc>
          <w:tcPr>
            <w:tcW w:w="1095" w:type="dxa"/>
            <w:vAlign w:val="center"/>
          </w:tcPr>
          <w:p w14:paraId="627921BB">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5C0FF2BA">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560" w:type="dxa"/>
            <w:vAlign w:val="center"/>
          </w:tcPr>
          <w:p w14:paraId="6ADFA3B5">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0.004</w:t>
            </w:r>
            <w:r>
              <w:rPr>
                <w:rFonts w:hint="eastAsia" w:ascii="Times New Roman" w:eastAsia="宋体"/>
                <w:bCs w:val="0"/>
                <w:i/>
                <w:iCs/>
                <w:color w:val="auto"/>
                <w:spacing w:val="-2"/>
                <w:sz w:val="24"/>
                <w:szCs w:val="24"/>
                <w:highlight w:val="none"/>
                <w:u w:val="single"/>
              </w:rPr>
              <w:t>t/a</w:t>
            </w:r>
          </w:p>
        </w:tc>
        <w:tc>
          <w:tcPr>
            <w:tcW w:w="1500" w:type="dxa"/>
          </w:tcPr>
          <w:p w14:paraId="2098444D">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vAlign w:val="center"/>
          </w:tcPr>
          <w:p w14:paraId="0C810708">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0.004</w:t>
            </w:r>
            <w:r>
              <w:rPr>
                <w:rFonts w:hint="eastAsia" w:ascii="Times New Roman" w:eastAsia="宋体"/>
                <w:bCs w:val="0"/>
                <w:i/>
                <w:iCs/>
                <w:color w:val="auto"/>
                <w:spacing w:val="-2"/>
                <w:sz w:val="24"/>
                <w:szCs w:val="24"/>
                <w:highlight w:val="none"/>
                <w:u w:val="single"/>
              </w:rPr>
              <w:t>t/a</w:t>
            </w:r>
          </w:p>
        </w:tc>
        <w:tc>
          <w:tcPr>
            <w:tcW w:w="1673" w:type="dxa"/>
            <w:shd w:val="clear" w:color="auto" w:fill="auto"/>
            <w:vAlign w:val="center"/>
          </w:tcPr>
          <w:p w14:paraId="4CF77534">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color w:val="auto"/>
                <w:sz w:val="24"/>
                <w:szCs w:val="24"/>
                <w:highlight w:val="none"/>
                <w:u w:val="single"/>
              </w:rPr>
              <w:t>+</w:t>
            </w:r>
            <w:r>
              <w:rPr>
                <w:rFonts w:hint="eastAsia" w:ascii="Times New Roman"/>
                <w:i/>
                <w:iCs/>
                <w:snapToGrid w:val="0"/>
                <w:color w:val="auto"/>
                <w:kern w:val="21"/>
                <w:sz w:val="24"/>
                <w:szCs w:val="24"/>
                <w:highlight w:val="none"/>
                <w:u w:val="single"/>
              </w:rPr>
              <w:t>0.004</w:t>
            </w:r>
            <w:r>
              <w:rPr>
                <w:rFonts w:hint="eastAsia" w:ascii="Times New Roman" w:eastAsia="宋体"/>
                <w:bCs w:val="0"/>
                <w:i/>
                <w:iCs/>
                <w:color w:val="auto"/>
                <w:spacing w:val="-2"/>
                <w:sz w:val="24"/>
                <w:szCs w:val="24"/>
                <w:highlight w:val="none"/>
                <w:u w:val="single"/>
              </w:rPr>
              <w:t>t/a</w:t>
            </w:r>
          </w:p>
        </w:tc>
      </w:tr>
      <w:tr w14:paraId="32E9F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14:paraId="6CF7053E">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5B90FCDB">
            <w:pPr>
              <w:pStyle w:val="53"/>
              <w:spacing w:beforeLines="0" w:afterLines="0" w:line="240" w:lineRule="auto"/>
              <w:ind w:left="420" w:hanging="420"/>
              <w:rPr>
                <w:rFonts w:ascii="Times New Roman" w:eastAsia="宋体"/>
                <w:i/>
                <w:iCs/>
                <w:color w:val="auto"/>
                <w:sz w:val="24"/>
                <w:szCs w:val="24"/>
                <w:highlight w:val="none"/>
                <w:u w:val="single"/>
              </w:rPr>
            </w:pPr>
            <w:r>
              <w:rPr>
                <w:rFonts w:hint="eastAsia" w:ascii="Times New Roman" w:eastAsia="宋体"/>
                <w:i/>
                <w:iCs/>
                <w:color w:val="auto"/>
                <w:sz w:val="24"/>
                <w:szCs w:val="24"/>
                <w:highlight w:val="none"/>
                <w:u w:val="single"/>
              </w:rPr>
              <w:t>粪大肠菌群数</w:t>
            </w:r>
          </w:p>
        </w:tc>
        <w:tc>
          <w:tcPr>
            <w:tcW w:w="1637" w:type="dxa"/>
            <w:shd w:val="clear" w:color="auto" w:fill="auto"/>
            <w:vAlign w:val="center"/>
          </w:tcPr>
          <w:p w14:paraId="64413599">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095" w:type="dxa"/>
            <w:vAlign w:val="center"/>
          </w:tcPr>
          <w:p w14:paraId="34B218D5">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2F6F6C96">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560" w:type="dxa"/>
            <w:vAlign w:val="center"/>
          </w:tcPr>
          <w:p w14:paraId="60A57BB9">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eastAsia="宋体"/>
                <w:i/>
                <w:iCs/>
                <w:color w:val="auto"/>
                <w:sz w:val="24"/>
                <w:szCs w:val="24"/>
                <w:highlight w:val="none"/>
                <w:u w:val="single"/>
                <w:lang w:bidi="ar"/>
              </w:rPr>
              <w:t>6.36</w:t>
            </w:r>
            <w:r>
              <w:rPr>
                <w:rFonts w:ascii="Times New Roman" w:eastAsia="宋体"/>
                <w:i/>
                <w:iCs/>
                <w:color w:val="auto"/>
                <w:sz w:val="24"/>
                <w:szCs w:val="24"/>
                <w:highlight w:val="none"/>
                <w:u w:val="single"/>
                <w:lang w:bidi="ar"/>
              </w:rPr>
              <w:t>×</w:t>
            </w:r>
            <w:r>
              <w:rPr>
                <w:rFonts w:hint="eastAsia" w:ascii="Times New Roman" w:eastAsia="宋体"/>
                <w:i/>
                <w:iCs/>
                <w:color w:val="auto"/>
                <w:sz w:val="24"/>
                <w:szCs w:val="24"/>
                <w:highlight w:val="none"/>
                <w:u w:val="single"/>
                <w:lang w:bidi="ar"/>
              </w:rPr>
              <w:t>10</w:t>
            </w:r>
            <w:r>
              <w:rPr>
                <w:rFonts w:hint="eastAsia"/>
                <w:i/>
                <w:iCs/>
                <w:color w:val="auto"/>
                <w:sz w:val="24"/>
                <w:szCs w:val="24"/>
                <w:highlight w:val="none"/>
                <w:u w:val="single"/>
                <w:vertAlign w:val="superscript"/>
                <w:lang w:bidi="ar"/>
              </w:rPr>
              <w:t>6</w:t>
            </w:r>
            <w:r>
              <w:rPr>
                <w:rFonts w:hint="eastAsia"/>
                <w:i/>
                <w:iCs/>
                <w:color w:val="auto"/>
                <w:sz w:val="24"/>
                <w:szCs w:val="24"/>
                <w:highlight w:val="none"/>
                <w:u w:val="single"/>
                <w:lang w:bidi="ar"/>
              </w:rPr>
              <w:t>个</w:t>
            </w:r>
            <w:r>
              <w:rPr>
                <w:rFonts w:ascii="Times New Roman" w:eastAsia="宋体"/>
                <w:i/>
                <w:iCs/>
                <w:color w:val="auto"/>
                <w:sz w:val="24"/>
                <w:szCs w:val="24"/>
                <w:highlight w:val="none"/>
                <w:u w:val="single"/>
                <w:lang w:bidi="ar"/>
              </w:rPr>
              <w:t>/a</w:t>
            </w:r>
          </w:p>
        </w:tc>
        <w:tc>
          <w:tcPr>
            <w:tcW w:w="1500" w:type="dxa"/>
          </w:tcPr>
          <w:p w14:paraId="4788621D">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vAlign w:val="center"/>
          </w:tcPr>
          <w:p w14:paraId="5628E0AE">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eastAsia="宋体"/>
                <w:i/>
                <w:iCs/>
                <w:color w:val="auto"/>
                <w:sz w:val="24"/>
                <w:szCs w:val="24"/>
                <w:highlight w:val="none"/>
                <w:u w:val="single"/>
                <w:lang w:bidi="ar"/>
              </w:rPr>
              <w:t>6.36</w:t>
            </w:r>
            <w:r>
              <w:rPr>
                <w:rFonts w:ascii="Times New Roman" w:eastAsia="宋体"/>
                <w:i/>
                <w:iCs/>
                <w:color w:val="auto"/>
                <w:sz w:val="24"/>
                <w:szCs w:val="24"/>
                <w:highlight w:val="none"/>
                <w:u w:val="single"/>
                <w:lang w:bidi="ar"/>
              </w:rPr>
              <w:t>×</w:t>
            </w:r>
            <w:r>
              <w:rPr>
                <w:rFonts w:hint="eastAsia" w:ascii="Times New Roman" w:eastAsia="宋体"/>
                <w:i/>
                <w:iCs/>
                <w:color w:val="auto"/>
                <w:sz w:val="24"/>
                <w:szCs w:val="24"/>
                <w:highlight w:val="none"/>
                <w:u w:val="single"/>
                <w:lang w:bidi="ar"/>
              </w:rPr>
              <w:t>10</w:t>
            </w:r>
            <w:r>
              <w:rPr>
                <w:rFonts w:hint="eastAsia"/>
                <w:i/>
                <w:iCs/>
                <w:color w:val="auto"/>
                <w:sz w:val="24"/>
                <w:szCs w:val="24"/>
                <w:highlight w:val="none"/>
                <w:u w:val="single"/>
                <w:vertAlign w:val="superscript"/>
                <w:lang w:bidi="ar"/>
              </w:rPr>
              <w:t>6</w:t>
            </w:r>
            <w:r>
              <w:rPr>
                <w:rFonts w:hint="eastAsia"/>
                <w:i/>
                <w:iCs/>
                <w:color w:val="auto"/>
                <w:sz w:val="24"/>
                <w:szCs w:val="24"/>
                <w:highlight w:val="none"/>
                <w:u w:val="single"/>
                <w:lang w:bidi="ar"/>
              </w:rPr>
              <w:t>个</w:t>
            </w:r>
            <w:r>
              <w:rPr>
                <w:rFonts w:ascii="Times New Roman" w:eastAsia="宋体"/>
                <w:i/>
                <w:iCs/>
                <w:color w:val="auto"/>
                <w:sz w:val="24"/>
                <w:szCs w:val="24"/>
                <w:highlight w:val="none"/>
                <w:u w:val="single"/>
                <w:lang w:bidi="ar"/>
              </w:rPr>
              <w:t>/a</w:t>
            </w:r>
          </w:p>
        </w:tc>
        <w:tc>
          <w:tcPr>
            <w:tcW w:w="1673" w:type="dxa"/>
            <w:vAlign w:val="center"/>
          </w:tcPr>
          <w:p w14:paraId="79404D7F">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eastAsia="宋体"/>
                <w:i/>
                <w:iCs/>
                <w:color w:val="auto"/>
                <w:sz w:val="24"/>
                <w:szCs w:val="24"/>
                <w:highlight w:val="none"/>
                <w:u w:val="single"/>
                <w:lang w:bidi="ar"/>
              </w:rPr>
              <w:t>+6.36</w:t>
            </w:r>
            <w:r>
              <w:rPr>
                <w:rFonts w:ascii="Times New Roman" w:eastAsia="宋体"/>
                <w:i/>
                <w:iCs/>
                <w:color w:val="auto"/>
                <w:sz w:val="24"/>
                <w:szCs w:val="24"/>
                <w:highlight w:val="none"/>
                <w:u w:val="single"/>
                <w:lang w:bidi="ar"/>
              </w:rPr>
              <w:t>×</w:t>
            </w:r>
            <w:r>
              <w:rPr>
                <w:rFonts w:hint="eastAsia" w:ascii="Times New Roman" w:eastAsia="宋体"/>
                <w:i/>
                <w:iCs/>
                <w:color w:val="auto"/>
                <w:sz w:val="24"/>
                <w:szCs w:val="24"/>
                <w:highlight w:val="none"/>
                <w:u w:val="single"/>
                <w:lang w:bidi="ar"/>
              </w:rPr>
              <w:t>10</w:t>
            </w:r>
            <w:r>
              <w:rPr>
                <w:rFonts w:hint="eastAsia"/>
                <w:i/>
                <w:iCs/>
                <w:color w:val="auto"/>
                <w:sz w:val="24"/>
                <w:szCs w:val="24"/>
                <w:highlight w:val="none"/>
                <w:u w:val="single"/>
                <w:vertAlign w:val="superscript"/>
                <w:lang w:bidi="ar"/>
              </w:rPr>
              <w:t>6</w:t>
            </w:r>
            <w:r>
              <w:rPr>
                <w:rFonts w:hint="eastAsia"/>
                <w:i/>
                <w:iCs/>
                <w:color w:val="auto"/>
                <w:sz w:val="24"/>
                <w:szCs w:val="24"/>
                <w:highlight w:val="none"/>
                <w:u w:val="single"/>
                <w:lang w:bidi="ar"/>
              </w:rPr>
              <w:t>个</w:t>
            </w:r>
            <w:r>
              <w:rPr>
                <w:rFonts w:ascii="Times New Roman" w:eastAsia="宋体"/>
                <w:i/>
                <w:iCs/>
                <w:color w:val="auto"/>
                <w:sz w:val="24"/>
                <w:szCs w:val="24"/>
                <w:highlight w:val="none"/>
                <w:u w:val="single"/>
                <w:lang w:bidi="ar"/>
              </w:rPr>
              <w:t>/a</w:t>
            </w:r>
          </w:p>
        </w:tc>
      </w:tr>
      <w:tr w14:paraId="15B94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restart"/>
            <w:vAlign w:val="center"/>
          </w:tcPr>
          <w:p w14:paraId="558D206D">
            <w:pPr>
              <w:pStyle w:val="53"/>
              <w:spacing w:beforeLines="0" w:afterLines="0" w:line="240" w:lineRule="auto"/>
              <w:ind w:left="420" w:hanging="420"/>
              <w:rPr>
                <w:rFonts w:hint="eastAsia" w:ascii="宋体" w:hAnsi="宋体" w:eastAsia="宋体" w:cs="宋体"/>
                <w:i/>
                <w:iCs/>
                <w:snapToGrid w:val="0"/>
                <w:color w:val="auto"/>
                <w:kern w:val="21"/>
                <w:sz w:val="24"/>
                <w:szCs w:val="24"/>
                <w:highlight w:val="none"/>
                <w:u w:val="single"/>
              </w:rPr>
            </w:pPr>
            <w:r>
              <w:rPr>
                <w:rFonts w:hint="eastAsia" w:ascii="宋体" w:hAnsi="宋体" w:eastAsia="宋体" w:cs="宋体"/>
                <w:i/>
                <w:iCs/>
                <w:snapToGrid w:val="0"/>
                <w:color w:val="auto"/>
                <w:kern w:val="21"/>
                <w:sz w:val="24"/>
                <w:szCs w:val="24"/>
                <w:highlight w:val="none"/>
                <w:u w:val="single"/>
              </w:rPr>
              <w:t>一般工业</w:t>
            </w:r>
          </w:p>
          <w:p w14:paraId="2221C613">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r>
              <w:rPr>
                <w:rFonts w:hint="eastAsia" w:ascii="宋体" w:hAnsi="宋体" w:eastAsia="宋体" w:cs="宋体"/>
                <w:i/>
                <w:iCs/>
                <w:snapToGrid w:val="0"/>
                <w:color w:val="auto"/>
                <w:kern w:val="21"/>
                <w:sz w:val="24"/>
                <w:szCs w:val="24"/>
                <w:highlight w:val="none"/>
                <w:u w:val="single"/>
              </w:rPr>
              <w:t>固体废物</w:t>
            </w:r>
          </w:p>
        </w:tc>
        <w:tc>
          <w:tcPr>
            <w:tcW w:w="1657" w:type="dxa"/>
            <w:vAlign w:val="center"/>
          </w:tcPr>
          <w:p w14:paraId="04B87D87">
            <w:pPr>
              <w:jc w:val="center"/>
              <w:rPr>
                <w:bCs/>
                <w:i/>
                <w:iCs/>
                <w:color w:val="auto"/>
                <w:kern w:val="0"/>
                <w:sz w:val="24"/>
                <w:highlight w:val="none"/>
                <w:u w:val="single"/>
              </w:rPr>
            </w:pPr>
            <w:r>
              <w:rPr>
                <w:rFonts w:hint="eastAsia"/>
                <w:bCs/>
                <w:i/>
                <w:iCs/>
                <w:color w:val="auto"/>
                <w:kern w:val="0"/>
                <w:sz w:val="24"/>
                <w:highlight w:val="none"/>
                <w:u w:val="single"/>
              </w:rPr>
              <w:t>生活垃圾</w:t>
            </w:r>
          </w:p>
        </w:tc>
        <w:tc>
          <w:tcPr>
            <w:tcW w:w="1637" w:type="dxa"/>
            <w:vAlign w:val="center"/>
          </w:tcPr>
          <w:p w14:paraId="34B4677B">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095" w:type="dxa"/>
            <w:vAlign w:val="center"/>
          </w:tcPr>
          <w:p w14:paraId="07F29F72">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01DB9004">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5F309463">
            <w:pPr>
              <w:jc w:val="center"/>
              <w:rPr>
                <w:i/>
                <w:iCs/>
                <w:color w:val="auto"/>
                <w:sz w:val="24"/>
                <w:highlight w:val="none"/>
                <w:u w:val="single"/>
              </w:rPr>
            </w:pPr>
            <w:r>
              <w:rPr>
                <w:rFonts w:hint="eastAsia"/>
                <w:i/>
                <w:iCs/>
                <w:color w:val="auto"/>
                <w:kern w:val="0"/>
                <w:sz w:val="24"/>
                <w:highlight w:val="none"/>
                <w:u w:val="single"/>
              </w:rPr>
              <w:t>115.89</w:t>
            </w:r>
            <w:r>
              <w:rPr>
                <w:i/>
                <w:iCs/>
                <w:color w:val="auto"/>
                <w:sz w:val="24"/>
                <w:highlight w:val="none"/>
                <w:u w:val="single"/>
              </w:rPr>
              <w:t>t/a</w:t>
            </w:r>
          </w:p>
        </w:tc>
        <w:tc>
          <w:tcPr>
            <w:tcW w:w="1500" w:type="dxa"/>
          </w:tcPr>
          <w:p w14:paraId="65B976E0">
            <w:pPr>
              <w:pStyle w:val="53"/>
              <w:spacing w:beforeLines="0" w:afterLines="0" w:line="240" w:lineRule="auto"/>
              <w:ind w:left="420" w:hanging="420"/>
              <w:rPr>
                <w:rFonts w:ascii="Times New Roman"/>
                <w:i/>
                <w:iCs/>
                <w:color w:val="auto"/>
                <w:sz w:val="24"/>
                <w:szCs w:val="24"/>
                <w:highlight w:val="none"/>
                <w:u w:val="single"/>
              </w:rPr>
            </w:pPr>
            <w:r>
              <w:rPr>
                <w:rFonts w:ascii="Times New Roman"/>
                <w:i/>
                <w:iCs/>
                <w:color w:val="auto"/>
                <w:sz w:val="24"/>
                <w:szCs w:val="24"/>
                <w:highlight w:val="none"/>
                <w:u w:val="single"/>
              </w:rPr>
              <w:t>0</w:t>
            </w:r>
          </w:p>
        </w:tc>
        <w:tc>
          <w:tcPr>
            <w:tcW w:w="1783" w:type="dxa"/>
            <w:vAlign w:val="center"/>
          </w:tcPr>
          <w:p w14:paraId="17126936">
            <w:pPr>
              <w:jc w:val="center"/>
              <w:rPr>
                <w:i/>
                <w:iCs/>
                <w:color w:val="auto"/>
                <w:sz w:val="24"/>
                <w:highlight w:val="none"/>
                <w:u w:val="single"/>
              </w:rPr>
            </w:pPr>
            <w:r>
              <w:rPr>
                <w:rFonts w:hint="eastAsia"/>
                <w:i/>
                <w:iCs/>
                <w:color w:val="auto"/>
                <w:kern w:val="0"/>
                <w:sz w:val="24"/>
                <w:highlight w:val="none"/>
                <w:u w:val="single"/>
              </w:rPr>
              <w:t>115.89</w:t>
            </w:r>
            <w:r>
              <w:rPr>
                <w:i/>
                <w:iCs/>
                <w:color w:val="auto"/>
                <w:sz w:val="24"/>
                <w:highlight w:val="none"/>
                <w:u w:val="single"/>
              </w:rPr>
              <w:t>t/a</w:t>
            </w:r>
          </w:p>
        </w:tc>
        <w:tc>
          <w:tcPr>
            <w:tcW w:w="1673" w:type="dxa"/>
            <w:vAlign w:val="center"/>
          </w:tcPr>
          <w:p w14:paraId="385AFD6E">
            <w:pPr>
              <w:jc w:val="center"/>
              <w:rPr>
                <w:i/>
                <w:iCs/>
                <w:color w:val="auto"/>
                <w:sz w:val="24"/>
                <w:highlight w:val="none"/>
                <w:u w:val="single"/>
              </w:rPr>
            </w:pPr>
            <w:r>
              <w:rPr>
                <w:rFonts w:hint="eastAsia"/>
                <w:i/>
                <w:iCs/>
                <w:color w:val="auto"/>
                <w:sz w:val="24"/>
                <w:highlight w:val="none"/>
                <w:u w:val="single"/>
              </w:rPr>
              <w:t>+</w:t>
            </w:r>
            <w:r>
              <w:rPr>
                <w:rFonts w:hint="eastAsia"/>
                <w:i/>
                <w:iCs/>
                <w:color w:val="auto"/>
                <w:kern w:val="0"/>
                <w:sz w:val="24"/>
                <w:highlight w:val="none"/>
                <w:u w:val="single"/>
              </w:rPr>
              <w:t>115.89</w:t>
            </w:r>
            <w:r>
              <w:rPr>
                <w:i/>
                <w:iCs/>
                <w:color w:val="auto"/>
                <w:sz w:val="24"/>
                <w:highlight w:val="none"/>
                <w:u w:val="single"/>
              </w:rPr>
              <w:t>t/a</w:t>
            </w:r>
          </w:p>
        </w:tc>
      </w:tr>
      <w:tr w14:paraId="64F1E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14:paraId="7F5A6841">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4A5E7029">
            <w:pPr>
              <w:jc w:val="center"/>
              <w:rPr>
                <w:bCs/>
                <w:i/>
                <w:iCs/>
                <w:color w:val="auto"/>
                <w:kern w:val="0"/>
                <w:sz w:val="24"/>
                <w:highlight w:val="none"/>
                <w:u w:val="single"/>
              </w:rPr>
            </w:pPr>
            <w:r>
              <w:rPr>
                <w:rFonts w:hint="eastAsia"/>
                <w:bCs/>
                <w:i/>
                <w:iCs/>
                <w:color w:val="auto"/>
                <w:kern w:val="0"/>
                <w:sz w:val="24"/>
                <w:highlight w:val="none"/>
                <w:u w:val="single"/>
              </w:rPr>
              <w:t>餐厨垃圾及隔油池废油</w:t>
            </w:r>
          </w:p>
        </w:tc>
        <w:tc>
          <w:tcPr>
            <w:tcW w:w="1637" w:type="dxa"/>
            <w:vAlign w:val="center"/>
          </w:tcPr>
          <w:p w14:paraId="2401BA20">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095" w:type="dxa"/>
            <w:vAlign w:val="center"/>
          </w:tcPr>
          <w:p w14:paraId="714E204F">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5D3A69DD">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24FC242B">
            <w:pPr>
              <w:jc w:val="center"/>
              <w:rPr>
                <w:i/>
                <w:iCs/>
                <w:color w:val="auto"/>
                <w:sz w:val="24"/>
                <w:highlight w:val="none"/>
                <w:u w:val="single"/>
              </w:rPr>
            </w:pPr>
            <w:r>
              <w:rPr>
                <w:rFonts w:hint="eastAsia"/>
                <w:i/>
                <w:iCs/>
                <w:color w:val="auto"/>
                <w:sz w:val="24"/>
                <w:highlight w:val="none"/>
                <w:u w:val="single"/>
              </w:rPr>
              <w:t>1.316</w:t>
            </w:r>
            <w:r>
              <w:rPr>
                <w:i/>
                <w:iCs/>
                <w:color w:val="auto"/>
                <w:sz w:val="24"/>
                <w:highlight w:val="none"/>
                <w:u w:val="single"/>
              </w:rPr>
              <w:t>t/a</w:t>
            </w:r>
          </w:p>
        </w:tc>
        <w:tc>
          <w:tcPr>
            <w:tcW w:w="1500" w:type="dxa"/>
            <w:shd w:val="clear" w:color="auto" w:fill="auto"/>
            <w:vAlign w:val="center"/>
          </w:tcPr>
          <w:p w14:paraId="78045A23">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vAlign w:val="center"/>
          </w:tcPr>
          <w:p w14:paraId="5A02ECB8">
            <w:pPr>
              <w:jc w:val="center"/>
              <w:rPr>
                <w:i/>
                <w:iCs/>
                <w:color w:val="auto"/>
                <w:sz w:val="24"/>
                <w:highlight w:val="none"/>
                <w:u w:val="single"/>
              </w:rPr>
            </w:pPr>
            <w:r>
              <w:rPr>
                <w:rFonts w:hint="eastAsia"/>
                <w:i/>
                <w:iCs/>
                <w:color w:val="auto"/>
                <w:sz w:val="24"/>
                <w:highlight w:val="none"/>
                <w:u w:val="single"/>
              </w:rPr>
              <w:t>1.316</w:t>
            </w:r>
            <w:r>
              <w:rPr>
                <w:i/>
                <w:iCs/>
                <w:color w:val="auto"/>
                <w:sz w:val="24"/>
                <w:highlight w:val="none"/>
                <w:u w:val="single"/>
              </w:rPr>
              <w:t>t/a</w:t>
            </w:r>
          </w:p>
        </w:tc>
        <w:tc>
          <w:tcPr>
            <w:tcW w:w="1673" w:type="dxa"/>
            <w:vAlign w:val="center"/>
          </w:tcPr>
          <w:p w14:paraId="3D40405C">
            <w:pPr>
              <w:jc w:val="center"/>
              <w:rPr>
                <w:i/>
                <w:iCs/>
                <w:color w:val="auto"/>
                <w:sz w:val="24"/>
                <w:highlight w:val="none"/>
                <w:u w:val="single"/>
              </w:rPr>
            </w:pPr>
            <w:r>
              <w:rPr>
                <w:rFonts w:hint="eastAsia"/>
                <w:i/>
                <w:iCs/>
                <w:color w:val="auto"/>
                <w:sz w:val="24"/>
                <w:highlight w:val="none"/>
                <w:u w:val="single"/>
              </w:rPr>
              <w:t>+1.316</w:t>
            </w:r>
            <w:r>
              <w:rPr>
                <w:i/>
                <w:iCs/>
                <w:color w:val="auto"/>
                <w:sz w:val="24"/>
                <w:highlight w:val="none"/>
                <w:u w:val="single"/>
              </w:rPr>
              <w:t>t/a</w:t>
            </w:r>
          </w:p>
        </w:tc>
      </w:tr>
      <w:tr w14:paraId="02E32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263" w:type="dxa"/>
            <w:vMerge w:val="continue"/>
            <w:vAlign w:val="center"/>
          </w:tcPr>
          <w:p w14:paraId="2FB966BA">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76A6BF17">
            <w:pPr>
              <w:jc w:val="center"/>
              <w:rPr>
                <w:bCs/>
                <w:i/>
                <w:iCs/>
                <w:color w:val="auto"/>
                <w:kern w:val="0"/>
                <w:sz w:val="24"/>
                <w:highlight w:val="none"/>
                <w:u w:val="single"/>
              </w:rPr>
            </w:pPr>
            <w:r>
              <w:rPr>
                <w:rFonts w:hint="eastAsia"/>
                <w:bCs/>
                <w:i/>
                <w:iCs/>
                <w:color w:val="auto"/>
                <w:kern w:val="0"/>
                <w:sz w:val="24"/>
                <w:highlight w:val="none"/>
                <w:u w:val="single"/>
              </w:rPr>
              <w:t>未感染的一次性输液袋</w:t>
            </w:r>
          </w:p>
        </w:tc>
        <w:tc>
          <w:tcPr>
            <w:tcW w:w="1637" w:type="dxa"/>
            <w:vAlign w:val="center"/>
          </w:tcPr>
          <w:p w14:paraId="75FDC72B">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095" w:type="dxa"/>
            <w:vAlign w:val="center"/>
          </w:tcPr>
          <w:p w14:paraId="23CEB987">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4CB04217">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20E4423A">
            <w:pPr>
              <w:jc w:val="center"/>
              <w:rPr>
                <w:i/>
                <w:iCs/>
                <w:color w:val="auto"/>
                <w:sz w:val="24"/>
                <w:highlight w:val="none"/>
                <w:u w:val="single"/>
              </w:rPr>
            </w:pPr>
            <w:r>
              <w:rPr>
                <w:rFonts w:hint="eastAsia"/>
                <w:i/>
                <w:iCs/>
                <w:color w:val="auto"/>
                <w:sz w:val="24"/>
                <w:highlight w:val="none"/>
                <w:u w:val="single"/>
              </w:rPr>
              <w:t>14.6</w:t>
            </w:r>
            <w:r>
              <w:rPr>
                <w:i/>
                <w:iCs/>
                <w:color w:val="auto"/>
                <w:sz w:val="24"/>
                <w:highlight w:val="none"/>
                <w:u w:val="single"/>
              </w:rPr>
              <w:t>t/a</w:t>
            </w:r>
          </w:p>
        </w:tc>
        <w:tc>
          <w:tcPr>
            <w:tcW w:w="1500" w:type="dxa"/>
            <w:shd w:val="clear" w:color="auto" w:fill="auto"/>
            <w:vAlign w:val="center"/>
          </w:tcPr>
          <w:p w14:paraId="6FCD64B0">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vAlign w:val="center"/>
          </w:tcPr>
          <w:p w14:paraId="359CA7ED">
            <w:pPr>
              <w:jc w:val="center"/>
              <w:rPr>
                <w:i/>
                <w:iCs/>
                <w:color w:val="auto"/>
                <w:sz w:val="24"/>
                <w:highlight w:val="none"/>
                <w:u w:val="single"/>
              </w:rPr>
            </w:pPr>
            <w:r>
              <w:rPr>
                <w:rFonts w:hint="eastAsia"/>
                <w:i/>
                <w:iCs/>
                <w:color w:val="auto"/>
                <w:sz w:val="24"/>
                <w:highlight w:val="none"/>
                <w:u w:val="single"/>
              </w:rPr>
              <w:t>14.6</w:t>
            </w:r>
            <w:r>
              <w:rPr>
                <w:i/>
                <w:iCs/>
                <w:color w:val="auto"/>
                <w:sz w:val="24"/>
                <w:highlight w:val="none"/>
                <w:u w:val="single"/>
              </w:rPr>
              <w:t>t/a</w:t>
            </w:r>
          </w:p>
        </w:tc>
        <w:tc>
          <w:tcPr>
            <w:tcW w:w="1673" w:type="dxa"/>
            <w:vAlign w:val="center"/>
          </w:tcPr>
          <w:p w14:paraId="55E30FD4">
            <w:pPr>
              <w:jc w:val="center"/>
              <w:rPr>
                <w:i/>
                <w:iCs/>
                <w:color w:val="auto"/>
                <w:sz w:val="24"/>
                <w:highlight w:val="none"/>
                <w:u w:val="single"/>
              </w:rPr>
            </w:pPr>
            <w:r>
              <w:rPr>
                <w:rFonts w:hint="eastAsia"/>
                <w:i/>
                <w:iCs/>
                <w:color w:val="auto"/>
                <w:sz w:val="24"/>
                <w:highlight w:val="none"/>
                <w:u w:val="single"/>
              </w:rPr>
              <w:t>+14.6</w:t>
            </w:r>
            <w:r>
              <w:rPr>
                <w:i/>
                <w:iCs/>
                <w:color w:val="auto"/>
                <w:sz w:val="24"/>
                <w:highlight w:val="none"/>
                <w:u w:val="single"/>
              </w:rPr>
              <w:t>t/a</w:t>
            </w:r>
          </w:p>
        </w:tc>
      </w:tr>
      <w:tr w14:paraId="4CB28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14:paraId="5F0DCF40">
            <w:pPr>
              <w:pStyle w:val="53"/>
              <w:spacing w:beforeLines="0" w:afterLines="0" w:line="240" w:lineRule="auto"/>
              <w:ind w:left="420" w:hanging="420"/>
              <w:rPr>
                <w:rFonts w:hint="eastAsia" w:hAnsi="宋体" w:eastAsia="宋体" w:cs="宋体"/>
                <w:i/>
                <w:iCs/>
                <w:snapToGrid w:val="0"/>
                <w:color w:val="auto"/>
                <w:kern w:val="21"/>
                <w:sz w:val="24"/>
                <w:szCs w:val="24"/>
                <w:highlight w:val="none"/>
                <w:u w:val="single"/>
              </w:rPr>
            </w:pPr>
          </w:p>
        </w:tc>
        <w:tc>
          <w:tcPr>
            <w:tcW w:w="1657" w:type="dxa"/>
            <w:vAlign w:val="center"/>
          </w:tcPr>
          <w:p w14:paraId="2FD4BAF2">
            <w:pPr>
              <w:jc w:val="center"/>
              <w:rPr>
                <w:bCs/>
                <w:i/>
                <w:iCs/>
                <w:color w:val="auto"/>
                <w:kern w:val="0"/>
                <w:sz w:val="24"/>
                <w:highlight w:val="none"/>
                <w:u w:val="single"/>
              </w:rPr>
            </w:pPr>
            <w:r>
              <w:rPr>
                <w:rFonts w:hint="eastAsia"/>
                <w:bCs/>
                <w:i/>
                <w:iCs/>
                <w:color w:val="auto"/>
                <w:kern w:val="0"/>
                <w:sz w:val="24"/>
                <w:highlight w:val="none"/>
                <w:u w:val="single"/>
              </w:rPr>
              <w:t>中药渣</w:t>
            </w:r>
          </w:p>
        </w:tc>
        <w:tc>
          <w:tcPr>
            <w:tcW w:w="1637" w:type="dxa"/>
            <w:vAlign w:val="center"/>
          </w:tcPr>
          <w:p w14:paraId="0F14A797">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0</w:t>
            </w:r>
          </w:p>
        </w:tc>
        <w:tc>
          <w:tcPr>
            <w:tcW w:w="1095" w:type="dxa"/>
            <w:vAlign w:val="center"/>
          </w:tcPr>
          <w:p w14:paraId="266DFEE2">
            <w:pPr>
              <w:pStyle w:val="53"/>
              <w:spacing w:beforeLines="0" w:afterLines="0" w:line="240" w:lineRule="auto"/>
              <w:ind w:left="420" w:hanging="420"/>
              <w:rPr>
                <w:rFonts w:ascii="Times New Roman"/>
                <w:i/>
                <w:iCs/>
                <w:snapToGrid w:val="0"/>
                <w:color w:val="auto"/>
                <w:kern w:val="21"/>
                <w:sz w:val="24"/>
                <w:szCs w:val="24"/>
                <w:highlight w:val="none"/>
                <w:u w:val="single"/>
              </w:rPr>
            </w:pPr>
            <w:r>
              <w:rPr>
                <w:rFonts w:hint="eastAsia" w:ascii="Times New Roman"/>
                <w:i/>
                <w:iCs/>
                <w:snapToGrid w:val="0"/>
                <w:color w:val="auto"/>
                <w:kern w:val="21"/>
                <w:sz w:val="24"/>
                <w:szCs w:val="24"/>
                <w:highlight w:val="none"/>
                <w:u w:val="single"/>
              </w:rPr>
              <w:t>/</w:t>
            </w:r>
          </w:p>
        </w:tc>
        <w:tc>
          <w:tcPr>
            <w:tcW w:w="1620" w:type="dxa"/>
            <w:vAlign w:val="center"/>
          </w:tcPr>
          <w:p w14:paraId="64D7F253">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4B784C45">
            <w:pPr>
              <w:jc w:val="center"/>
              <w:rPr>
                <w:i/>
                <w:iCs/>
                <w:color w:val="auto"/>
                <w:sz w:val="24"/>
                <w:highlight w:val="none"/>
                <w:u w:val="single"/>
              </w:rPr>
            </w:pPr>
            <w:r>
              <w:rPr>
                <w:rFonts w:hint="eastAsia"/>
                <w:i/>
                <w:iCs/>
                <w:color w:val="auto"/>
                <w:sz w:val="24"/>
                <w:highlight w:val="none"/>
                <w:u w:val="single"/>
              </w:rPr>
              <w:t>1.6</w:t>
            </w:r>
            <w:r>
              <w:rPr>
                <w:i/>
                <w:iCs/>
                <w:color w:val="auto"/>
                <w:sz w:val="24"/>
                <w:highlight w:val="none"/>
                <w:u w:val="single"/>
              </w:rPr>
              <w:t>t/a</w:t>
            </w:r>
          </w:p>
        </w:tc>
        <w:tc>
          <w:tcPr>
            <w:tcW w:w="1500" w:type="dxa"/>
          </w:tcPr>
          <w:p w14:paraId="6112BF0B">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vAlign w:val="center"/>
          </w:tcPr>
          <w:p w14:paraId="2737E9E1">
            <w:pPr>
              <w:jc w:val="center"/>
              <w:rPr>
                <w:i/>
                <w:iCs/>
                <w:color w:val="auto"/>
                <w:sz w:val="24"/>
                <w:highlight w:val="none"/>
                <w:u w:val="single"/>
              </w:rPr>
            </w:pPr>
            <w:r>
              <w:rPr>
                <w:rFonts w:hint="eastAsia"/>
                <w:i/>
                <w:iCs/>
                <w:color w:val="auto"/>
                <w:sz w:val="24"/>
                <w:highlight w:val="none"/>
                <w:u w:val="single"/>
              </w:rPr>
              <w:t>1.6</w:t>
            </w:r>
            <w:r>
              <w:rPr>
                <w:i/>
                <w:iCs/>
                <w:color w:val="auto"/>
                <w:sz w:val="24"/>
                <w:highlight w:val="none"/>
                <w:u w:val="single"/>
              </w:rPr>
              <w:t>t/a</w:t>
            </w:r>
          </w:p>
        </w:tc>
        <w:tc>
          <w:tcPr>
            <w:tcW w:w="1673" w:type="dxa"/>
            <w:vAlign w:val="center"/>
          </w:tcPr>
          <w:p w14:paraId="27143142">
            <w:pPr>
              <w:jc w:val="center"/>
              <w:rPr>
                <w:i/>
                <w:iCs/>
                <w:color w:val="auto"/>
                <w:sz w:val="24"/>
                <w:highlight w:val="none"/>
                <w:u w:val="single"/>
              </w:rPr>
            </w:pPr>
            <w:r>
              <w:rPr>
                <w:rFonts w:hint="eastAsia"/>
                <w:i/>
                <w:iCs/>
                <w:color w:val="auto"/>
                <w:sz w:val="24"/>
                <w:highlight w:val="none"/>
                <w:u w:val="single"/>
              </w:rPr>
              <w:t>+1.6</w:t>
            </w:r>
            <w:r>
              <w:rPr>
                <w:i/>
                <w:iCs/>
                <w:color w:val="auto"/>
                <w:sz w:val="24"/>
                <w:highlight w:val="none"/>
                <w:u w:val="single"/>
              </w:rPr>
              <w:t>t/a</w:t>
            </w:r>
          </w:p>
        </w:tc>
      </w:tr>
      <w:tr w14:paraId="4EC26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63" w:type="dxa"/>
            <w:vMerge w:val="restart"/>
            <w:vAlign w:val="center"/>
          </w:tcPr>
          <w:p w14:paraId="77E34CD6">
            <w:pPr>
              <w:pStyle w:val="53"/>
              <w:spacing w:before="24" w:after="24" w:line="240" w:lineRule="auto"/>
              <w:ind w:left="420" w:hanging="420"/>
              <w:rPr>
                <w:rFonts w:hint="eastAsia" w:hAnsi="宋体" w:eastAsia="宋体" w:cs="宋体"/>
                <w:i/>
                <w:iCs/>
                <w:snapToGrid w:val="0"/>
                <w:color w:val="auto"/>
                <w:kern w:val="21"/>
                <w:sz w:val="24"/>
                <w:szCs w:val="24"/>
                <w:highlight w:val="none"/>
                <w:u w:val="single"/>
              </w:rPr>
            </w:pPr>
            <w:r>
              <w:rPr>
                <w:rFonts w:hint="eastAsia" w:ascii="宋体" w:hAnsi="宋体" w:eastAsia="宋体" w:cs="宋体"/>
                <w:i/>
                <w:iCs/>
                <w:snapToGrid w:val="0"/>
                <w:color w:val="auto"/>
                <w:kern w:val="21"/>
                <w:sz w:val="24"/>
                <w:szCs w:val="24"/>
                <w:highlight w:val="none"/>
                <w:u w:val="single"/>
              </w:rPr>
              <w:t>危险废物</w:t>
            </w:r>
          </w:p>
        </w:tc>
        <w:tc>
          <w:tcPr>
            <w:tcW w:w="1657" w:type="dxa"/>
            <w:vAlign w:val="center"/>
          </w:tcPr>
          <w:p w14:paraId="6607AE18">
            <w:pPr>
              <w:pStyle w:val="53"/>
              <w:spacing w:beforeLines="0" w:afterLines="0" w:line="240" w:lineRule="auto"/>
              <w:ind w:left="420" w:hanging="420"/>
              <w:rPr>
                <w:rFonts w:ascii="Times New Roman" w:eastAsia="宋体"/>
                <w:i/>
                <w:iCs/>
                <w:color w:val="auto"/>
                <w:sz w:val="24"/>
                <w:szCs w:val="24"/>
                <w:highlight w:val="none"/>
                <w:u w:val="single"/>
              </w:rPr>
            </w:pPr>
            <w:r>
              <w:rPr>
                <w:rFonts w:hint="eastAsia" w:ascii="Times New Roman" w:eastAsia="宋体"/>
                <w:i/>
                <w:iCs/>
                <w:color w:val="auto"/>
                <w:sz w:val="24"/>
                <w:szCs w:val="24"/>
                <w:highlight w:val="none"/>
                <w:u w:val="single"/>
              </w:rPr>
              <w:t>化粪池污泥</w:t>
            </w:r>
          </w:p>
        </w:tc>
        <w:tc>
          <w:tcPr>
            <w:tcW w:w="1637" w:type="dxa"/>
            <w:vAlign w:val="center"/>
          </w:tcPr>
          <w:p w14:paraId="4FAEAE67">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095" w:type="dxa"/>
            <w:vAlign w:val="center"/>
          </w:tcPr>
          <w:p w14:paraId="7B657D88">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w:t>
            </w:r>
          </w:p>
        </w:tc>
        <w:tc>
          <w:tcPr>
            <w:tcW w:w="1620" w:type="dxa"/>
            <w:vAlign w:val="center"/>
          </w:tcPr>
          <w:p w14:paraId="7F8DBB9F">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7B63AE48">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lang w:val="en-US" w:eastAsia="zh-CN"/>
              </w:rPr>
              <w:t>2.4</w:t>
            </w:r>
            <w:r>
              <w:rPr>
                <w:rFonts w:ascii="Times New Roman"/>
                <w:i/>
                <w:iCs/>
                <w:color w:val="auto"/>
                <w:sz w:val="24"/>
                <w:szCs w:val="24"/>
                <w:highlight w:val="none"/>
                <w:u w:val="single"/>
              </w:rPr>
              <w:t>t/a</w:t>
            </w:r>
          </w:p>
        </w:tc>
        <w:tc>
          <w:tcPr>
            <w:tcW w:w="1500" w:type="dxa"/>
          </w:tcPr>
          <w:p w14:paraId="3A21F32C">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vAlign w:val="center"/>
          </w:tcPr>
          <w:p w14:paraId="437AB1EE">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lang w:val="en-US" w:eastAsia="zh-CN"/>
              </w:rPr>
              <w:t>2.4</w:t>
            </w:r>
            <w:r>
              <w:rPr>
                <w:rFonts w:ascii="Times New Roman"/>
                <w:i/>
                <w:iCs/>
                <w:color w:val="auto"/>
                <w:sz w:val="24"/>
                <w:szCs w:val="24"/>
                <w:highlight w:val="none"/>
                <w:u w:val="single"/>
              </w:rPr>
              <w:t>t/a</w:t>
            </w:r>
          </w:p>
        </w:tc>
        <w:tc>
          <w:tcPr>
            <w:tcW w:w="1673" w:type="dxa"/>
            <w:vAlign w:val="center"/>
          </w:tcPr>
          <w:p w14:paraId="5508D439">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w:t>
            </w:r>
            <w:r>
              <w:rPr>
                <w:rFonts w:hint="eastAsia" w:ascii="Times New Roman"/>
                <w:i/>
                <w:iCs/>
                <w:color w:val="auto"/>
                <w:sz w:val="24"/>
                <w:szCs w:val="24"/>
                <w:highlight w:val="none"/>
                <w:u w:val="single"/>
                <w:lang w:val="en-US" w:eastAsia="zh-CN"/>
              </w:rPr>
              <w:t>2.4</w:t>
            </w:r>
            <w:r>
              <w:rPr>
                <w:rFonts w:ascii="Times New Roman"/>
                <w:i/>
                <w:iCs/>
                <w:color w:val="auto"/>
                <w:sz w:val="24"/>
                <w:szCs w:val="24"/>
                <w:highlight w:val="none"/>
                <w:u w:val="single"/>
              </w:rPr>
              <w:t>t/a</w:t>
            </w:r>
          </w:p>
        </w:tc>
      </w:tr>
      <w:tr w14:paraId="07016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63" w:type="dxa"/>
            <w:vMerge w:val="continue"/>
            <w:vAlign w:val="center"/>
          </w:tcPr>
          <w:p w14:paraId="1273DD12">
            <w:pPr>
              <w:pStyle w:val="53"/>
              <w:spacing w:before="24" w:after="24" w:line="240" w:lineRule="auto"/>
              <w:ind w:left="420" w:hanging="420"/>
              <w:rPr>
                <w:rFonts w:ascii="Times New Roman"/>
                <w:i/>
                <w:iCs/>
                <w:snapToGrid w:val="0"/>
                <w:color w:val="auto"/>
                <w:kern w:val="21"/>
                <w:sz w:val="24"/>
                <w:szCs w:val="24"/>
                <w:highlight w:val="none"/>
                <w:u w:val="single"/>
              </w:rPr>
            </w:pPr>
          </w:p>
        </w:tc>
        <w:tc>
          <w:tcPr>
            <w:tcW w:w="1657" w:type="dxa"/>
            <w:vAlign w:val="center"/>
          </w:tcPr>
          <w:p w14:paraId="01F4B204">
            <w:pPr>
              <w:pStyle w:val="53"/>
              <w:spacing w:beforeLines="0" w:afterLines="0" w:line="240" w:lineRule="auto"/>
              <w:ind w:left="420" w:hanging="420"/>
              <w:rPr>
                <w:rFonts w:ascii="Times New Roman" w:eastAsia="宋体"/>
                <w:i/>
                <w:iCs/>
                <w:color w:val="auto"/>
                <w:sz w:val="24"/>
                <w:szCs w:val="24"/>
                <w:highlight w:val="none"/>
                <w:u w:val="single"/>
              </w:rPr>
            </w:pPr>
            <w:r>
              <w:rPr>
                <w:rFonts w:hint="eastAsia" w:ascii="Times New Roman" w:eastAsia="宋体"/>
                <w:i/>
                <w:iCs/>
                <w:color w:val="auto"/>
                <w:sz w:val="24"/>
                <w:szCs w:val="24"/>
                <w:highlight w:val="none"/>
                <w:u w:val="single"/>
              </w:rPr>
              <w:t>污水站污泥</w:t>
            </w:r>
          </w:p>
        </w:tc>
        <w:tc>
          <w:tcPr>
            <w:tcW w:w="1637" w:type="dxa"/>
            <w:vAlign w:val="center"/>
          </w:tcPr>
          <w:p w14:paraId="235DF8F4">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095" w:type="dxa"/>
            <w:vAlign w:val="center"/>
          </w:tcPr>
          <w:p w14:paraId="672476A4">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w:t>
            </w:r>
          </w:p>
        </w:tc>
        <w:tc>
          <w:tcPr>
            <w:tcW w:w="1620" w:type="dxa"/>
            <w:vAlign w:val="center"/>
          </w:tcPr>
          <w:p w14:paraId="7CE865CA">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7A95EC04">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lang w:val="en-US" w:eastAsia="zh-CN"/>
              </w:rPr>
              <w:t>3.7</w:t>
            </w:r>
            <w:r>
              <w:rPr>
                <w:rFonts w:ascii="Times New Roman"/>
                <w:i/>
                <w:iCs/>
                <w:color w:val="auto"/>
                <w:sz w:val="24"/>
                <w:szCs w:val="24"/>
                <w:highlight w:val="none"/>
                <w:u w:val="single"/>
              </w:rPr>
              <w:t>t/a</w:t>
            </w:r>
          </w:p>
        </w:tc>
        <w:tc>
          <w:tcPr>
            <w:tcW w:w="1500" w:type="dxa"/>
          </w:tcPr>
          <w:p w14:paraId="648C5C8C">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vAlign w:val="center"/>
          </w:tcPr>
          <w:p w14:paraId="77C753E1">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lang w:val="en-US" w:eastAsia="zh-CN"/>
              </w:rPr>
              <w:t>3.7</w:t>
            </w:r>
            <w:r>
              <w:rPr>
                <w:rFonts w:ascii="Times New Roman"/>
                <w:i/>
                <w:iCs/>
                <w:color w:val="auto"/>
                <w:sz w:val="24"/>
                <w:szCs w:val="24"/>
                <w:highlight w:val="none"/>
                <w:u w:val="single"/>
              </w:rPr>
              <w:t>t/a</w:t>
            </w:r>
          </w:p>
        </w:tc>
        <w:tc>
          <w:tcPr>
            <w:tcW w:w="1673" w:type="dxa"/>
            <w:vAlign w:val="center"/>
          </w:tcPr>
          <w:p w14:paraId="34E9C398">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w:t>
            </w:r>
            <w:r>
              <w:rPr>
                <w:rFonts w:hint="eastAsia" w:ascii="Times New Roman"/>
                <w:i/>
                <w:iCs/>
                <w:color w:val="auto"/>
                <w:sz w:val="24"/>
                <w:szCs w:val="24"/>
                <w:highlight w:val="none"/>
                <w:u w:val="single"/>
                <w:lang w:val="en-US" w:eastAsia="zh-CN"/>
              </w:rPr>
              <w:t>3.7</w:t>
            </w:r>
            <w:r>
              <w:rPr>
                <w:rFonts w:ascii="Times New Roman"/>
                <w:i/>
                <w:iCs/>
                <w:color w:val="auto"/>
                <w:sz w:val="24"/>
                <w:szCs w:val="24"/>
                <w:highlight w:val="none"/>
                <w:u w:val="single"/>
              </w:rPr>
              <w:t>t/a</w:t>
            </w:r>
          </w:p>
        </w:tc>
      </w:tr>
      <w:tr w14:paraId="1B5BB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63" w:type="dxa"/>
            <w:vMerge w:val="continue"/>
            <w:vAlign w:val="center"/>
          </w:tcPr>
          <w:p w14:paraId="5B7C4ABF">
            <w:pPr>
              <w:pStyle w:val="53"/>
              <w:spacing w:before="24" w:after="24" w:line="240" w:lineRule="auto"/>
              <w:ind w:left="420" w:hanging="420"/>
              <w:rPr>
                <w:rFonts w:ascii="Times New Roman"/>
                <w:i/>
                <w:iCs/>
                <w:snapToGrid w:val="0"/>
                <w:color w:val="auto"/>
                <w:kern w:val="21"/>
                <w:sz w:val="24"/>
                <w:szCs w:val="24"/>
                <w:highlight w:val="none"/>
                <w:u w:val="single"/>
              </w:rPr>
            </w:pPr>
          </w:p>
        </w:tc>
        <w:tc>
          <w:tcPr>
            <w:tcW w:w="1657" w:type="dxa"/>
            <w:vAlign w:val="center"/>
          </w:tcPr>
          <w:p w14:paraId="4A4C5814">
            <w:pPr>
              <w:pStyle w:val="53"/>
              <w:spacing w:beforeLines="0" w:afterLines="0" w:line="240" w:lineRule="auto"/>
              <w:ind w:left="420" w:hanging="420"/>
              <w:rPr>
                <w:rFonts w:ascii="Times New Roman" w:eastAsia="宋体"/>
                <w:i/>
                <w:iCs/>
                <w:color w:val="auto"/>
                <w:sz w:val="24"/>
                <w:szCs w:val="24"/>
                <w:highlight w:val="none"/>
                <w:u w:val="single"/>
              </w:rPr>
            </w:pPr>
            <w:r>
              <w:rPr>
                <w:rFonts w:hint="eastAsia" w:ascii="Times New Roman" w:eastAsia="宋体"/>
                <w:i/>
                <w:iCs/>
                <w:color w:val="auto"/>
                <w:sz w:val="24"/>
                <w:szCs w:val="24"/>
                <w:highlight w:val="none"/>
                <w:u w:val="single"/>
              </w:rPr>
              <w:t>废活性炭</w:t>
            </w:r>
          </w:p>
        </w:tc>
        <w:tc>
          <w:tcPr>
            <w:tcW w:w="1637" w:type="dxa"/>
            <w:vAlign w:val="center"/>
          </w:tcPr>
          <w:p w14:paraId="6DDBD72C">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095" w:type="dxa"/>
            <w:vAlign w:val="center"/>
          </w:tcPr>
          <w:p w14:paraId="25DAA002">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w:t>
            </w:r>
          </w:p>
        </w:tc>
        <w:tc>
          <w:tcPr>
            <w:tcW w:w="1620" w:type="dxa"/>
            <w:vAlign w:val="center"/>
          </w:tcPr>
          <w:p w14:paraId="4F392B4B">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5F3EA96C">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0.5</w:t>
            </w:r>
            <w:r>
              <w:rPr>
                <w:rFonts w:ascii="Times New Roman"/>
                <w:i/>
                <w:iCs/>
                <w:color w:val="auto"/>
                <w:sz w:val="24"/>
                <w:szCs w:val="24"/>
                <w:highlight w:val="none"/>
                <w:u w:val="single"/>
              </w:rPr>
              <w:t>t/a</w:t>
            </w:r>
          </w:p>
        </w:tc>
        <w:tc>
          <w:tcPr>
            <w:tcW w:w="1500" w:type="dxa"/>
          </w:tcPr>
          <w:p w14:paraId="01F67186">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vAlign w:val="center"/>
          </w:tcPr>
          <w:p w14:paraId="666DDAA0">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0.5</w:t>
            </w:r>
            <w:r>
              <w:rPr>
                <w:rFonts w:ascii="Times New Roman"/>
                <w:i/>
                <w:iCs/>
                <w:color w:val="auto"/>
                <w:sz w:val="24"/>
                <w:szCs w:val="24"/>
                <w:highlight w:val="none"/>
                <w:u w:val="single"/>
              </w:rPr>
              <w:t>t/a</w:t>
            </w:r>
          </w:p>
        </w:tc>
        <w:tc>
          <w:tcPr>
            <w:tcW w:w="1673" w:type="dxa"/>
            <w:vAlign w:val="center"/>
          </w:tcPr>
          <w:p w14:paraId="1F6907C4">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+0.5</w:t>
            </w:r>
            <w:r>
              <w:rPr>
                <w:rFonts w:ascii="Times New Roman"/>
                <w:i/>
                <w:iCs/>
                <w:color w:val="auto"/>
                <w:sz w:val="24"/>
                <w:szCs w:val="24"/>
                <w:highlight w:val="none"/>
                <w:u w:val="single"/>
              </w:rPr>
              <w:t>t/a</w:t>
            </w:r>
          </w:p>
        </w:tc>
      </w:tr>
      <w:tr w14:paraId="54384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63" w:type="dxa"/>
            <w:vMerge w:val="continue"/>
            <w:vAlign w:val="center"/>
          </w:tcPr>
          <w:p w14:paraId="2906FC7B">
            <w:pPr>
              <w:pStyle w:val="53"/>
              <w:spacing w:before="24" w:after="24" w:line="240" w:lineRule="auto"/>
              <w:ind w:left="420" w:hanging="420"/>
              <w:rPr>
                <w:rFonts w:ascii="Times New Roman"/>
                <w:i/>
                <w:iCs/>
                <w:snapToGrid w:val="0"/>
                <w:color w:val="auto"/>
                <w:kern w:val="21"/>
                <w:sz w:val="24"/>
                <w:szCs w:val="24"/>
                <w:highlight w:val="none"/>
                <w:u w:val="single"/>
              </w:rPr>
            </w:pPr>
          </w:p>
        </w:tc>
        <w:tc>
          <w:tcPr>
            <w:tcW w:w="1657" w:type="dxa"/>
            <w:vAlign w:val="center"/>
          </w:tcPr>
          <w:p w14:paraId="0C10D2BA">
            <w:pPr>
              <w:pStyle w:val="53"/>
              <w:spacing w:beforeLines="0" w:afterLines="0" w:line="240" w:lineRule="auto"/>
              <w:ind w:left="420" w:hanging="420"/>
              <w:rPr>
                <w:rFonts w:ascii="Times New Roman" w:eastAsia="宋体"/>
                <w:i/>
                <w:iCs/>
                <w:color w:val="auto"/>
                <w:sz w:val="24"/>
                <w:szCs w:val="24"/>
                <w:highlight w:val="none"/>
                <w:u w:val="single"/>
              </w:rPr>
            </w:pPr>
            <w:r>
              <w:rPr>
                <w:rFonts w:hint="eastAsia" w:ascii="Times New Roman" w:eastAsia="宋体"/>
                <w:i/>
                <w:iCs/>
                <w:color w:val="auto"/>
                <w:sz w:val="24"/>
                <w:szCs w:val="24"/>
                <w:highlight w:val="none"/>
                <w:u w:val="single"/>
              </w:rPr>
              <w:t>医疗废物</w:t>
            </w:r>
          </w:p>
        </w:tc>
        <w:tc>
          <w:tcPr>
            <w:tcW w:w="1637" w:type="dxa"/>
            <w:vAlign w:val="center"/>
          </w:tcPr>
          <w:p w14:paraId="7C70ED74">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095" w:type="dxa"/>
            <w:vAlign w:val="center"/>
          </w:tcPr>
          <w:p w14:paraId="13526AB6">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w:t>
            </w:r>
          </w:p>
        </w:tc>
        <w:tc>
          <w:tcPr>
            <w:tcW w:w="1620" w:type="dxa"/>
            <w:vAlign w:val="center"/>
          </w:tcPr>
          <w:p w14:paraId="5BD48D6D">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560" w:type="dxa"/>
            <w:vAlign w:val="center"/>
          </w:tcPr>
          <w:p w14:paraId="0442691D">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3.65</w:t>
            </w:r>
            <w:r>
              <w:rPr>
                <w:rFonts w:ascii="Times New Roman"/>
                <w:i/>
                <w:iCs/>
                <w:color w:val="auto"/>
                <w:sz w:val="24"/>
                <w:szCs w:val="24"/>
                <w:highlight w:val="none"/>
                <w:u w:val="single"/>
              </w:rPr>
              <w:t>t/a</w:t>
            </w:r>
          </w:p>
        </w:tc>
        <w:tc>
          <w:tcPr>
            <w:tcW w:w="1500" w:type="dxa"/>
          </w:tcPr>
          <w:p w14:paraId="02C74133">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0</w:t>
            </w:r>
          </w:p>
        </w:tc>
        <w:tc>
          <w:tcPr>
            <w:tcW w:w="1783" w:type="dxa"/>
            <w:vAlign w:val="center"/>
          </w:tcPr>
          <w:p w14:paraId="311CF5D4">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3.65</w:t>
            </w:r>
            <w:r>
              <w:rPr>
                <w:rFonts w:ascii="Times New Roman"/>
                <w:i/>
                <w:iCs/>
                <w:color w:val="auto"/>
                <w:sz w:val="24"/>
                <w:szCs w:val="24"/>
                <w:highlight w:val="none"/>
                <w:u w:val="single"/>
              </w:rPr>
              <w:t>t/a</w:t>
            </w:r>
          </w:p>
        </w:tc>
        <w:tc>
          <w:tcPr>
            <w:tcW w:w="1673" w:type="dxa"/>
            <w:vAlign w:val="center"/>
          </w:tcPr>
          <w:p w14:paraId="3F0F979E">
            <w:pPr>
              <w:pStyle w:val="53"/>
              <w:spacing w:beforeLines="0" w:afterLines="0" w:line="240" w:lineRule="auto"/>
              <w:ind w:left="420" w:hanging="420"/>
              <w:rPr>
                <w:rFonts w:ascii="Times New Roman"/>
                <w:i/>
                <w:iCs/>
                <w:color w:val="auto"/>
                <w:sz w:val="24"/>
                <w:szCs w:val="24"/>
                <w:highlight w:val="none"/>
                <w:u w:val="single"/>
              </w:rPr>
            </w:pPr>
            <w:r>
              <w:rPr>
                <w:rFonts w:hint="eastAsia" w:ascii="Times New Roman"/>
                <w:i/>
                <w:iCs/>
                <w:color w:val="auto"/>
                <w:sz w:val="24"/>
                <w:szCs w:val="24"/>
                <w:highlight w:val="none"/>
                <w:u w:val="single"/>
              </w:rPr>
              <w:t>+3.65</w:t>
            </w:r>
            <w:r>
              <w:rPr>
                <w:rFonts w:ascii="Times New Roman"/>
                <w:i/>
                <w:iCs/>
                <w:color w:val="auto"/>
                <w:sz w:val="24"/>
                <w:szCs w:val="24"/>
                <w:highlight w:val="none"/>
                <w:u w:val="single"/>
              </w:rPr>
              <w:t>t/a</w:t>
            </w:r>
          </w:p>
        </w:tc>
      </w:tr>
    </w:tbl>
    <w:p w14:paraId="0EB3B727">
      <w:pPr>
        <w:pStyle w:val="53"/>
        <w:spacing w:beforeLines="0" w:afterLines="0" w:line="240" w:lineRule="auto"/>
        <w:jc w:val="left"/>
        <w:rPr>
          <w:rFonts w:ascii="Times New Roman" w:eastAsia="宋体"/>
          <w:snapToGrid w:val="0"/>
          <w:color w:val="auto"/>
          <w:spacing w:val="-6"/>
          <w:kern w:val="21"/>
          <w:szCs w:val="21"/>
          <w:highlight w:val="none"/>
        </w:rPr>
      </w:pPr>
      <w:r>
        <w:rPr>
          <w:rFonts w:ascii="Times New Roman" w:eastAsia="宋体"/>
          <w:snapToGrid w:val="0"/>
          <w:color w:val="auto"/>
          <w:kern w:val="21"/>
          <w:szCs w:val="21"/>
          <w:highlight w:val="none"/>
        </w:rPr>
        <w:t>注：</w:t>
      </w:r>
      <w:r>
        <w:rPr>
          <w:rFonts w:ascii="Times New Roman" w:eastAsia="宋体"/>
          <w:snapToGrid w:val="0"/>
          <w:color w:val="auto"/>
          <w:spacing w:val="-16"/>
          <w:kern w:val="21"/>
          <w:szCs w:val="21"/>
          <w:highlight w:val="none"/>
        </w:rPr>
        <w:fldChar w:fldCharType="begin"/>
      </w:r>
      <w:r>
        <w:rPr>
          <w:rFonts w:ascii="Times New Roman" w:eastAsia="宋体"/>
          <w:snapToGrid w:val="0"/>
          <w:color w:val="auto"/>
          <w:spacing w:val="-16"/>
          <w:kern w:val="21"/>
          <w:szCs w:val="21"/>
          <w:highlight w:val="none"/>
        </w:rPr>
        <w:instrText xml:space="preserve"> = 6 \* GB3 \* MERGEFORMAT </w:instrText>
      </w:r>
      <w:r>
        <w:rPr>
          <w:rFonts w:ascii="Times New Roman" w:eastAsia="宋体"/>
          <w:snapToGrid w:val="0"/>
          <w:color w:val="auto"/>
          <w:spacing w:val="-16"/>
          <w:kern w:val="21"/>
          <w:szCs w:val="21"/>
          <w:highlight w:val="none"/>
        </w:rPr>
        <w:fldChar w:fldCharType="separate"/>
      </w:r>
      <w:r>
        <w:rPr>
          <w:rFonts w:ascii="Times New Roman" w:eastAsia="宋体"/>
          <w:color w:val="auto"/>
          <w:szCs w:val="21"/>
          <w:highlight w:val="none"/>
        </w:rPr>
        <w:t>⑥</w:t>
      </w:r>
      <w:r>
        <w:rPr>
          <w:rFonts w:ascii="Times New Roman" w:eastAsia="宋体"/>
          <w:snapToGrid w:val="0"/>
          <w:color w:val="auto"/>
          <w:spacing w:val="-16"/>
          <w:kern w:val="21"/>
          <w:szCs w:val="21"/>
          <w:highlight w:val="none"/>
        </w:rPr>
        <w:fldChar w:fldCharType="end"/>
      </w:r>
      <w:r>
        <w:rPr>
          <w:rFonts w:ascii="Times New Roman" w:eastAsia="宋体"/>
          <w:snapToGrid w:val="0"/>
          <w:color w:val="auto"/>
          <w:spacing w:val="-16"/>
          <w:kern w:val="21"/>
          <w:szCs w:val="21"/>
          <w:highlight w:val="none"/>
        </w:rPr>
        <w:t>=</w:t>
      </w:r>
      <w:r>
        <w:rPr>
          <w:rFonts w:ascii="Times New Roman" w:eastAsia="宋体"/>
          <w:snapToGrid w:val="0"/>
          <w:color w:val="auto"/>
          <w:spacing w:val="-6"/>
          <w:kern w:val="21"/>
          <w:szCs w:val="21"/>
          <w:highlight w:val="none"/>
        </w:rPr>
        <w:fldChar w:fldCharType="begin"/>
      </w:r>
      <w:r>
        <w:rPr>
          <w:rFonts w:ascii="Times New Roman" w:eastAsia="宋体"/>
          <w:snapToGrid w:val="0"/>
          <w:color w:val="auto"/>
          <w:spacing w:val="-6"/>
          <w:kern w:val="21"/>
          <w:szCs w:val="21"/>
          <w:highlight w:val="none"/>
        </w:rPr>
        <w:instrText xml:space="preserve"> = 1 \* GB3 \* MERGEFORMAT </w:instrText>
      </w:r>
      <w:r>
        <w:rPr>
          <w:rFonts w:ascii="Times New Roman" w:eastAsia="宋体"/>
          <w:snapToGrid w:val="0"/>
          <w:color w:val="auto"/>
          <w:spacing w:val="-6"/>
          <w:kern w:val="21"/>
          <w:szCs w:val="21"/>
          <w:highlight w:val="none"/>
        </w:rPr>
        <w:fldChar w:fldCharType="separate"/>
      </w:r>
      <w:r>
        <w:rPr>
          <w:rFonts w:ascii="Times New Roman" w:eastAsia="宋体"/>
          <w:color w:val="auto"/>
          <w:szCs w:val="21"/>
          <w:highlight w:val="none"/>
        </w:rPr>
        <w:t>①</w:t>
      </w:r>
      <w:r>
        <w:rPr>
          <w:rFonts w:ascii="Times New Roman" w:eastAsia="宋体"/>
          <w:snapToGrid w:val="0"/>
          <w:color w:val="auto"/>
          <w:spacing w:val="-6"/>
          <w:kern w:val="21"/>
          <w:szCs w:val="21"/>
          <w:highlight w:val="none"/>
        </w:rPr>
        <w:fldChar w:fldCharType="end"/>
      </w:r>
      <w:r>
        <w:rPr>
          <w:rFonts w:ascii="Times New Roman" w:eastAsia="宋体"/>
          <w:snapToGrid w:val="0"/>
          <w:color w:val="auto"/>
          <w:spacing w:val="-6"/>
          <w:kern w:val="21"/>
          <w:szCs w:val="21"/>
          <w:highlight w:val="none"/>
        </w:rPr>
        <w:t>+</w:t>
      </w:r>
      <w:r>
        <w:rPr>
          <w:rFonts w:ascii="Times New Roman" w:eastAsia="宋体"/>
          <w:snapToGrid w:val="0"/>
          <w:color w:val="auto"/>
          <w:spacing w:val="-6"/>
          <w:kern w:val="21"/>
          <w:szCs w:val="21"/>
          <w:highlight w:val="none"/>
        </w:rPr>
        <w:fldChar w:fldCharType="begin"/>
      </w:r>
      <w:r>
        <w:rPr>
          <w:rFonts w:ascii="Times New Roman" w:eastAsia="宋体"/>
          <w:snapToGrid w:val="0"/>
          <w:color w:val="auto"/>
          <w:spacing w:val="-6"/>
          <w:kern w:val="21"/>
          <w:szCs w:val="21"/>
          <w:highlight w:val="none"/>
        </w:rPr>
        <w:instrText xml:space="preserve"> = 3 \* GB3 \* MERGEFORMAT </w:instrText>
      </w:r>
      <w:r>
        <w:rPr>
          <w:rFonts w:ascii="Times New Roman" w:eastAsia="宋体"/>
          <w:snapToGrid w:val="0"/>
          <w:color w:val="auto"/>
          <w:spacing w:val="-6"/>
          <w:kern w:val="21"/>
          <w:szCs w:val="21"/>
          <w:highlight w:val="none"/>
        </w:rPr>
        <w:fldChar w:fldCharType="separate"/>
      </w:r>
      <w:r>
        <w:rPr>
          <w:rFonts w:ascii="Times New Roman" w:eastAsia="宋体"/>
          <w:color w:val="auto"/>
          <w:szCs w:val="21"/>
          <w:highlight w:val="none"/>
        </w:rPr>
        <w:t>③</w:t>
      </w:r>
      <w:r>
        <w:rPr>
          <w:rFonts w:ascii="Times New Roman" w:eastAsia="宋体"/>
          <w:snapToGrid w:val="0"/>
          <w:color w:val="auto"/>
          <w:spacing w:val="-6"/>
          <w:kern w:val="21"/>
          <w:szCs w:val="21"/>
          <w:highlight w:val="none"/>
        </w:rPr>
        <w:fldChar w:fldCharType="end"/>
      </w:r>
      <w:r>
        <w:rPr>
          <w:rFonts w:ascii="Times New Roman" w:eastAsia="宋体"/>
          <w:snapToGrid w:val="0"/>
          <w:color w:val="auto"/>
          <w:spacing w:val="-6"/>
          <w:kern w:val="21"/>
          <w:szCs w:val="21"/>
          <w:highlight w:val="none"/>
        </w:rPr>
        <w:t>+</w:t>
      </w:r>
      <w:r>
        <w:rPr>
          <w:rFonts w:ascii="Times New Roman" w:eastAsia="宋体"/>
          <w:snapToGrid w:val="0"/>
          <w:color w:val="auto"/>
          <w:spacing w:val="-6"/>
          <w:kern w:val="21"/>
          <w:szCs w:val="21"/>
          <w:highlight w:val="none"/>
        </w:rPr>
        <w:fldChar w:fldCharType="begin"/>
      </w:r>
      <w:r>
        <w:rPr>
          <w:rFonts w:ascii="Times New Roman" w:eastAsia="宋体"/>
          <w:snapToGrid w:val="0"/>
          <w:color w:val="auto"/>
          <w:spacing w:val="-6"/>
          <w:kern w:val="21"/>
          <w:szCs w:val="21"/>
          <w:highlight w:val="none"/>
        </w:rPr>
        <w:instrText xml:space="preserve"> = 4 \* GB3 \* MERGEFORMAT </w:instrText>
      </w:r>
      <w:r>
        <w:rPr>
          <w:rFonts w:ascii="Times New Roman" w:eastAsia="宋体"/>
          <w:snapToGrid w:val="0"/>
          <w:color w:val="auto"/>
          <w:spacing w:val="-6"/>
          <w:kern w:val="21"/>
          <w:szCs w:val="21"/>
          <w:highlight w:val="none"/>
        </w:rPr>
        <w:fldChar w:fldCharType="separate"/>
      </w:r>
      <w:r>
        <w:rPr>
          <w:rFonts w:ascii="Times New Roman" w:eastAsia="宋体"/>
          <w:color w:val="auto"/>
          <w:szCs w:val="21"/>
          <w:highlight w:val="none"/>
        </w:rPr>
        <w:t>④</w:t>
      </w:r>
      <w:r>
        <w:rPr>
          <w:rFonts w:ascii="Times New Roman" w:eastAsia="宋体"/>
          <w:snapToGrid w:val="0"/>
          <w:color w:val="auto"/>
          <w:spacing w:val="-6"/>
          <w:kern w:val="21"/>
          <w:szCs w:val="21"/>
          <w:highlight w:val="none"/>
        </w:rPr>
        <w:fldChar w:fldCharType="end"/>
      </w:r>
      <w:r>
        <w:rPr>
          <w:rFonts w:ascii="Times New Roman" w:eastAsia="宋体"/>
          <w:snapToGrid w:val="0"/>
          <w:color w:val="auto"/>
          <w:spacing w:val="-6"/>
          <w:kern w:val="21"/>
          <w:szCs w:val="21"/>
          <w:highlight w:val="none"/>
        </w:rPr>
        <w:t>-</w:t>
      </w:r>
      <w:r>
        <w:rPr>
          <w:rFonts w:ascii="Times New Roman" w:eastAsia="宋体"/>
          <w:snapToGrid w:val="0"/>
          <w:color w:val="auto"/>
          <w:spacing w:val="-16"/>
          <w:kern w:val="21"/>
          <w:szCs w:val="21"/>
          <w:highlight w:val="none"/>
        </w:rPr>
        <w:fldChar w:fldCharType="begin"/>
      </w:r>
      <w:r>
        <w:rPr>
          <w:rFonts w:ascii="Times New Roman" w:eastAsia="宋体"/>
          <w:snapToGrid w:val="0"/>
          <w:color w:val="auto"/>
          <w:spacing w:val="-16"/>
          <w:kern w:val="21"/>
          <w:szCs w:val="21"/>
          <w:highlight w:val="none"/>
        </w:rPr>
        <w:instrText xml:space="preserve"> = 5 \* GB3 \* MERGEFORMAT </w:instrText>
      </w:r>
      <w:r>
        <w:rPr>
          <w:rFonts w:ascii="Times New Roman" w:eastAsia="宋体"/>
          <w:snapToGrid w:val="0"/>
          <w:color w:val="auto"/>
          <w:spacing w:val="-16"/>
          <w:kern w:val="21"/>
          <w:szCs w:val="21"/>
          <w:highlight w:val="none"/>
        </w:rPr>
        <w:fldChar w:fldCharType="separate"/>
      </w:r>
      <w:r>
        <w:rPr>
          <w:rFonts w:ascii="Times New Roman" w:eastAsia="宋体"/>
          <w:color w:val="auto"/>
          <w:szCs w:val="21"/>
          <w:highlight w:val="none"/>
        </w:rPr>
        <w:t>⑤</w:t>
      </w:r>
      <w:r>
        <w:rPr>
          <w:rFonts w:ascii="Times New Roman" w:eastAsia="宋体"/>
          <w:snapToGrid w:val="0"/>
          <w:color w:val="auto"/>
          <w:spacing w:val="-16"/>
          <w:kern w:val="21"/>
          <w:szCs w:val="21"/>
          <w:highlight w:val="none"/>
        </w:rPr>
        <w:fldChar w:fldCharType="end"/>
      </w:r>
      <w:r>
        <w:rPr>
          <w:rFonts w:ascii="Times New Roman" w:eastAsia="宋体"/>
          <w:snapToGrid w:val="0"/>
          <w:color w:val="auto"/>
          <w:spacing w:val="-16"/>
          <w:kern w:val="21"/>
          <w:szCs w:val="21"/>
          <w:highlight w:val="none"/>
        </w:rPr>
        <w:t>；</w:t>
      </w:r>
      <w:r>
        <w:rPr>
          <w:rFonts w:ascii="Times New Roman" w:eastAsia="宋体"/>
          <w:snapToGrid w:val="0"/>
          <w:color w:val="auto"/>
          <w:spacing w:val="-6"/>
          <w:kern w:val="21"/>
          <w:szCs w:val="21"/>
          <w:highlight w:val="none"/>
        </w:rPr>
        <w:fldChar w:fldCharType="begin"/>
      </w:r>
      <w:r>
        <w:rPr>
          <w:rFonts w:ascii="Times New Roman" w:eastAsia="宋体"/>
          <w:snapToGrid w:val="0"/>
          <w:color w:val="auto"/>
          <w:spacing w:val="-6"/>
          <w:kern w:val="21"/>
          <w:szCs w:val="21"/>
          <w:highlight w:val="none"/>
        </w:rPr>
        <w:instrText xml:space="preserve"> = 7 \* GB3 \* MERGEFORMAT </w:instrText>
      </w:r>
      <w:r>
        <w:rPr>
          <w:rFonts w:ascii="Times New Roman" w:eastAsia="宋体"/>
          <w:snapToGrid w:val="0"/>
          <w:color w:val="auto"/>
          <w:spacing w:val="-6"/>
          <w:kern w:val="21"/>
          <w:szCs w:val="21"/>
          <w:highlight w:val="none"/>
        </w:rPr>
        <w:fldChar w:fldCharType="separate"/>
      </w:r>
      <w:r>
        <w:rPr>
          <w:rFonts w:ascii="Times New Roman" w:eastAsia="宋体"/>
          <w:color w:val="auto"/>
          <w:szCs w:val="21"/>
          <w:highlight w:val="none"/>
        </w:rPr>
        <w:t>⑦</w:t>
      </w:r>
      <w:r>
        <w:rPr>
          <w:rFonts w:ascii="Times New Roman" w:eastAsia="宋体"/>
          <w:snapToGrid w:val="0"/>
          <w:color w:val="auto"/>
          <w:spacing w:val="-6"/>
          <w:kern w:val="21"/>
          <w:szCs w:val="21"/>
          <w:highlight w:val="none"/>
        </w:rPr>
        <w:fldChar w:fldCharType="end"/>
      </w:r>
      <w:r>
        <w:rPr>
          <w:rFonts w:ascii="Times New Roman" w:eastAsia="宋体"/>
          <w:snapToGrid w:val="0"/>
          <w:color w:val="auto"/>
          <w:spacing w:val="-6"/>
          <w:kern w:val="21"/>
          <w:szCs w:val="21"/>
          <w:highlight w:val="none"/>
        </w:rPr>
        <w:t>=</w:t>
      </w:r>
      <w:r>
        <w:rPr>
          <w:rFonts w:ascii="Times New Roman" w:eastAsia="宋体"/>
          <w:snapToGrid w:val="0"/>
          <w:color w:val="auto"/>
          <w:spacing w:val="-16"/>
          <w:kern w:val="21"/>
          <w:szCs w:val="21"/>
          <w:highlight w:val="none"/>
        </w:rPr>
        <w:fldChar w:fldCharType="begin"/>
      </w:r>
      <w:r>
        <w:rPr>
          <w:rFonts w:ascii="Times New Roman" w:eastAsia="宋体"/>
          <w:snapToGrid w:val="0"/>
          <w:color w:val="auto"/>
          <w:spacing w:val="-16"/>
          <w:kern w:val="21"/>
          <w:szCs w:val="21"/>
          <w:highlight w:val="none"/>
        </w:rPr>
        <w:instrText xml:space="preserve"> = 6 \* GB3 \* MERGEFORMAT </w:instrText>
      </w:r>
      <w:r>
        <w:rPr>
          <w:rFonts w:ascii="Times New Roman" w:eastAsia="宋体"/>
          <w:snapToGrid w:val="0"/>
          <w:color w:val="auto"/>
          <w:spacing w:val="-16"/>
          <w:kern w:val="21"/>
          <w:szCs w:val="21"/>
          <w:highlight w:val="none"/>
        </w:rPr>
        <w:fldChar w:fldCharType="separate"/>
      </w:r>
      <w:r>
        <w:rPr>
          <w:rFonts w:ascii="Times New Roman" w:eastAsia="宋体"/>
          <w:color w:val="auto"/>
          <w:szCs w:val="21"/>
          <w:highlight w:val="none"/>
        </w:rPr>
        <w:t>⑥</w:t>
      </w:r>
      <w:r>
        <w:rPr>
          <w:rFonts w:ascii="Times New Roman" w:eastAsia="宋体"/>
          <w:snapToGrid w:val="0"/>
          <w:color w:val="auto"/>
          <w:spacing w:val="-16"/>
          <w:kern w:val="21"/>
          <w:szCs w:val="21"/>
          <w:highlight w:val="none"/>
        </w:rPr>
        <w:fldChar w:fldCharType="end"/>
      </w:r>
      <w:r>
        <w:rPr>
          <w:rFonts w:ascii="Times New Roman" w:eastAsia="宋体"/>
          <w:snapToGrid w:val="0"/>
          <w:color w:val="auto"/>
          <w:spacing w:val="-16"/>
          <w:kern w:val="21"/>
          <w:szCs w:val="21"/>
          <w:highlight w:val="none"/>
        </w:rPr>
        <w:t>-</w:t>
      </w:r>
      <w:r>
        <w:rPr>
          <w:rFonts w:ascii="Times New Roman" w:eastAsia="宋体"/>
          <w:snapToGrid w:val="0"/>
          <w:color w:val="auto"/>
          <w:spacing w:val="-6"/>
          <w:kern w:val="21"/>
          <w:szCs w:val="21"/>
          <w:highlight w:val="none"/>
        </w:rPr>
        <w:fldChar w:fldCharType="begin"/>
      </w:r>
      <w:r>
        <w:rPr>
          <w:rFonts w:ascii="Times New Roman" w:eastAsia="宋体"/>
          <w:snapToGrid w:val="0"/>
          <w:color w:val="auto"/>
          <w:spacing w:val="-6"/>
          <w:kern w:val="21"/>
          <w:szCs w:val="21"/>
          <w:highlight w:val="none"/>
        </w:rPr>
        <w:instrText xml:space="preserve"> = 1 \* GB3 \* MERGEFORMAT </w:instrText>
      </w:r>
      <w:r>
        <w:rPr>
          <w:rFonts w:ascii="Times New Roman" w:eastAsia="宋体"/>
          <w:snapToGrid w:val="0"/>
          <w:color w:val="auto"/>
          <w:spacing w:val="-6"/>
          <w:kern w:val="21"/>
          <w:szCs w:val="21"/>
          <w:highlight w:val="none"/>
        </w:rPr>
        <w:fldChar w:fldCharType="separate"/>
      </w:r>
      <w:r>
        <w:rPr>
          <w:rFonts w:ascii="Times New Roman" w:eastAsia="宋体"/>
          <w:color w:val="auto"/>
          <w:szCs w:val="21"/>
          <w:highlight w:val="none"/>
        </w:rPr>
        <w:t>①</w:t>
      </w:r>
      <w:r>
        <w:rPr>
          <w:rFonts w:ascii="Times New Roman" w:eastAsia="宋体"/>
          <w:snapToGrid w:val="0"/>
          <w:color w:val="auto"/>
          <w:spacing w:val="-6"/>
          <w:kern w:val="21"/>
          <w:szCs w:val="21"/>
          <w:highlight w:val="none"/>
        </w:rPr>
        <w:fldChar w:fldCharType="end"/>
      </w:r>
    </w:p>
    <w:p w14:paraId="329FF512">
      <w:pPr>
        <w:jc w:val="center"/>
        <w:rPr>
          <w:color w:val="auto"/>
          <w:highlight w:val="none"/>
        </w:rPr>
      </w:pPr>
      <w:r>
        <w:rPr>
          <w:color w:val="auto"/>
          <w:highlight w:val="none"/>
          <w:u w:val="single"/>
        </w:rPr>
        <mc:AlternateContent>
          <mc:Choice Requires="wps">
            <w:drawing>
              <wp:anchor distT="0" distB="0" distL="114300" distR="114300" simplePos="0" relativeHeight="251663360" behindDoc="0" locked="0" layoutInCell="1" allowOverlap="1">
                <wp:simplePos x="0" y="0"/>
                <wp:positionH relativeFrom="column">
                  <wp:posOffset>2257425</wp:posOffset>
                </wp:positionH>
                <wp:positionV relativeFrom="paragraph">
                  <wp:posOffset>5115560</wp:posOffset>
                </wp:positionV>
                <wp:extent cx="4032250" cy="746125"/>
                <wp:effectExtent l="0" t="0" r="6350" b="15875"/>
                <wp:wrapNone/>
                <wp:docPr id="28" name="文本框 28"/>
                <wp:cNvGraphicFramePr/>
                <a:graphic xmlns:a="http://schemas.openxmlformats.org/drawingml/2006/main">
                  <a:graphicData uri="http://schemas.microsoft.com/office/word/2010/wordprocessingShape">
                    <wps:wsp>
                      <wps:cNvSpPr txBox="1"/>
                      <wps:spPr>
                        <a:xfrm>
                          <a:off x="0" y="0"/>
                          <a:ext cx="4032250" cy="746125"/>
                        </a:xfrm>
                        <a:prstGeom prst="rect">
                          <a:avLst/>
                        </a:prstGeom>
                        <a:solidFill>
                          <a:srgbClr val="FFFFFF"/>
                        </a:solidFill>
                        <a:ln>
                          <a:noFill/>
                        </a:ln>
                      </wps:spPr>
                      <wps:txbx>
                        <w:txbxContent>
                          <w:p w14:paraId="11D0FC36">
                            <w:pPr>
                              <w:jc w:val="center"/>
                              <w:rPr>
                                <w:rFonts w:hint="eastAsia" w:ascii="黑体" w:hAnsi="黑体" w:eastAsia="黑体" w:cs="黑体"/>
                                <w:sz w:val="44"/>
                                <w:szCs w:val="44"/>
                              </w:rPr>
                            </w:pPr>
                            <w:r>
                              <w:rPr>
                                <w:rFonts w:hint="eastAsia" w:ascii="黑体" w:hAnsi="黑体" w:eastAsia="黑体" w:cs="黑体"/>
                                <w:sz w:val="44"/>
                                <w:szCs w:val="44"/>
                              </w:rPr>
                              <w:t>附图1 建设项目地理位置图</w:t>
                            </w:r>
                          </w:p>
                        </w:txbxContent>
                      </wps:txbx>
                      <wps:bodyPr upright="1"/>
                    </wps:wsp>
                  </a:graphicData>
                </a:graphic>
              </wp:anchor>
            </w:drawing>
          </mc:Choice>
          <mc:Fallback>
            <w:pict>
              <v:shape id="_x0000_s1026" o:spid="_x0000_s1026" o:spt="202" type="#_x0000_t202" style="position:absolute;left:0pt;margin-left:177.75pt;margin-top:402.8pt;height:58.75pt;width:317.5pt;z-index:251663360;mso-width-relative:page;mso-height-relative:page;" fillcolor="#FFFFFF" filled="t" stroked="f" coordsize="21600,21600" o:gfxdata="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t6beu2AAAAAsBAAAPAAAAAAAAAAEAIAAAACIAAABkcnMvZG93bnJldi54&#10;bWxQSwECFAAUAAAACACHTuJAxw/rTcEBAAB5AwAADgAAAAAAAAABACAAAAAnAQAAZHJzL2Uyb0Rv&#10;Yy54bWxQSwUGAAAAAAYABgBZAQAAWgUAAAAA&#10;">
                <v:fill on="t" focussize="0,0"/>
                <v:stroke on="f"/>
                <v:imagedata o:title=""/>
                <o:lock v:ext="edit" aspectratio="f"/>
                <v:textbox>
                  <w:txbxContent>
                    <w:p w14:paraId="11D0FC36">
                      <w:pPr>
                        <w:jc w:val="center"/>
                        <w:rPr>
                          <w:rFonts w:hint="eastAsia" w:ascii="黑体" w:hAnsi="黑体" w:eastAsia="黑体" w:cs="黑体"/>
                          <w:sz w:val="44"/>
                          <w:szCs w:val="44"/>
                        </w:rPr>
                      </w:pPr>
                      <w:r>
                        <w:rPr>
                          <w:rFonts w:hint="eastAsia" w:ascii="黑体" w:hAnsi="黑体" w:eastAsia="黑体" w:cs="黑体"/>
                          <w:sz w:val="44"/>
                          <w:szCs w:val="44"/>
                        </w:rPr>
                        <w:t>附图1 建设项目地理位置图</w:t>
                      </w:r>
                    </w:p>
                  </w:txbxContent>
                </v:textbox>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3658870</wp:posOffset>
                </wp:positionH>
                <wp:positionV relativeFrom="paragraph">
                  <wp:posOffset>2520315</wp:posOffset>
                </wp:positionV>
                <wp:extent cx="970280" cy="419100"/>
                <wp:effectExtent l="210185" t="6350" r="19685" b="374650"/>
                <wp:wrapNone/>
                <wp:docPr id="53" name="矩形标注 53"/>
                <wp:cNvGraphicFramePr/>
                <a:graphic xmlns:a="http://schemas.openxmlformats.org/drawingml/2006/main">
                  <a:graphicData uri="http://schemas.microsoft.com/office/word/2010/wordprocessingShape">
                    <wps:wsp>
                      <wps:cNvSpPr/>
                      <wps:spPr>
                        <a:xfrm>
                          <a:off x="4037330" y="3915410"/>
                          <a:ext cx="970280" cy="419100"/>
                        </a:xfrm>
                        <a:prstGeom prst="wedgeRectCallout">
                          <a:avLst>
                            <a:gd name="adj1" fmla="val -67637"/>
                            <a:gd name="adj2" fmla="val 128484"/>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05E97">
                            <w:pPr>
                              <w:jc w:val="center"/>
                            </w:pPr>
                            <w:r>
                              <w:rPr>
                                <w:rFonts w:hint="eastAsia"/>
                                <w:color w:val="000000" w:themeColor="text1"/>
                                <w14:textFill>
                                  <w14:solidFill>
                                    <w14:schemeClr w14:val="tx1"/>
                                  </w14:solidFill>
                                </w14:textFill>
                              </w:rPr>
                              <w:t>项目位置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88.1pt;margin-top:198.45pt;height:33pt;width:76.4pt;z-index:251666432;v-text-anchor:middle;mso-width-relative:page;mso-height-relative:page;" fillcolor="#FFFFFF [3212]" filled="t" stroked="t" coordsize="21600,21600" o:gfxdata="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tcc2h&#10;1wAAAAsBAAAPAAAAAAAAAAEAIAAAACIAAABkcnMvZG93bnJldi54bWxQSwECFAAUAAAACACHTuJA&#10;NqFWYc0CAACSBQAADgAAAAAAAAABACAAAAAmAQAAZHJzL2Uyb0RvYy54bWxQSwUGAAAAAAYABgBZ&#10;AQAAZQYAAAAA&#10;" adj="-3810,38553">
                <v:fill on="t" focussize="0,0"/>
                <v:stroke weight="1pt" color="#41719C [3204]" miterlimit="8" joinstyle="miter"/>
                <v:imagedata o:title=""/>
                <o:lock v:ext="edit" aspectratio="f"/>
                <v:textbox>
                  <w:txbxContent>
                    <w:p w14:paraId="56405E97">
                      <w:pPr>
                        <w:jc w:val="center"/>
                      </w:pPr>
                      <w:r>
                        <w:rPr>
                          <w:rFonts w:hint="eastAsia"/>
                          <w:color w:val="000000" w:themeColor="text1"/>
                          <w14:textFill>
                            <w14:solidFill>
                              <w14:schemeClr w14:val="tx1"/>
                            </w14:solidFill>
                          </w14:textFill>
                        </w:rPr>
                        <w:t>项目位置</w:t>
                      </w:r>
                    </w:p>
                  </w:txbxContent>
                </v:textbox>
              </v:shape>
            </w:pict>
          </mc:Fallback>
        </mc:AlternateContent>
      </w:r>
      <w:r>
        <w:rPr>
          <w:color w:val="auto"/>
          <w:highlight w:val="none"/>
          <w:u w:val="single"/>
        </w:rPr>
        <mc:AlternateContent>
          <mc:Choice Requires="wps">
            <w:drawing>
              <wp:anchor distT="0" distB="0" distL="114300" distR="114300" simplePos="0" relativeHeight="251661312" behindDoc="0" locked="0" layoutInCell="1" allowOverlap="1">
                <wp:simplePos x="0" y="0"/>
                <wp:positionH relativeFrom="column">
                  <wp:posOffset>1866900</wp:posOffset>
                </wp:positionH>
                <wp:positionV relativeFrom="paragraph">
                  <wp:posOffset>5394960</wp:posOffset>
                </wp:positionV>
                <wp:extent cx="4606925" cy="53086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4606925" cy="530860"/>
                        </a:xfrm>
                        <a:prstGeom prst="rect">
                          <a:avLst/>
                        </a:prstGeom>
                        <a:noFill/>
                        <a:ln>
                          <a:noFill/>
                        </a:ln>
                      </wps:spPr>
                      <wps:txbx>
                        <w:txbxContent>
                          <w:p w14:paraId="1F77ABE7">
                            <w:pPr>
                              <w:jc w:val="center"/>
                              <w:rPr>
                                <w:rFonts w:hint="eastAsia" w:ascii="黑体" w:hAnsi="黑体" w:eastAsia="黑体" w:cs="黑体"/>
                                <w:sz w:val="44"/>
                                <w:szCs w:val="44"/>
                              </w:rPr>
                            </w:pPr>
                            <w:r>
                              <w:rPr>
                                <w:rFonts w:hint="eastAsia" w:ascii="黑体" w:hAnsi="黑体" w:eastAsia="黑体" w:cs="黑体"/>
                                <w:sz w:val="44"/>
                                <w:szCs w:val="44"/>
                              </w:rPr>
                              <w:t>附图2 长春市环境管控单元分布图</w:t>
                            </w:r>
                          </w:p>
                        </w:txbxContent>
                      </wps:txbx>
                      <wps:bodyPr upright="1"/>
                    </wps:wsp>
                  </a:graphicData>
                </a:graphic>
              </wp:anchor>
            </w:drawing>
          </mc:Choice>
          <mc:Fallback>
            <w:pict>
              <v:shape id="_x0000_s1026" o:spid="_x0000_s1026" o:spt="202" type="#_x0000_t202" style="position:absolute;left:0pt;margin-left:147pt;margin-top:424.8pt;height:41.8pt;width:362.75pt;z-index:251661312;mso-width-relative:page;mso-height-relative:page;" filled="f" stroked="f" coordsize="21600,21600" o:gfxdata="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n0y&#10;99kAAAAMAQAADwAAAAAAAAABACAAAAAiAAAAZHJzL2Rvd25yZXYueG1sUEsBAhQAFAAAAAgAh07i&#10;QIPOr2GvAQAAUAMAAA4AAAAAAAAAAQAgAAAAKAEAAGRycy9lMm9Eb2MueG1sUEsFBgAAAAAGAAYA&#10;WQEAAEkFAAAAAA==&#10;">
                <v:fill on="f" focussize="0,0"/>
                <v:stroke on="f"/>
                <v:imagedata o:title=""/>
                <o:lock v:ext="edit" aspectratio="f"/>
                <v:textbox>
                  <w:txbxContent>
                    <w:p w14:paraId="1F77ABE7">
                      <w:pPr>
                        <w:jc w:val="center"/>
                        <w:rPr>
                          <w:rFonts w:hint="eastAsia" w:ascii="黑体" w:hAnsi="黑体" w:eastAsia="黑体" w:cs="黑体"/>
                          <w:sz w:val="44"/>
                          <w:szCs w:val="44"/>
                        </w:rPr>
                      </w:pPr>
                      <w:r>
                        <w:rPr>
                          <w:rFonts w:hint="eastAsia" w:ascii="黑体" w:hAnsi="黑体" w:eastAsia="黑体" w:cs="黑体"/>
                          <w:sz w:val="44"/>
                          <w:szCs w:val="44"/>
                        </w:rPr>
                        <w:t>附图2 长春市环境管控单元分布图</w:t>
                      </w:r>
                    </w:p>
                  </w:txbxContent>
                </v:textbox>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203835</wp:posOffset>
                </wp:positionH>
                <wp:positionV relativeFrom="paragraph">
                  <wp:posOffset>4469130</wp:posOffset>
                </wp:positionV>
                <wp:extent cx="266065" cy="199390"/>
                <wp:effectExtent l="24130" t="16510" r="33655" b="31750"/>
                <wp:wrapNone/>
                <wp:docPr id="76" name="五角星 76"/>
                <wp:cNvGraphicFramePr/>
                <a:graphic xmlns:a="http://schemas.openxmlformats.org/drawingml/2006/main">
                  <a:graphicData uri="http://schemas.microsoft.com/office/word/2010/wordprocessingShape">
                    <wps:wsp>
                      <wps:cNvSpPr/>
                      <wps:spPr>
                        <a:xfrm>
                          <a:off x="0" y="0"/>
                          <a:ext cx="266065" cy="199390"/>
                        </a:xfrm>
                        <a:prstGeom prst="star5">
                          <a:avLst/>
                        </a:prstGeom>
                        <a:solidFill>
                          <a:srgbClr val="00B050"/>
                        </a:solidFill>
                        <a:ln>
                          <a:solidFill>
                            <a:srgbClr val="00B05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05pt;margin-top:351.9pt;height:15.7pt;width:20.95pt;z-index:251673600;v-text-anchor:middle;mso-width-relative:page;mso-height-relative:page;" fillcolor="#00B050" filled="t" stroked="t" coordsize="266065,199390" o:gfxdata="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&#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HmNgt2gAAAAkBAAAPAAAAAAAAAAEAIAAAACIAAABk&#10;cnMvZG93bnJldi54bWxQSwECFAAUAAAACACHTuJAi3eZrnYCAAD5BAAADgAAAAAAAAABACAAAAAp&#10;AQAAZHJzL2Uyb0RvYy54bWxQSwUGAAAAAAYABgBZAQAAEQYAAAAA&#10;" path="m0,76160l101628,76160,133032,0,164436,76160,266064,76160,183845,123229,215250,199389,133032,152319,50814,199389,82219,123229xe">
                <v:path o:connectlocs="133032,0;0,76160;50814,199389;215250,199389;266064,76160" o:connectangles="247,164,82,82,0"/>
                <v:fill on="t" focussize="0,0"/>
                <v:stroke weight="1pt" color="#00B050 [2404]" miterlimit="8" joinstyle="miter"/>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163830</wp:posOffset>
                </wp:positionH>
                <wp:positionV relativeFrom="paragraph">
                  <wp:posOffset>4803775</wp:posOffset>
                </wp:positionV>
                <wp:extent cx="295275" cy="137795"/>
                <wp:effectExtent l="6350" t="6350" r="22225" b="8255"/>
                <wp:wrapNone/>
                <wp:docPr id="5" name="矩形 5"/>
                <wp:cNvGraphicFramePr/>
                <a:graphic xmlns:a="http://schemas.openxmlformats.org/drawingml/2006/main">
                  <a:graphicData uri="http://schemas.microsoft.com/office/word/2010/wordprocessingShape">
                    <wps:wsp>
                      <wps:cNvSpPr/>
                      <wps:spPr>
                        <a:xfrm>
                          <a:off x="3155950" y="5060950"/>
                          <a:ext cx="295275" cy="137795"/>
                        </a:xfrm>
                        <a:prstGeom prst="rect">
                          <a:avLst/>
                        </a:prstGeom>
                        <a:solidFill>
                          <a:srgbClr val="0000FF"/>
                        </a:solidFill>
                        <a:ln>
                          <a:solidFill>
                            <a:srgbClr val="C81D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9pt;margin-top:378.25pt;height:10.85pt;width:23.25pt;z-index:251667456;v-text-anchor:middle;mso-width-relative:page;mso-height-relative:page;" fillcolor="#0000FF" filled="t" stroked="t" coordsize="21600,21600" o:gfxdata="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3wTWc2gAAAAkBAAAPAAAAAAAAAAEA&#10;IAAAACIAAABkcnMvZG93bnJldi54bWxQSwECFAAUAAAACACHTuJAgxNGBn8CAAD/BAAADgAAAAAA&#10;AAABACAAAAApAQAAZHJzL2Uyb0RvYy54bWxQSwUGAAAAAAYABgBZAQAAGgYAAAAA&#10;">
                <v:fill on="t" focussize="0,0"/>
                <v:stroke weight="1pt" color="#C81D10 [3204]" miterlimit="8" joinstyle="miter"/>
                <v:imagedata o:title=""/>
                <o:lock v:ext="edit" aspectratio="f"/>
              </v:rect>
            </w:pict>
          </mc:Fallback>
        </mc:AlternateContent>
      </w:r>
      <w:r>
        <w:rPr>
          <w:color w:val="auto"/>
          <w:highlight w:val="none"/>
          <w:u w:val="single"/>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4191635</wp:posOffset>
                </wp:positionV>
                <wp:extent cx="1354455" cy="995045"/>
                <wp:effectExtent l="0" t="0" r="17145" b="14605"/>
                <wp:wrapNone/>
                <wp:docPr id="33" name="文本框 33"/>
                <wp:cNvGraphicFramePr/>
                <a:graphic xmlns:a="http://schemas.openxmlformats.org/drawingml/2006/main">
                  <a:graphicData uri="http://schemas.microsoft.com/office/word/2010/wordprocessingShape">
                    <wps:wsp>
                      <wps:cNvSpPr txBox="1"/>
                      <wps:spPr>
                        <a:xfrm>
                          <a:off x="0" y="0"/>
                          <a:ext cx="1354455" cy="995045"/>
                        </a:xfrm>
                        <a:prstGeom prst="rect">
                          <a:avLst/>
                        </a:prstGeom>
                        <a:solidFill>
                          <a:srgbClr val="FFFFFF"/>
                        </a:solidFill>
                        <a:ln>
                          <a:noFill/>
                        </a:ln>
                      </wps:spPr>
                      <wps:txbx>
                        <w:txbxContent>
                          <w:p w14:paraId="25109E28">
                            <w:pPr>
                              <w:jc w:val="center"/>
                            </w:pPr>
                            <w:r>
                              <w:rPr>
                                <w:rFonts w:hint="eastAsia"/>
                                <w:sz w:val="28"/>
                                <w:szCs w:val="28"/>
                              </w:rPr>
                              <w:t>图例</w:t>
                            </w:r>
                          </w:p>
                          <w:p w14:paraId="099037EE">
                            <w:pPr>
                              <w:pStyle w:val="23"/>
                              <w:spacing w:line="360" w:lineRule="auto"/>
                              <w:ind w:left="420" w:firstLine="241" w:firstLineChars="100"/>
                              <w:rPr>
                                <w:bCs/>
                                <w:sz w:val="24"/>
                              </w:rPr>
                            </w:pPr>
                            <w:r>
                              <w:rPr>
                                <w:rFonts w:hint="eastAsia"/>
                                <w:bCs/>
                                <w:sz w:val="24"/>
                              </w:rPr>
                              <w:t>项目位置</w:t>
                            </w:r>
                          </w:p>
                          <w:p w14:paraId="7CBE5F4D">
                            <w:pPr>
                              <w:spacing w:line="360" w:lineRule="auto"/>
                              <w:ind w:firstLine="723" w:firstLineChars="300"/>
                              <w:rPr>
                                <w:sz w:val="24"/>
                              </w:rPr>
                            </w:pPr>
                            <w:r>
                              <w:rPr>
                                <w:rFonts w:hint="eastAsia"/>
                                <w:b/>
                                <w:bCs/>
                                <w:sz w:val="24"/>
                              </w:rPr>
                              <w:t>敏感点</w:t>
                            </w:r>
                          </w:p>
                        </w:txbxContent>
                      </wps:txbx>
                      <wps:bodyPr upright="1"/>
                    </wps:wsp>
                  </a:graphicData>
                </a:graphic>
              </wp:anchor>
            </w:drawing>
          </mc:Choice>
          <mc:Fallback>
            <w:pict>
              <v:shape id="_x0000_s1026" o:spid="_x0000_s1026" o:spt="202" type="#_x0000_t202" style="position:absolute;left:0pt;margin-left:1.3pt;margin-top:330.05pt;height:78.35pt;width:106.65pt;z-index:251660288;mso-width-relative:page;mso-height-relative:page;" fillcolor="#FFFFFF" filled="t" stroked="f" coordsize="21600,21600" o:gfxdata="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9Aw1wAAAAkBAAAPAAAAAAAAAAEAIAAAACIAAABkcnMvZG93bnJldi54&#10;bWxQSwECFAAUAAAACACHTuJAr0f3LMIBAAB5AwAADgAAAAAAAAABACAAAAAmAQAAZHJzL2Uyb0Rv&#10;Yy54bWxQSwUGAAAAAAYABgBZAQAAWgUAAAAA&#10;">
                <v:fill on="t" focussize="0,0"/>
                <v:stroke on="f"/>
                <v:imagedata o:title=""/>
                <o:lock v:ext="edit" aspectratio="f"/>
                <v:textbox>
                  <w:txbxContent>
                    <w:p w14:paraId="25109E28">
                      <w:pPr>
                        <w:jc w:val="center"/>
                      </w:pPr>
                      <w:r>
                        <w:rPr>
                          <w:rFonts w:hint="eastAsia"/>
                          <w:sz w:val="28"/>
                          <w:szCs w:val="28"/>
                        </w:rPr>
                        <w:t>图例</w:t>
                      </w:r>
                    </w:p>
                    <w:p w14:paraId="099037EE">
                      <w:pPr>
                        <w:pStyle w:val="23"/>
                        <w:spacing w:line="360" w:lineRule="auto"/>
                        <w:ind w:left="420" w:firstLine="241" w:firstLineChars="100"/>
                        <w:rPr>
                          <w:bCs/>
                          <w:sz w:val="24"/>
                        </w:rPr>
                      </w:pPr>
                      <w:r>
                        <w:rPr>
                          <w:rFonts w:hint="eastAsia"/>
                          <w:bCs/>
                          <w:sz w:val="24"/>
                        </w:rPr>
                        <w:t>项目位置</w:t>
                      </w:r>
                    </w:p>
                    <w:p w14:paraId="7CBE5F4D">
                      <w:pPr>
                        <w:spacing w:line="360" w:lineRule="auto"/>
                        <w:ind w:firstLine="723" w:firstLineChars="300"/>
                        <w:rPr>
                          <w:sz w:val="24"/>
                        </w:rPr>
                      </w:pPr>
                      <w:r>
                        <w:rPr>
                          <w:rFonts w:hint="eastAsia"/>
                          <w:b/>
                          <w:bCs/>
                          <w:sz w:val="24"/>
                        </w:rPr>
                        <w:t>敏感点</w:t>
                      </w:r>
                    </w:p>
                  </w:txbxContent>
                </v:textbox>
              </v:shape>
            </w:pict>
          </mc:Fallback>
        </mc:AlternateContent>
      </w:r>
      <w:r>
        <w:rPr>
          <w:color w:val="auto"/>
          <w:highlight w:val="none"/>
          <w:u w:val="single"/>
        </w:rPr>
        <mc:AlternateContent>
          <mc:Choice Requires="wps">
            <w:drawing>
              <wp:anchor distT="0" distB="0" distL="114300" distR="114300" simplePos="0" relativeHeight="251664384" behindDoc="0" locked="0" layoutInCell="1" allowOverlap="1">
                <wp:simplePos x="0" y="0"/>
                <wp:positionH relativeFrom="column">
                  <wp:posOffset>3556635</wp:posOffset>
                </wp:positionH>
                <wp:positionV relativeFrom="paragraph">
                  <wp:posOffset>2247265</wp:posOffset>
                </wp:positionV>
                <wp:extent cx="687705" cy="2838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687705" cy="283845"/>
                        </a:xfrm>
                        <a:prstGeom prst="rect">
                          <a:avLst/>
                        </a:prstGeom>
                        <a:ln w="9525" cap="flat" cmpd="sng">
                          <a:noFill/>
                          <a:prstDash val="solid"/>
                          <a:headEnd type="none" w="med" len="med"/>
                          <a:tailEnd type="arrow" w="med" len="med"/>
                        </a:ln>
                      </wps:spPr>
                      <wps:txbx>
                        <w:txbxContent>
                          <w:p w14:paraId="7762BA17">
                            <w:pPr>
                              <w:rPr>
                                <w:b/>
                                <w:bCs/>
                                <w:color w:val="FF0000"/>
                                <w:sz w:val="24"/>
                              </w:rPr>
                            </w:pPr>
                            <w:r>
                              <w:rPr>
                                <w:rFonts w:hint="eastAsia"/>
                                <w:b/>
                                <w:bCs/>
                                <w:color w:val="FF0000"/>
                                <w:sz w:val="24"/>
                              </w:rPr>
                              <w:t>26m</w:t>
                            </w:r>
                          </w:p>
                        </w:txbxContent>
                      </wps:txbx>
                      <wps:bodyPr upright="1"/>
                    </wps:wsp>
                  </a:graphicData>
                </a:graphic>
              </wp:anchor>
            </w:drawing>
          </mc:Choice>
          <mc:Fallback>
            <w:pict>
              <v:shape id="_x0000_s1026" o:spid="_x0000_s1026" o:spt="202" type="#_x0000_t202" style="position:absolute;left:0pt;margin-left:280.05pt;margin-top:176.95pt;height:22.35pt;width:54.15pt;z-index:251664384;mso-width-relative:page;mso-height-relative:page;" filled="f" stroked="f" coordsize="21600,21600" o:gfxdata="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ykhAzbAAAACwEAAA8AAAAAAAAAAQAgAAAAIgAAAGRycy9kb3ducmV2LnhtbFBL&#10;AQIUABQAAAAIAIdO4kBlh9NH8wEAANEDAAAOAAAAAAAAAAEAIAAAACoBAABkcnMvZTJvRG9jLnht&#10;bFBLBQYAAAAABgAGAFkBAACPBQAAAAA=&#10;">
                <v:fill on="f" focussize="0,0"/>
                <v:stroke on="f" endarrow="open"/>
                <v:imagedata o:title=""/>
                <o:lock v:ext="edit" aspectratio="f"/>
                <v:textbox>
                  <w:txbxContent>
                    <w:p w14:paraId="7762BA17">
                      <w:pPr>
                        <w:rPr>
                          <w:b/>
                          <w:bCs/>
                          <w:color w:val="FF0000"/>
                          <w:sz w:val="24"/>
                        </w:rPr>
                      </w:pPr>
                      <w:r>
                        <w:rPr>
                          <w:rFonts w:hint="eastAsia"/>
                          <w:b/>
                          <w:bCs/>
                          <w:color w:val="FF0000"/>
                          <w:sz w:val="24"/>
                        </w:rPr>
                        <w:t>26m</w:t>
                      </w:r>
                    </w:p>
                  </w:txbxContent>
                </v:textbox>
              </v:shape>
            </w:pict>
          </mc:Fallback>
        </mc:AlternateContent>
      </w:r>
      <w:r>
        <w:rPr>
          <w:color w:val="auto"/>
          <w:highlight w:val="none"/>
          <w:u w:val="single"/>
        </w:rPr>
        <mc:AlternateContent>
          <mc:Choice Requires="wps">
            <w:drawing>
              <wp:anchor distT="0" distB="0" distL="114300" distR="114300" simplePos="0" relativeHeight="251665408" behindDoc="0" locked="0" layoutInCell="1" allowOverlap="1">
                <wp:simplePos x="0" y="0"/>
                <wp:positionH relativeFrom="column">
                  <wp:posOffset>3703955</wp:posOffset>
                </wp:positionH>
                <wp:positionV relativeFrom="paragraph">
                  <wp:posOffset>2640330</wp:posOffset>
                </wp:positionV>
                <wp:extent cx="159385" cy="6985"/>
                <wp:effectExtent l="635" t="59055" r="11430" b="67310"/>
                <wp:wrapNone/>
                <wp:docPr id="32" name="直接连接符 32"/>
                <wp:cNvGraphicFramePr/>
                <a:graphic xmlns:a="http://schemas.openxmlformats.org/drawingml/2006/main">
                  <a:graphicData uri="http://schemas.microsoft.com/office/word/2010/wordprocessingShape">
                    <wps:wsp>
                      <wps:cNvCnPr/>
                      <wps:spPr>
                        <a:xfrm flipV="1">
                          <a:off x="0" y="0"/>
                          <a:ext cx="159385" cy="6985"/>
                        </a:xfrm>
                        <a:prstGeom prst="line">
                          <a:avLst/>
                        </a:prstGeom>
                        <a:ln w="28575">
                          <a:solidFill>
                            <a:srgbClr val="FF0000"/>
                          </a:solidFill>
                          <a:headEnd type="none" w="med" len="med"/>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91.65pt;margin-top:207.9pt;height:0.55pt;width:12.55pt;z-index:251665408;mso-width-relative:page;mso-height-relative:page;" filled="f" stroked="t" coordsize="21600,21600" o:gfxdata="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vrIph2wAAAAsB&#10;AAAPAAAAAAAAAAEAIAAAACIAAABkcnMvZG93bnJldi54bWxQSwECFAAUAAAACACHTuJALMv+ChgC&#10;AAAVBAAADgAAAAAAAAABACAAAAAqAQAAZHJzL2Uyb0RvYy54bWxQSwUGAAAAAAYABgBZAQAAtAUA&#10;AAAA&#10;">
                <v:fill on="f" focussize="0,0"/>
                <v:stroke weight="2.25pt" color="#FF0000 [3204]" miterlimit="8" joinstyle="miter" endarrow="open"/>
                <v:imagedata o:title=""/>
                <o:lock v:ext="edit" aspectratio="f"/>
              </v:line>
            </w:pict>
          </mc:Fallback>
        </mc:AlternateContent>
      </w:r>
      <w:r>
        <w:rPr>
          <w:color w:val="auto"/>
          <w:highlight w:val="none"/>
          <w:u w:val="single"/>
        </w:rPr>
        <mc:AlternateContent>
          <mc:Choice Requires="wps">
            <w:drawing>
              <wp:anchor distT="0" distB="0" distL="114300" distR="114300" simplePos="0" relativeHeight="251670528" behindDoc="0" locked="0" layoutInCell="1" allowOverlap="1">
                <wp:simplePos x="0" y="0"/>
                <wp:positionH relativeFrom="column">
                  <wp:posOffset>4331970</wp:posOffset>
                </wp:positionH>
                <wp:positionV relativeFrom="paragraph">
                  <wp:posOffset>2774950</wp:posOffset>
                </wp:positionV>
                <wp:extent cx="687705" cy="2838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87705" cy="283845"/>
                        </a:xfrm>
                        <a:prstGeom prst="rect">
                          <a:avLst/>
                        </a:prstGeom>
                        <a:ln w="9525" cap="flat" cmpd="sng">
                          <a:noFill/>
                          <a:prstDash val="solid"/>
                          <a:headEnd type="none" w="med" len="med"/>
                          <a:tailEnd type="arrow" w="med" len="med"/>
                        </a:ln>
                      </wps:spPr>
                      <wps:txbx>
                        <w:txbxContent>
                          <w:p w14:paraId="4531670A">
                            <w:pPr>
                              <w:rPr>
                                <w:b/>
                                <w:bCs/>
                                <w:color w:val="FF0000"/>
                                <w:sz w:val="24"/>
                              </w:rPr>
                            </w:pPr>
                            <w:r>
                              <w:rPr>
                                <w:rFonts w:hint="eastAsia"/>
                                <w:b/>
                                <w:bCs/>
                                <w:color w:val="FF0000"/>
                                <w:sz w:val="24"/>
                              </w:rPr>
                              <w:t>27m</w:t>
                            </w:r>
                          </w:p>
                        </w:txbxContent>
                      </wps:txbx>
                      <wps:bodyPr upright="1"/>
                    </wps:wsp>
                  </a:graphicData>
                </a:graphic>
              </wp:anchor>
            </w:drawing>
          </mc:Choice>
          <mc:Fallback>
            <w:pict>
              <v:shape id="_x0000_s1026" o:spid="_x0000_s1026" o:spt="202" type="#_x0000_t202" style="position:absolute;left:0pt;margin-left:341.1pt;margin-top:218.5pt;height:22.35pt;width:54.15pt;z-index:251670528;mso-width-relative:page;mso-height-relative:page;" filled="f" stroked="f" coordsize="21600,21600" o:gfxdata="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xX/TX2gAAAAsBAAAPAAAAAAAAAAEAIAAAACIAAABkcnMvZG93bnJldi54bWxQSwEC&#10;FAAUAAAACACHTuJA88RcmfIBAADRAwAADgAAAAAAAAABACAAAAApAQAAZHJzL2Uyb0RvYy54bWxQ&#10;SwUGAAAAAAYABgBZAQAAjQUAAAAA&#10;">
                <v:fill on="f" focussize="0,0"/>
                <v:stroke on="f" endarrow="open"/>
                <v:imagedata o:title=""/>
                <o:lock v:ext="edit" aspectratio="f"/>
                <v:textbox>
                  <w:txbxContent>
                    <w:p w14:paraId="4531670A">
                      <w:pPr>
                        <w:rPr>
                          <w:b/>
                          <w:bCs/>
                          <w:color w:val="FF0000"/>
                          <w:sz w:val="24"/>
                        </w:rPr>
                      </w:pPr>
                      <w:r>
                        <w:rPr>
                          <w:rFonts w:hint="eastAsia"/>
                          <w:b/>
                          <w:bCs/>
                          <w:color w:val="FF0000"/>
                          <w:sz w:val="24"/>
                        </w:rPr>
                        <w:t>27m</w:t>
                      </w:r>
                    </w:p>
                  </w:txbxContent>
                </v:textbox>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3896360</wp:posOffset>
                </wp:positionH>
                <wp:positionV relativeFrom="paragraph">
                  <wp:posOffset>2934335</wp:posOffset>
                </wp:positionV>
                <wp:extent cx="187960" cy="1905"/>
                <wp:effectExtent l="0" t="62865" r="2540" b="68580"/>
                <wp:wrapNone/>
                <wp:docPr id="10" name="直接箭头连接符 10"/>
                <wp:cNvGraphicFramePr/>
                <a:graphic xmlns:a="http://schemas.openxmlformats.org/drawingml/2006/main">
                  <a:graphicData uri="http://schemas.microsoft.com/office/word/2010/wordprocessingShape">
                    <wps:wsp>
                      <wps:cNvCnPr/>
                      <wps:spPr>
                        <a:xfrm flipH="1" flipV="1">
                          <a:off x="5407025" y="3502660"/>
                          <a:ext cx="187960" cy="1905"/>
                        </a:xfrm>
                        <a:prstGeom prst="straightConnector1">
                          <a:avLst/>
                        </a:prstGeom>
                        <a:ln w="28575">
                          <a:solidFill>
                            <a:srgbClr val="FF0000"/>
                          </a:solidFill>
                          <a:headEnd type="none" w="med" len="med"/>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306.8pt;margin-top:231.05pt;height:0.15pt;width:14.8pt;z-index:251669504;mso-width-relative:page;mso-height-relative:page;" filled="f" stroked="t" coordsize="21600,21600" o:gfxdata="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p7j7HXAAAACwEAAA8AAAAAAAAAAQAgAAAAIgAAAGRycy9kb3du&#10;cmV2LnhtbFBLAQIUABQAAAAIAIdO4kCHgkVSOQIAAD8EAAAOAAAAAAAAAAEAIAAAACYBAABkcnMv&#10;ZTJvRG9jLnhtbFBLBQYAAAAABgAGAFkBAADRBQAAAAA=&#10;">
                <v:fill on="f" focussize="0,0"/>
                <v:stroke weight="2.25pt" color="#FF0000 [3204]" miterlimit="8" joinstyle="miter" endarrow="open"/>
                <v:imagedata o:title=""/>
                <o:lock v:ext="edit" aspectratio="f"/>
              </v:shape>
            </w:pict>
          </mc:Fallback>
        </mc:AlternateContent>
      </w:r>
      <w:r>
        <w:rPr>
          <w:color w:val="auto"/>
          <w:highlight w:val="none"/>
          <w:u w:val="single"/>
        </w:rPr>
        <mc:AlternateContent>
          <mc:Choice Requires="wps">
            <w:drawing>
              <wp:anchor distT="0" distB="0" distL="114300" distR="114300" simplePos="0" relativeHeight="251671552" behindDoc="0" locked="0" layoutInCell="1" allowOverlap="1">
                <wp:simplePos x="0" y="0"/>
                <wp:positionH relativeFrom="column">
                  <wp:posOffset>4278630</wp:posOffset>
                </wp:positionH>
                <wp:positionV relativeFrom="paragraph">
                  <wp:posOffset>3464560</wp:posOffset>
                </wp:positionV>
                <wp:extent cx="868680" cy="29273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868680" cy="292735"/>
                        </a:xfrm>
                        <a:prstGeom prst="rect">
                          <a:avLst/>
                        </a:prstGeom>
                        <a:ln w="9525" cap="flat" cmpd="sng">
                          <a:noFill/>
                          <a:prstDash val="solid"/>
                          <a:headEnd type="none" w="med" len="med"/>
                          <a:tailEnd type="arrow" w="med" len="med"/>
                        </a:ln>
                      </wps:spPr>
                      <wps:txbx>
                        <w:txbxContent>
                          <w:p w14:paraId="386E2FF7">
                            <w:pPr>
                              <w:rPr>
                                <w:b/>
                                <w:bCs/>
                                <w:color w:val="FF0000"/>
                                <w:sz w:val="28"/>
                                <w:szCs w:val="28"/>
                              </w:rPr>
                            </w:pPr>
                            <w:r>
                              <w:rPr>
                                <w:rFonts w:hint="eastAsia"/>
                                <w:b/>
                                <w:bCs/>
                                <w:color w:val="FF0000"/>
                                <w:sz w:val="28"/>
                                <w:szCs w:val="28"/>
                              </w:rPr>
                              <w:t>257m</w:t>
                            </w:r>
                          </w:p>
                        </w:txbxContent>
                      </wps:txbx>
                      <wps:bodyPr upright="1"/>
                    </wps:wsp>
                  </a:graphicData>
                </a:graphic>
              </wp:anchor>
            </w:drawing>
          </mc:Choice>
          <mc:Fallback>
            <w:pict>
              <v:shape id="_x0000_s1026" o:spid="_x0000_s1026" o:spt="202" type="#_x0000_t202" style="position:absolute;left:0pt;margin-left:336.9pt;margin-top:272.8pt;height:23.05pt;width:68.4pt;z-index:251671552;mso-width-relative:page;mso-height-relative:page;" filled="f" stroked="f" coordsize="21600,21600" o:gfxdata="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SoYvaAAAACwEAAA8AAAAAAAAAAQAgAAAAIgAAAGRycy9kb3ducmV2LnhtbFBLAQIU&#10;ABQAAAAIAIdO4kB0FQKn8QEAANEDAAAOAAAAAAAAAAEAIAAAACkBAABkcnMvZTJvRG9jLnhtbFBL&#10;BQYAAAAABgAGAFkBAACMBQAAAAA=&#10;">
                <v:fill on="f" focussize="0,0"/>
                <v:stroke on="f" endarrow="open"/>
                <v:imagedata o:title=""/>
                <o:lock v:ext="edit" aspectratio="f"/>
                <v:textbox>
                  <w:txbxContent>
                    <w:p w14:paraId="386E2FF7">
                      <w:pPr>
                        <w:rPr>
                          <w:b/>
                          <w:bCs/>
                          <w:color w:val="FF0000"/>
                          <w:sz w:val="28"/>
                          <w:szCs w:val="28"/>
                        </w:rPr>
                      </w:pPr>
                      <w:r>
                        <w:rPr>
                          <w:rFonts w:hint="eastAsia"/>
                          <w:b/>
                          <w:bCs/>
                          <w:color w:val="FF0000"/>
                          <w:sz w:val="28"/>
                          <w:szCs w:val="28"/>
                        </w:rPr>
                        <w:t>257m</w:t>
                      </w:r>
                    </w:p>
                  </w:txbxContent>
                </v:textbox>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4131945</wp:posOffset>
                </wp:positionH>
                <wp:positionV relativeFrom="paragraph">
                  <wp:posOffset>2976880</wp:posOffset>
                </wp:positionV>
                <wp:extent cx="3175" cy="953770"/>
                <wp:effectExtent l="64135" t="0" r="66040" b="17780"/>
                <wp:wrapNone/>
                <wp:docPr id="6" name="直接箭头连接符 6"/>
                <wp:cNvGraphicFramePr/>
                <a:graphic xmlns:a="http://schemas.openxmlformats.org/drawingml/2006/main">
                  <a:graphicData uri="http://schemas.microsoft.com/office/word/2010/wordprocessingShape">
                    <wps:wsp>
                      <wps:cNvCnPr/>
                      <wps:spPr>
                        <a:xfrm flipH="1">
                          <a:off x="5441950" y="3502660"/>
                          <a:ext cx="3175" cy="953770"/>
                        </a:xfrm>
                        <a:prstGeom prst="straightConnector1">
                          <a:avLst/>
                        </a:prstGeom>
                        <a:ln w="28575">
                          <a:solidFill>
                            <a:srgbClr val="FF0000"/>
                          </a:solidFill>
                          <a:headEnd type="none" w="med" len="med"/>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25.35pt;margin-top:234.4pt;height:75.1pt;width:0.25pt;z-index:251668480;mso-width-relative:page;mso-height-relative:page;" filled="f" stroked="t" coordsize="21600,21600" o:gfxdata="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JqHYAAAACwEAAA8AAAAAAAAAAQAgAAAAIgAAAGRycy9kb3ducmV2&#10;LnhtbFBLAQIUABQAAAAIAIdO4kBdOvZ6NQIAADMEAAAOAAAAAAAAAAEAIAAAACcBAABkcnMvZTJv&#10;RG9jLnhtbFBLBQYAAAAABgAGAFkBAADOBQAAAAA=&#10;">
                <v:fill on="f" focussize="0,0"/>
                <v:stroke weight="2.25pt" color="#FF0000 [3204]"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4024630</wp:posOffset>
                </wp:positionH>
                <wp:positionV relativeFrom="paragraph">
                  <wp:posOffset>2791460</wp:posOffset>
                </wp:positionV>
                <wp:extent cx="266065" cy="199390"/>
                <wp:effectExtent l="24130" t="16510" r="33655" b="31750"/>
                <wp:wrapNone/>
                <wp:docPr id="75" name="五角星 75"/>
                <wp:cNvGraphicFramePr/>
                <a:graphic xmlns:a="http://schemas.openxmlformats.org/drawingml/2006/main">
                  <a:graphicData uri="http://schemas.microsoft.com/office/word/2010/wordprocessingShape">
                    <wps:wsp>
                      <wps:cNvSpPr/>
                      <wps:spPr>
                        <a:xfrm>
                          <a:off x="5497830" y="3423285"/>
                          <a:ext cx="266065" cy="199390"/>
                        </a:xfrm>
                        <a:prstGeom prst="star5">
                          <a:avLst/>
                        </a:prstGeom>
                        <a:solidFill>
                          <a:srgbClr val="00B050"/>
                        </a:solidFill>
                        <a:ln>
                          <a:solidFill>
                            <a:srgbClr val="00B05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16.9pt;margin-top:219.8pt;height:15.7pt;width:20.95pt;z-index:251672576;v-text-anchor:middle;mso-width-relative:page;mso-height-relative:page;" fillcolor="#00B050" filled="t" stroked="t" coordsize="266065,199390" o:gfxdata="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1KLkncAAAACwEAAA8AAAAA&#10;AAAAAQAgAAAAIgAAAGRycy9kb3ducmV2LnhtbFBLAQIUABQAAAAIAIdO4kDpL6TfggIAAAUFAAAO&#10;AAAAAAAAAAEAIAAAACsBAABkcnMvZTJvRG9jLnhtbFBLBQYAAAAABgAGAFkBAAAfBgAAAAA=&#10;" path="m0,76160l101628,76160,133032,0,164436,76160,266064,76160,183845,123229,215250,199389,133032,152319,50814,199389,82219,123229xe">
                <v:path o:connectlocs="133032,0;0,76160;50814,199389;215250,199389;266064,76160" o:connectangles="247,164,82,82,0"/>
                <v:fill on="t" focussize="0,0"/>
                <v:stroke weight="1pt" color="#00B050 [2404]" miterlimit="8" joinstyle="miter"/>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3449955</wp:posOffset>
                </wp:positionH>
                <wp:positionV relativeFrom="paragraph">
                  <wp:posOffset>2536825</wp:posOffset>
                </wp:positionV>
                <wp:extent cx="266065" cy="199390"/>
                <wp:effectExtent l="24130" t="16510" r="33655" b="31750"/>
                <wp:wrapNone/>
                <wp:docPr id="46" name="五角星 46"/>
                <wp:cNvGraphicFramePr/>
                <a:graphic xmlns:a="http://schemas.openxmlformats.org/drawingml/2006/main">
                  <a:graphicData uri="http://schemas.microsoft.com/office/word/2010/wordprocessingShape">
                    <wps:wsp>
                      <wps:cNvSpPr/>
                      <wps:spPr>
                        <a:xfrm>
                          <a:off x="0" y="0"/>
                          <a:ext cx="266065" cy="199390"/>
                        </a:xfrm>
                        <a:prstGeom prst="star5">
                          <a:avLst/>
                        </a:prstGeom>
                        <a:solidFill>
                          <a:srgbClr val="00B050"/>
                        </a:solidFill>
                        <a:ln>
                          <a:solidFill>
                            <a:srgbClr val="00B05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71.65pt;margin-top:199.75pt;height:15.7pt;width:20.95pt;z-index:251674624;v-text-anchor:middle;mso-width-relative:page;mso-height-relative:page;" fillcolor="#00B050" filled="t" stroked="t" coordsize="266065,199390" o:gfxdata="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fbgBv3QAAAAsBAAAPAAAAAAAAAAEAIAAAACIA&#10;AABkcnMvZG93bnJldi54bWxQSwECFAAUAAAACACHTuJAbq0ID3YCAAD5BAAADgAAAAAAAAABACAA&#10;AAAsAQAAZHJzL2Uyb0RvYy54bWxQSwUGAAAAAAYABgBZAQAAFAYAAAAA&#10;" path="m0,76160l101628,76160,133032,0,164436,76160,266064,76160,183845,123229,215250,199389,133032,152319,50814,199389,82219,123229xe">
                <v:path o:connectlocs="133032,0;0,76160;50814,199389;215250,199389;266064,76160" o:connectangles="247,164,82,82,0"/>
                <v:fill on="t" focussize="0,0"/>
                <v:stroke weight="1pt" color="#00B050 [2404]" miterlimit="8" joinstyle="miter"/>
                <v:imagedata o:title=""/>
                <o:lock v:ext="edit" aspectratio="f"/>
              </v:shape>
            </w:pict>
          </mc:Fallback>
        </mc:AlternateContent>
      </w:r>
      <w:r>
        <w:rPr>
          <w:color w:val="auto"/>
          <w:highlight w:val="none"/>
          <w:u w:val="single"/>
        </w:rPr>
        <mc:AlternateContent>
          <mc:Choice Requires="wps">
            <w:drawing>
              <wp:anchor distT="0" distB="0" distL="114300" distR="114300" simplePos="0" relativeHeight="251662336" behindDoc="0" locked="0" layoutInCell="1" allowOverlap="1">
                <wp:simplePos x="0" y="0"/>
                <wp:positionH relativeFrom="column">
                  <wp:posOffset>1767205</wp:posOffset>
                </wp:positionH>
                <wp:positionV relativeFrom="paragraph">
                  <wp:posOffset>5338445</wp:posOffset>
                </wp:positionV>
                <wp:extent cx="4981575" cy="544830"/>
                <wp:effectExtent l="0" t="0" r="9525" b="7620"/>
                <wp:wrapNone/>
                <wp:docPr id="39" name="文本框 39"/>
                <wp:cNvGraphicFramePr/>
                <a:graphic xmlns:a="http://schemas.openxmlformats.org/drawingml/2006/main">
                  <a:graphicData uri="http://schemas.microsoft.com/office/word/2010/wordprocessingShape">
                    <wps:wsp>
                      <wps:cNvSpPr txBox="1"/>
                      <wps:spPr>
                        <a:xfrm>
                          <a:off x="0" y="0"/>
                          <a:ext cx="4981575" cy="544830"/>
                        </a:xfrm>
                        <a:prstGeom prst="rect">
                          <a:avLst/>
                        </a:prstGeom>
                        <a:solidFill>
                          <a:srgbClr val="FFFFFF"/>
                        </a:solidFill>
                        <a:ln>
                          <a:noFill/>
                        </a:ln>
                      </wps:spPr>
                      <wps:txbx>
                        <w:txbxContent>
                          <w:p w14:paraId="1769EF13">
                            <w:pPr>
                              <w:jc w:val="center"/>
                              <w:rPr>
                                <w:rFonts w:hint="eastAsia" w:ascii="黑体" w:hAnsi="黑体" w:eastAsia="黑体" w:cs="黑体"/>
                                <w:sz w:val="44"/>
                                <w:szCs w:val="44"/>
                              </w:rPr>
                            </w:pPr>
                            <w:r>
                              <w:rPr>
                                <w:rFonts w:hint="eastAsia" w:ascii="黑体" w:hAnsi="黑体" w:eastAsia="黑体" w:cs="黑体"/>
                                <w:sz w:val="44"/>
                                <w:szCs w:val="44"/>
                              </w:rPr>
                              <w:t>附图3 建设项目周围敏感点位置图</w:t>
                            </w:r>
                          </w:p>
                        </w:txbxContent>
                      </wps:txbx>
                      <wps:bodyPr upright="1"/>
                    </wps:wsp>
                  </a:graphicData>
                </a:graphic>
              </wp:anchor>
            </w:drawing>
          </mc:Choice>
          <mc:Fallback>
            <w:pict>
              <v:shape id="_x0000_s1026" o:spid="_x0000_s1026" o:spt="202" type="#_x0000_t202" style="position:absolute;left:0pt;margin-left:139.15pt;margin-top:420.35pt;height:42.9pt;width:392.25pt;z-index:251662336;mso-width-relative:page;mso-height-relative:page;" fillcolor="#FFFFFF" filled="t" stroked="f" coordsize="21600,21600" o:gfxdata="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v+3RvZAAAADAEAAA8AAAAAAAAAAQAgAAAAIgAAAGRycy9kb3du&#10;cmV2LnhtbFBLAQIUABQAAAAIAIdO4kAWs/4+xQEAAHkDAAAOAAAAAAAAAAEAIAAAACgBAABkcnMv&#10;ZTJvRG9jLnhtbFBLBQYAAAAABgAGAFkBAABfBQAAAAA=&#10;">
                <v:fill on="t" focussize="0,0"/>
                <v:stroke on="f"/>
                <v:imagedata o:title=""/>
                <o:lock v:ext="edit" aspectratio="f"/>
                <v:textbox>
                  <w:txbxContent>
                    <w:p w14:paraId="1769EF13">
                      <w:pPr>
                        <w:jc w:val="center"/>
                        <w:rPr>
                          <w:rFonts w:hint="eastAsia" w:ascii="黑体" w:hAnsi="黑体" w:eastAsia="黑体" w:cs="黑体"/>
                          <w:sz w:val="44"/>
                          <w:szCs w:val="44"/>
                        </w:rPr>
                      </w:pPr>
                      <w:r>
                        <w:rPr>
                          <w:rFonts w:hint="eastAsia" w:ascii="黑体" w:hAnsi="黑体" w:eastAsia="黑体" w:cs="黑体"/>
                          <w:sz w:val="44"/>
                          <w:szCs w:val="44"/>
                        </w:rPr>
                        <w:t>附图3 建设项目周围敏感点位置图</w:t>
                      </w:r>
                    </w:p>
                  </w:txbxContent>
                </v:textbox>
              </v:shape>
            </w:pict>
          </mc:Fallback>
        </mc:AlternateContent>
      </w:r>
    </w:p>
    <w:sectPr>
      <w:footerReference r:id="rId6"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FCCE">
    <w:pPr>
      <w:pStyle w:val="1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07EA">
    <w:pPr>
      <w:pStyle w:val="10"/>
      <w:ind w:right="360" w:firstLine="360"/>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255270" cy="1384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5270" cy="138430"/>
                      </a:xfrm>
                      <a:prstGeom prst="rect">
                        <a:avLst/>
                      </a:prstGeom>
                      <a:noFill/>
                      <a:ln>
                        <a:noFill/>
                      </a:ln>
                    </wps:spPr>
                    <wps:txbx>
                      <w:txbxContent>
                        <w:p w14:paraId="36BB4E38">
                          <w:pPr>
                            <w:pStyle w:val="10"/>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lIns="0" tIns="0" rIns="0" bIns="0"/>
                  </wps:wsp>
                </a:graphicData>
              </a:graphic>
            </wp:anchor>
          </w:drawing>
        </mc:Choice>
        <mc:Fallback>
          <w:pict>
            <v:shape id="_x0000_s1026" o:spid="_x0000_s1026" o:spt="202" type="#_x0000_t202" style="position:absolute;left:0pt;margin-top:0pt;height:10.9pt;width:20.1pt;mso-position-horizontal:center;mso-position-horizontal-relative:margin;z-index:251672576;mso-width-relative:page;mso-height-relative:page;" filled="f" stroked="f" coordsize="21600,21600" o:gfxdata="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GY0&#10;0wAAAAMBAAAPAAAAAAAAAAEAIAAAACIAAABkcnMvZG93bnJldi54bWxQSwECFAAUAAAACACHTuJA&#10;OO88q7QBAABlAwAADgAAAAAAAAABACAAAAAiAQAAZHJzL2Uyb0RvYy54bWxQSwUGAAAAAAYABgBZ&#10;AQAASAUAAAAA&#10;">
              <v:fill on="f" focussize="0,0"/>
              <v:stroke on="f"/>
              <v:imagedata o:title=""/>
              <o:lock v:ext="edit" aspectratio="f"/>
              <v:textbox inset="0mm,0mm,0mm,0mm">
                <w:txbxContent>
                  <w:p w14:paraId="36BB4E38">
                    <w:pPr>
                      <w:pStyle w:val="10"/>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67BB">
    <w:pPr>
      <w:pStyle w:val="10"/>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5270" cy="13843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55270" cy="138430"/>
                      </a:xfrm>
                      <a:prstGeom prst="rect">
                        <a:avLst/>
                      </a:prstGeom>
                      <a:noFill/>
                      <a:ln>
                        <a:noFill/>
                      </a:ln>
                    </wps:spPr>
                    <wps:txbx>
                      <w:txbxContent>
                        <w:p w14:paraId="0BF088E6">
                          <w:pPr>
                            <w:pStyle w:val="10"/>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lIns="0" tIns="0" rIns="0" bIns="0"/>
                  </wps:wsp>
                </a:graphicData>
              </a:graphic>
            </wp:anchor>
          </w:drawing>
        </mc:Choice>
        <mc:Fallback>
          <w:pict>
            <v:shape id="_x0000_s1026" o:spid="_x0000_s1026" o:spt="202" type="#_x0000_t202" style="position:absolute;left:0pt;margin-top:0pt;height:10.9pt;width:20.1pt;mso-position-horizontal:center;mso-position-horizontal-relative:margin;z-index:251659264;mso-width-relative:page;mso-height-relative:page;" filled="f" stroked="f" coordsize="21600,21600" o:gfxdata="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9c&#10;ZjTTAAAAAwEAAA8AAAAAAAAAAQAgAAAAIgAAAGRycy9kb3ducmV2LnhtbFBLAQIUABQAAAAIAIdO&#10;4kBqXvGetgEAAGcDAAAOAAAAAAAAAAEAIAAAACIBAABkcnMvZTJvRG9jLnhtbFBLBQYAAAAABgAG&#10;AFkBAABKBQAAAAA=&#10;">
              <v:fill on="f" focussize="0,0"/>
              <v:stroke on="f"/>
              <v:imagedata o:title=""/>
              <o:lock v:ext="edit" aspectratio="f"/>
              <v:textbox inset="0mm,0mm,0mm,0mm">
                <w:txbxContent>
                  <w:p w14:paraId="0BF088E6">
                    <w:pPr>
                      <w:pStyle w:val="10"/>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65C0">
    <w:pPr>
      <w:pStyle w:val="10"/>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E1BBE">
                          <w:pPr>
                            <w:pStyle w:val="10"/>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66E1BBE">
                    <w:pPr>
                      <w:pStyle w:val="10"/>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D4CCF"/>
    <w:multiLevelType w:val="singleLevel"/>
    <w:tmpl w:val="A21D4CCF"/>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1">
    <w:nsid w:val="2FDC41FA"/>
    <w:multiLevelType w:val="multilevel"/>
    <w:tmpl w:val="2FDC41FA"/>
    <w:lvl w:ilvl="0" w:tentative="0">
      <w:start w:val="1"/>
      <w:numFmt w:val="decimal"/>
      <w:pStyle w:val="58"/>
      <w:lvlText w:val="表%1"/>
      <w:lvlJc w:val="left"/>
      <w:pPr>
        <w:ind w:left="840" w:hanging="420"/>
      </w:pPr>
      <w:rPr>
        <w:rFonts w:hint="eastAsia"/>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NjQwYzE1ZGU4MjM0MjI3ZjNhOTQyN2E3MTBiN2EifQ=="/>
  </w:docVars>
  <w:rsids>
    <w:rsidRoot w:val="00172A27"/>
    <w:rsid w:val="00000393"/>
    <w:rsid w:val="00012AAB"/>
    <w:rsid w:val="00014B6C"/>
    <w:rsid w:val="00017938"/>
    <w:rsid w:val="00023D29"/>
    <w:rsid w:val="000328F6"/>
    <w:rsid w:val="00063D91"/>
    <w:rsid w:val="000672C6"/>
    <w:rsid w:val="00073387"/>
    <w:rsid w:val="00093AA5"/>
    <w:rsid w:val="000955D9"/>
    <w:rsid w:val="000A5096"/>
    <w:rsid w:val="000A5850"/>
    <w:rsid w:val="000D3690"/>
    <w:rsid w:val="000D791E"/>
    <w:rsid w:val="000E45E4"/>
    <w:rsid w:val="000E6499"/>
    <w:rsid w:val="00134D29"/>
    <w:rsid w:val="0014431A"/>
    <w:rsid w:val="00146881"/>
    <w:rsid w:val="00152BD7"/>
    <w:rsid w:val="00162022"/>
    <w:rsid w:val="00163BFD"/>
    <w:rsid w:val="00172A27"/>
    <w:rsid w:val="001A5927"/>
    <w:rsid w:val="001A6CC1"/>
    <w:rsid w:val="001B29AC"/>
    <w:rsid w:val="001D0E67"/>
    <w:rsid w:val="001D2254"/>
    <w:rsid w:val="001D2D52"/>
    <w:rsid w:val="001E565D"/>
    <w:rsid w:val="001F18B7"/>
    <w:rsid w:val="00201752"/>
    <w:rsid w:val="0020257C"/>
    <w:rsid w:val="00205EF7"/>
    <w:rsid w:val="00221298"/>
    <w:rsid w:val="0022288B"/>
    <w:rsid w:val="00227149"/>
    <w:rsid w:val="002329A1"/>
    <w:rsid w:val="00254B64"/>
    <w:rsid w:val="002705C8"/>
    <w:rsid w:val="00275B17"/>
    <w:rsid w:val="00291F01"/>
    <w:rsid w:val="002A7FE8"/>
    <w:rsid w:val="002F20B4"/>
    <w:rsid w:val="00303867"/>
    <w:rsid w:val="00324524"/>
    <w:rsid w:val="0032766D"/>
    <w:rsid w:val="00331228"/>
    <w:rsid w:val="0035266F"/>
    <w:rsid w:val="00354B6F"/>
    <w:rsid w:val="00360785"/>
    <w:rsid w:val="003709A3"/>
    <w:rsid w:val="00377E3B"/>
    <w:rsid w:val="003815C4"/>
    <w:rsid w:val="0039111B"/>
    <w:rsid w:val="00393A90"/>
    <w:rsid w:val="003955E0"/>
    <w:rsid w:val="00396C8F"/>
    <w:rsid w:val="003A6916"/>
    <w:rsid w:val="003A69FC"/>
    <w:rsid w:val="003B0B75"/>
    <w:rsid w:val="003B109A"/>
    <w:rsid w:val="003E3AA6"/>
    <w:rsid w:val="00426E7C"/>
    <w:rsid w:val="00444602"/>
    <w:rsid w:val="0044788D"/>
    <w:rsid w:val="004636C0"/>
    <w:rsid w:val="00465312"/>
    <w:rsid w:val="0049678F"/>
    <w:rsid w:val="004A087B"/>
    <w:rsid w:val="004B3465"/>
    <w:rsid w:val="004C01BF"/>
    <w:rsid w:val="004E05C5"/>
    <w:rsid w:val="004E3C71"/>
    <w:rsid w:val="005569B5"/>
    <w:rsid w:val="00556CF1"/>
    <w:rsid w:val="00557C67"/>
    <w:rsid w:val="005672E2"/>
    <w:rsid w:val="00567FA8"/>
    <w:rsid w:val="00570DB0"/>
    <w:rsid w:val="0058307D"/>
    <w:rsid w:val="00586511"/>
    <w:rsid w:val="00592B64"/>
    <w:rsid w:val="005A1EB9"/>
    <w:rsid w:val="005A2D34"/>
    <w:rsid w:val="005B65CB"/>
    <w:rsid w:val="005B706F"/>
    <w:rsid w:val="005D0C1F"/>
    <w:rsid w:val="005E74E7"/>
    <w:rsid w:val="00602EE4"/>
    <w:rsid w:val="00606B25"/>
    <w:rsid w:val="00625BE0"/>
    <w:rsid w:val="00625CB2"/>
    <w:rsid w:val="0066033A"/>
    <w:rsid w:val="006736D5"/>
    <w:rsid w:val="00682A5D"/>
    <w:rsid w:val="006A5114"/>
    <w:rsid w:val="006A7999"/>
    <w:rsid w:val="006B014B"/>
    <w:rsid w:val="006C154D"/>
    <w:rsid w:val="006D673B"/>
    <w:rsid w:val="006E1A6A"/>
    <w:rsid w:val="006F7BF4"/>
    <w:rsid w:val="00702FEB"/>
    <w:rsid w:val="007134E4"/>
    <w:rsid w:val="007175CE"/>
    <w:rsid w:val="00727106"/>
    <w:rsid w:val="00730935"/>
    <w:rsid w:val="0075058C"/>
    <w:rsid w:val="00782DC6"/>
    <w:rsid w:val="00795EDE"/>
    <w:rsid w:val="007A229A"/>
    <w:rsid w:val="007D3B66"/>
    <w:rsid w:val="007D6076"/>
    <w:rsid w:val="007E754B"/>
    <w:rsid w:val="007F4DE8"/>
    <w:rsid w:val="007F6CD2"/>
    <w:rsid w:val="008133F6"/>
    <w:rsid w:val="008322BB"/>
    <w:rsid w:val="00852D98"/>
    <w:rsid w:val="00853609"/>
    <w:rsid w:val="008557EC"/>
    <w:rsid w:val="00864977"/>
    <w:rsid w:val="00867546"/>
    <w:rsid w:val="008A3E95"/>
    <w:rsid w:val="008B4D62"/>
    <w:rsid w:val="008B7A5F"/>
    <w:rsid w:val="008D7FF3"/>
    <w:rsid w:val="008E3189"/>
    <w:rsid w:val="008E3A98"/>
    <w:rsid w:val="008F0C8E"/>
    <w:rsid w:val="008F138D"/>
    <w:rsid w:val="009018B5"/>
    <w:rsid w:val="0093371D"/>
    <w:rsid w:val="00962406"/>
    <w:rsid w:val="00962A51"/>
    <w:rsid w:val="00974635"/>
    <w:rsid w:val="00981E7D"/>
    <w:rsid w:val="009863BB"/>
    <w:rsid w:val="009A67D9"/>
    <w:rsid w:val="009A7418"/>
    <w:rsid w:val="009B2CB7"/>
    <w:rsid w:val="009B5CBA"/>
    <w:rsid w:val="009C1BBD"/>
    <w:rsid w:val="009E1A1E"/>
    <w:rsid w:val="009F2F24"/>
    <w:rsid w:val="009F5FDF"/>
    <w:rsid w:val="00A01AB2"/>
    <w:rsid w:val="00A156B0"/>
    <w:rsid w:val="00A26AA0"/>
    <w:rsid w:val="00A355AB"/>
    <w:rsid w:val="00A63CFB"/>
    <w:rsid w:val="00A92988"/>
    <w:rsid w:val="00A94AAD"/>
    <w:rsid w:val="00A9743A"/>
    <w:rsid w:val="00AB490A"/>
    <w:rsid w:val="00AB5119"/>
    <w:rsid w:val="00B27B6D"/>
    <w:rsid w:val="00B503EB"/>
    <w:rsid w:val="00B50AD5"/>
    <w:rsid w:val="00B5478B"/>
    <w:rsid w:val="00B61C1E"/>
    <w:rsid w:val="00B65397"/>
    <w:rsid w:val="00B72D57"/>
    <w:rsid w:val="00B85BE3"/>
    <w:rsid w:val="00B85F7C"/>
    <w:rsid w:val="00BA04E9"/>
    <w:rsid w:val="00BA15A9"/>
    <w:rsid w:val="00BC124C"/>
    <w:rsid w:val="00BC691F"/>
    <w:rsid w:val="00BD5A68"/>
    <w:rsid w:val="00BD6E03"/>
    <w:rsid w:val="00BF77BE"/>
    <w:rsid w:val="00C00C07"/>
    <w:rsid w:val="00C45E4B"/>
    <w:rsid w:val="00C61538"/>
    <w:rsid w:val="00C80B4E"/>
    <w:rsid w:val="00C82515"/>
    <w:rsid w:val="00C87FCC"/>
    <w:rsid w:val="00C93A6E"/>
    <w:rsid w:val="00CA00FF"/>
    <w:rsid w:val="00CB5D1C"/>
    <w:rsid w:val="00CC5759"/>
    <w:rsid w:val="00CD12DC"/>
    <w:rsid w:val="00CD72D4"/>
    <w:rsid w:val="00D113FA"/>
    <w:rsid w:val="00D2264E"/>
    <w:rsid w:val="00D22D45"/>
    <w:rsid w:val="00D330A6"/>
    <w:rsid w:val="00D41E0B"/>
    <w:rsid w:val="00D47044"/>
    <w:rsid w:val="00D50B54"/>
    <w:rsid w:val="00D73A10"/>
    <w:rsid w:val="00D7520D"/>
    <w:rsid w:val="00DB135A"/>
    <w:rsid w:val="00DC3B19"/>
    <w:rsid w:val="00DF002F"/>
    <w:rsid w:val="00E128D3"/>
    <w:rsid w:val="00E15BEB"/>
    <w:rsid w:val="00E16CFE"/>
    <w:rsid w:val="00E278CC"/>
    <w:rsid w:val="00E32F7A"/>
    <w:rsid w:val="00E42601"/>
    <w:rsid w:val="00E47630"/>
    <w:rsid w:val="00E517CD"/>
    <w:rsid w:val="00E57CEF"/>
    <w:rsid w:val="00E74300"/>
    <w:rsid w:val="00E82477"/>
    <w:rsid w:val="00E85124"/>
    <w:rsid w:val="00E87F87"/>
    <w:rsid w:val="00E91C3A"/>
    <w:rsid w:val="00EA046A"/>
    <w:rsid w:val="00EA0A1D"/>
    <w:rsid w:val="00EB632B"/>
    <w:rsid w:val="00EB6A32"/>
    <w:rsid w:val="00EC2101"/>
    <w:rsid w:val="00EE5297"/>
    <w:rsid w:val="00EE5C29"/>
    <w:rsid w:val="00F4092F"/>
    <w:rsid w:val="00F55651"/>
    <w:rsid w:val="00F97C58"/>
    <w:rsid w:val="00FB1626"/>
    <w:rsid w:val="00FB6F2E"/>
    <w:rsid w:val="00FC08CD"/>
    <w:rsid w:val="00FC2859"/>
    <w:rsid w:val="00FC55D3"/>
    <w:rsid w:val="00FC6A0D"/>
    <w:rsid w:val="00FF760A"/>
    <w:rsid w:val="0112797A"/>
    <w:rsid w:val="01353FA8"/>
    <w:rsid w:val="01846109"/>
    <w:rsid w:val="01C31BFA"/>
    <w:rsid w:val="01C66A79"/>
    <w:rsid w:val="01FB2325"/>
    <w:rsid w:val="0201285C"/>
    <w:rsid w:val="02201D8C"/>
    <w:rsid w:val="022F4130"/>
    <w:rsid w:val="029D1378"/>
    <w:rsid w:val="02C1531D"/>
    <w:rsid w:val="02C2109A"/>
    <w:rsid w:val="02E84657"/>
    <w:rsid w:val="02F61AFB"/>
    <w:rsid w:val="032B375B"/>
    <w:rsid w:val="037F0074"/>
    <w:rsid w:val="039F3265"/>
    <w:rsid w:val="041508B0"/>
    <w:rsid w:val="04194CE4"/>
    <w:rsid w:val="042E69E2"/>
    <w:rsid w:val="04AD3B75"/>
    <w:rsid w:val="04B867E1"/>
    <w:rsid w:val="04E336E3"/>
    <w:rsid w:val="050A4947"/>
    <w:rsid w:val="0550636E"/>
    <w:rsid w:val="055F2BCB"/>
    <w:rsid w:val="05997EE3"/>
    <w:rsid w:val="05AE068F"/>
    <w:rsid w:val="05C0366A"/>
    <w:rsid w:val="05C8785F"/>
    <w:rsid w:val="05C910AB"/>
    <w:rsid w:val="06007F0A"/>
    <w:rsid w:val="061869C0"/>
    <w:rsid w:val="0619598D"/>
    <w:rsid w:val="06362641"/>
    <w:rsid w:val="06BD5DFB"/>
    <w:rsid w:val="06CE3D0D"/>
    <w:rsid w:val="07222102"/>
    <w:rsid w:val="076B29CF"/>
    <w:rsid w:val="07A97A84"/>
    <w:rsid w:val="07C94C28"/>
    <w:rsid w:val="07D7113E"/>
    <w:rsid w:val="08640C24"/>
    <w:rsid w:val="08807F1C"/>
    <w:rsid w:val="08991020"/>
    <w:rsid w:val="08AC59B9"/>
    <w:rsid w:val="08C236EF"/>
    <w:rsid w:val="08CC7368"/>
    <w:rsid w:val="08D81ACF"/>
    <w:rsid w:val="096C2137"/>
    <w:rsid w:val="09AF3D54"/>
    <w:rsid w:val="09B970D7"/>
    <w:rsid w:val="09CD1858"/>
    <w:rsid w:val="0A6649C8"/>
    <w:rsid w:val="0A7656EB"/>
    <w:rsid w:val="0A8C608F"/>
    <w:rsid w:val="0A9005E8"/>
    <w:rsid w:val="0B446AEB"/>
    <w:rsid w:val="0B6B2955"/>
    <w:rsid w:val="0B713E27"/>
    <w:rsid w:val="0BA8707A"/>
    <w:rsid w:val="0BAF665A"/>
    <w:rsid w:val="0C126BE9"/>
    <w:rsid w:val="0C17200B"/>
    <w:rsid w:val="0C1A66D9"/>
    <w:rsid w:val="0C2B3807"/>
    <w:rsid w:val="0C2B5600"/>
    <w:rsid w:val="0C5114BF"/>
    <w:rsid w:val="0C906379"/>
    <w:rsid w:val="0CAC4948"/>
    <w:rsid w:val="0CC30264"/>
    <w:rsid w:val="0D873255"/>
    <w:rsid w:val="0D9E045B"/>
    <w:rsid w:val="0DA4087E"/>
    <w:rsid w:val="0DA41AC3"/>
    <w:rsid w:val="0DAB4BFF"/>
    <w:rsid w:val="0DB179E3"/>
    <w:rsid w:val="0DBA12E6"/>
    <w:rsid w:val="0DD57ECE"/>
    <w:rsid w:val="0DE7465B"/>
    <w:rsid w:val="0E0C4391"/>
    <w:rsid w:val="0E277278"/>
    <w:rsid w:val="0E7F18B4"/>
    <w:rsid w:val="0E873E72"/>
    <w:rsid w:val="0E887444"/>
    <w:rsid w:val="0EA31D7A"/>
    <w:rsid w:val="0F136F00"/>
    <w:rsid w:val="0F2C69E9"/>
    <w:rsid w:val="0F306CA2"/>
    <w:rsid w:val="0FD541B5"/>
    <w:rsid w:val="0FD703DA"/>
    <w:rsid w:val="10822BA8"/>
    <w:rsid w:val="10ED5DAA"/>
    <w:rsid w:val="10F2280F"/>
    <w:rsid w:val="11472D75"/>
    <w:rsid w:val="114F7F97"/>
    <w:rsid w:val="115D34F4"/>
    <w:rsid w:val="11630D26"/>
    <w:rsid w:val="11B61AF9"/>
    <w:rsid w:val="11BA73C3"/>
    <w:rsid w:val="11D02568"/>
    <w:rsid w:val="122728A0"/>
    <w:rsid w:val="126B1493"/>
    <w:rsid w:val="12CF75E2"/>
    <w:rsid w:val="12D842F0"/>
    <w:rsid w:val="12F00C19"/>
    <w:rsid w:val="13280AA0"/>
    <w:rsid w:val="13622204"/>
    <w:rsid w:val="136539DB"/>
    <w:rsid w:val="13930FB5"/>
    <w:rsid w:val="13AF7E9E"/>
    <w:rsid w:val="13F76DF0"/>
    <w:rsid w:val="13FF5CA5"/>
    <w:rsid w:val="14195898"/>
    <w:rsid w:val="14334A5B"/>
    <w:rsid w:val="14362C18"/>
    <w:rsid w:val="14C327EB"/>
    <w:rsid w:val="14CD7B51"/>
    <w:rsid w:val="14F13AAD"/>
    <w:rsid w:val="14FD73A7"/>
    <w:rsid w:val="1501476E"/>
    <w:rsid w:val="151242CF"/>
    <w:rsid w:val="15320684"/>
    <w:rsid w:val="154654DA"/>
    <w:rsid w:val="160457F4"/>
    <w:rsid w:val="16061D32"/>
    <w:rsid w:val="160F7CF5"/>
    <w:rsid w:val="16146688"/>
    <w:rsid w:val="16251FF3"/>
    <w:rsid w:val="16282DF0"/>
    <w:rsid w:val="16324E84"/>
    <w:rsid w:val="16381440"/>
    <w:rsid w:val="16BC60CF"/>
    <w:rsid w:val="16C3087E"/>
    <w:rsid w:val="16EF4E83"/>
    <w:rsid w:val="16F05348"/>
    <w:rsid w:val="16F615E1"/>
    <w:rsid w:val="17435DB2"/>
    <w:rsid w:val="178430EA"/>
    <w:rsid w:val="17A74225"/>
    <w:rsid w:val="17B40B54"/>
    <w:rsid w:val="181919D9"/>
    <w:rsid w:val="18622172"/>
    <w:rsid w:val="18CD619D"/>
    <w:rsid w:val="18E90CD1"/>
    <w:rsid w:val="19245C8B"/>
    <w:rsid w:val="193750FB"/>
    <w:rsid w:val="193957B5"/>
    <w:rsid w:val="198A5990"/>
    <w:rsid w:val="19923117"/>
    <w:rsid w:val="19AE03EA"/>
    <w:rsid w:val="19B872C5"/>
    <w:rsid w:val="19DC2666"/>
    <w:rsid w:val="1A3E021F"/>
    <w:rsid w:val="1A46462D"/>
    <w:rsid w:val="1A4F71F0"/>
    <w:rsid w:val="1A551C76"/>
    <w:rsid w:val="1A7016AA"/>
    <w:rsid w:val="1AF000F5"/>
    <w:rsid w:val="1AF9291A"/>
    <w:rsid w:val="1B340AB0"/>
    <w:rsid w:val="1B440441"/>
    <w:rsid w:val="1B4D19EC"/>
    <w:rsid w:val="1BB6764E"/>
    <w:rsid w:val="1BCC1029"/>
    <w:rsid w:val="1BE815F6"/>
    <w:rsid w:val="1C2152B8"/>
    <w:rsid w:val="1C4A4BD6"/>
    <w:rsid w:val="1C6D2EBD"/>
    <w:rsid w:val="1CAE7FC5"/>
    <w:rsid w:val="1CCA4703"/>
    <w:rsid w:val="1CE729B9"/>
    <w:rsid w:val="1CEA09C9"/>
    <w:rsid w:val="1D2056D9"/>
    <w:rsid w:val="1D3B2DB8"/>
    <w:rsid w:val="1D3D7D66"/>
    <w:rsid w:val="1D7C6FB2"/>
    <w:rsid w:val="1D897152"/>
    <w:rsid w:val="1D936E4D"/>
    <w:rsid w:val="1E225515"/>
    <w:rsid w:val="1E324D3F"/>
    <w:rsid w:val="1E490DAE"/>
    <w:rsid w:val="1E682698"/>
    <w:rsid w:val="1E86284E"/>
    <w:rsid w:val="1E9532EC"/>
    <w:rsid w:val="1ECC0549"/>
    <w:rsid w:val="1ED7368F"/>
    <w:rsid w:val="1F0F0FA6"/>
    <w:rsid w:val="1F2F0FDC"/>
    <w:rsid w:val="1F460CC0"/>
    <w:rsid w:val="1FAC562A"/>
    <w:rsid w:val="1FB84AA6"/>
    <w:rsid w:val="1FD4506F"/>
    <w:rsid w:val="1FD961F6"/>
    <w:rsid w:val="1FE5589E"/>
    <w:rsid w:val="20146EB5"/>
    <w:rsid w:val="201523AC"/>
    <w:rsid w:val="20476A09"/>
    <w:rsid w:val="204D0028"/>
    <w:rsid w:val="205360E4"/>
    <w:rsid w:val="208E0BD4"/>
    <w:rsid w:val="209F0D94"/>
    <w:rsid w:val="20D556F7"/>
    <w:rsid w:val="20DA26B2"/>
    <w:rsid w:val="20F05298"/>
    <w:rsid w:val="21773981"/>
    <w:rsid w:val="21880387"/>
    <w:rsid w:val="218B509B"/>
    <w:rsid w:val="219F22C6"/>
    <w:rsid w:val="21DC13D3"/>
    <w:rsid w:val="21DF5BE8"/>
    <w:rsid w:val="21FF14AD"/>
    <w:rsid w:val="222B29A3"/>
    <w:rsid w:val="223643DF"/>
    <w:rsid w:val="2258259B"/>
    <w:rsid w:val="22622B4E"/>
    <w:rsid w:val="2286109B"/>
    <w:rsid w:val="22B060DA"/>
    <w:rsid w:val="22CD4C76"/>
    <w:rsid w:val="22E4252B"/>
    <w:rsid w:val="23007343"/>
    <w:rsid w:val="233F7ACE"/>
    <w:rsid w:val="23656290"/>
    <w:rsid w:val="23A573EC"/>
    <w:rsid w:val="23E3404C"/>
    <w:rsid w:val="23F301CE"/>
    <w:rsid w:val="24322A95"/>
    <w:rsid w:val="24474722"/>
    <w:rsid w:val="244B7C07"/>
    <w:rsid w:val="24F828F9"/>
    <w:rsid w:val="24F90A99"/>
    <w:rsid w:val="25130B84"/>
    <w:rsid w:val="254B663C"/>
    <w:rsid w:val="25633827"/>
    <w:rsid w:val="25A628CB"/>
    <w:rsid w:val="25AB3597"/>
    <w:rsid w:val="25D71A1B"/>
    <w:rsid w:val="260D24A3"/>
    <w:rsid w:val="264F486A"/>
    <w:rsid w:val="26753BA5"/>
    <w:rsid w:val="26A16D5B"/>
    <w:rsid w:val="26C74803"/>
    <w:rsid w:val="26F67BB3"/>
    <w:rsid w:val="27E317E6"/>
    <w:rsid w:val="27F8683B"/>
    <w:rsid w:val="28075BEC"/>
    <w:rsid w:val="28236F28"/>
    <w:rsid w:val="28375860"/>
    <w:rsid w:val="28810F26"/>
    <w:rsid w:val="28AE2B71"/>
    <w:rsid w:val="28B23682"/>
    <w:rsid w:val="28D30544"/>
    <w:rsid w:val="29231FDE"/>
    <w:rsid w:val="29345D49"/>
    <w:rsid w:val="29826AB6"/>
    <w:rsid w:val="29A05439"/>
    <w:rsid w:val="29E877F3"/>
    <w:rsid w:val="29F30C53"/>
    <w:rsid w:val="2A24600D"/>
    <w:rsid w:val="2A49616C"/>
    <w:rsid w:val="2A6374A2"/>
    <w:rsid w:val="2A9C104F"/>
    <w:rsid w:val="2ABC4498"/>
    <w:rsid w:val="2AD82E25"/>
    <w:rsid w:val="2B6A5CA2"/>
    <w:rsid w:val="2B6A670A"/>
    <w:rsid w:val="2B814519"/>
    <w:rsid w:val="2BE81C0D"/>
    <w:rsid w:val="2C1A7BB1"/>
    <w:rsid w:val="2C875F90"/>
    <w:rsid w:val="2D24530B"/>
    <w:rsid w:val="2D873D9E"/>
    <w:rsid w:val="2D9744C0"/>
    <w:rsid w:val="2DAC07F4"/>
    <w:rsid w:val="2DBF69B2"/>
    <w:rsid w:val="2DDB24F0"/>
    <w:rsid w:val="2DDB69E3"/>
    <w:rsid w:val="2E311E4D"/>
    <w:rsid w:val="2E692241"/>
    <w:rsid w:val="2E796C74"/>
    <w:rsid w:val="2EE1627B"/>
    <w:rsid w:val="2F097230"/>
    <w:rsid w:val="2F0C26D8"/>
    <w:rsid w:val="2F3F63BB"/>
    <w:rsid w:val="2F403DC2"/>
    <w:rsid w:val="2FA476E5"/>
    <w:rsid w:val="2FE04C4D"/>
    <w:rsid w:val="2FFF3929"/>
    <w:rsid w:val="300D0A92"/>
    <w:rsid w:val="302A1EA4"/>
    <w:rsid w:val="30852731"/>
    <w:rsid w:val="30FD642A"/>
    <w:rsid w:val="31231310"/>
    <w:rsid w:val="316C6099"/>
    <w:rsid w:val="31F7076C"/>
    <w:rsid w:val="32850E51"/>
    <w:rsid w:val="330E56BB"/>
    <w:rsid w:val="331C3D26"/>
    <w:rsid w:val="3332674E"/>
    <w:rsid w:val="33A90E1D"/>
    <w:rsid w:val="341A684F"/>
    <w:rsid w:val="344A67CC"/>
    <w:rsid w:val="34C3255C"/>
    <w:rsid w:val="34FD1935"/>
    <w:rsid w:val="351E6AF9"/>
    <w:rsid w:val="352D4FE9"/>
    <w:rsid w:val="35405282"/>
    <w:rsid w:val="355301E5"/>
    <w:rsid w:val="35533136"/>
    <w:rsid w:val="359130D0"/>
    <w:rsid w:val="35C21292"/>
    <w:rsid w:val="35E6061B"/>
    <w:rsid w:val="35F1149A"/>
    <w:rsid w:val="35FE6C91"/>
    <w:rsid w:val="360450BC"/>
    <w:rsid w:val="36173AEA"/>
    <w:rsid w:val="363665F4"/>
    <w:rsid w:val="3693592E"/>
    <w:rsid w:val="36AC73AA"/>
    <w:rsid w:val="370F057A"/>
    <w:rsid w:val="37475107"/>
    <w:rsid w:val="374A73F7"/>
    <w:rsid w:val="37B143FB"/>
    <w:rsid w:val="37BE19E1"/>
    <w:rsid w:val="37C727CF"/>
    <w:rsid w:val="37EA09FC"/>
    <w:rsid w:val="37F67BD4"/>
    <w:rsid w:val="381A7309"/>
    <w:rsid w:val="3823428A"/>
    <w:rsid w:val="38543C05"/>
    <w:rsid w:val="38902DEC"/>
    <w:rsid w:val="38A839C5"/>
    <w:rsid w:val="38D9395A"/>
    <w:rsid w:val="38E2156D"/>
    <w:rsid w:val="393671E5"/>
    <w:rsid w:val="3937266D"/>
    <w:rsid w:val="39565AB7"/>
    <w:rsid w:val="39A869BA"/>
    <w:rsid w:val="39BA1BA2"/>
    <w:rsid w:val="3A1E5EB9"/>
    <w:rsid w:val="3A564787"/>
    <w:rsid w:val="3ACC42F2"/>
    <w:rsid w:val="3AD924FC"/>
    <w:rsid w:val="3B144262"/>
    <w:rsid w:val="3B2345DA"/>
    <w:rsid w:val="3B53473A"/>
    <w:rsid w:val="3BBC36C5"/>
    <w:rsid w:val="3BF36455"/>
    <w:rsid w:val="3C757AFE"/>
    <w:rsid w:val="3CF84295"/>
    <w:rsid w:val="3D271DD4"/>
    <w:rsid w:val="3D55462F"/>
    <w:rsid w:val="3D8928C8"/>
    <w:rsid w:val="3DBC05DF"/>
    <w:rsid w:val="3DBE7A6B"/>
    <w:rsid w:val="3DDF42CD"/>
    <w:rsid w:val="3DF655DD"/>
    <w:rsid w:val="3E0D2BA2"/>
    <w:rsid w:val="3E3F2FBE"/>
    <w:rsid w:val="3E4E4205"/>
    <w:rsid w:val="3E6B790F"/>
    <w:rsid w:val="3E8B7FB1"/>
    <w:rsid w:val="3EAF7660"/>
    <w:rsid w:val="3EB41655"/>
    <w:rsid w:val="3ED36924"/>
    <w:rsid w:val="3EE87253"/>
    <w:rsid w:val="3EF36B45"/>
    <w:rsid w:val="3F1E789A"/>
    <w:rsid w:val="3F3A4A08"/>
    <w:rsid w:val="3F4F5FDE"/>
    <w:rsid w:val="3F8D5553"/>
    <w:rsid w:val="3F8E1B07"/>
    <w:rsid w:val="3FC40C2A"/>
    <w:rsid w:val="3FF81676"/>
    <w:rsid w:val="40461353"/>
    <w:rsid w:val="408C6CEF"/>
    <w:rsid w:val="40B20C40"/>
    <w:rsid w:val="410F0A26"/>
    <w:rsid w:val="411E04AF"/>
    <w:rsid w:val="41614D01"/>
    <w:rsid w:val="418635D0"/>
    <w:rsid w:val="419E7FFC"/>
    <w:rsid w:val="41B41791"/>
    <w:rsid w:val="41C55B15"/>
    <w:rsid w:val="41D94980"/>
    <w:rsid w:val="41E665F3"/>
    <w:rsid w:val="422D039E"/>
    <w:rsid w:val="42334BE8"/>
    <w:rsid w:val="42553733"/>
    <w:rsid w:val="426923B8"/>
    <w:rsid w:val="427A16FC"/>
    <w:rsid w:val="428D31DC"/>
    <w:rsid w:val="42954A56"/>
    <w:rsid w:val="42FB5767"/>
    <w:rsid w:val="430B38BA"/>
    <w:rsid w:val="43297D0F"/>
    <w:rsid w:val="43347E59"/>
    <w:rsid w:val="43467CE7"/>
    <w:rsid w:val="436141B9"/>
    <w:rsid w:val="43841F97"/>
    <w:rsid w:val="439D34C4"/>
    <w:rsid w:val="43D16466"/>
    <w:rsid w:val="43D3397D"/>
    <w:rsid w:val="43E1156F"/>
    <w:rsid w:val="43E70B02"/>
    <w:rsid w:val="44025FD4"/>
    <w:rsid w:val="443978BF"/>
    <w:rsid w:val="447D039C"/>
    <w:rsid w:val="44822833"/>
    <w:rsid w:val="452B7DF8"/>
    <w:rsid w:val="453B243E"/>
    <w:rsid w:val="454B049A"/>
    <w:rsid w:val="458055B9"/>
    <w:rsid w:val="45867CC1"/>
    <w:rsid w:val="45BC128D"/>
    <w:rsid w:val="460E75AC"/>
    <w:rsid w:val="467739D1"/>
    <w:rsid w:val="46947D7D"/>
    <w:rsid w:val="46E110B6"/>
    <w:rsid w:val="46F72724"/>
    <w:rsid w:val="46FC1A4C"/>
    <w:rsid w:val="472D42FC"/>
    <w:rsid w:val="475950F1"/>
    <w:rsid w:val="477122AC"/>
    <w:rsid w:val="47A10A23"/>
    <w:rsid w:val="47BA12CD"/>
    <w:rsid w:val="47CD163B"/>
    <w:rsid w:val="4851401A"/>
    <w:rsid w:val="488234CB"/>
    <w:rsid w:val="48B06F92"/>
    <w:rsid w:val="48B63E7D"/>
    <w:rsid w:val="48CC544E"/>
    <w:rsid w:val="49383448"/>
    <w:rsid w:val="49585347"/>
    <w:rsid w:val="4A3548FD"/>
    <w:rsid w:val="4A62288B"/>
    <w:rsid w:val="4A9F4BB1"/>
    <w:rsid w:val="4AE4002F"/>
    <w:rsid w:val="4AFE2D85"/>
    <w:rsid w:val="4B412124"/>
    <w:rsid w:val="4BB46D99"/>
    <w:rsid w:val="4BEC77F3"/>
    <w:rsid w:val="4C231BE2"/>
    <w:rsid w:val="4C743FDA"/>
    <w:rsid w:val="4D807F9E"/>
    <w:rsid w:val="4DAD6F45"/>
    <w:rsid w:val="4DE4323A"/>
    <w:rsid w:val="4E2875CB"/>
    <w:rsid w:val="4E384EAD"/>
    <w:rsid w:val="4ED92299"/>
    <w:rsid w:val="4F250628"/>
    <w:rsid w:val="4F391364"/>
    <w:rsid w:val="4F5004D1"/>
    <w:rsid w:val="4F626B0C"/>
    <w:rsid w:val="4F934D3C"/>
    <w:rsid w:val="4FDE19DE"/>
    <w:rsid w:val="4FE91086"/>
    <w:rsid w:val="4FEA649A"/>
    <w:rsid w:val="4FF27E90"/>
    <w:rsid w:val="50021B2D"/>
    <w:rsid w:val="503D32AA"/>
    <w:rsid w:val="50816453"/>
    <w:rsid w:val="50865DB4"/>
    <w:rsid w:val="50BB47F1"/>
    <w:rsid w:val="50C8317D"/>
    <w:rsid w:val="510A2FB8"/>
    <w:rsid w:val="510E569F"/>
    <w:rsid w:val="511B0648"/>
    <w:rsid w:val="5139389D"/>
    <w:rsid w:val="51646B6C"/>
    <w:rsid w:val="51697CCE"/>
    <w:rsid w:val="51F57723"/>
    <w:rsid w:val="520B649E"/>
    <w:rsid w:val="52285DEB"/>
    <w:rsid w:val="522F0B3A"/>
    <w:rsid w:val="5248023B"/>
    <w:rsid w:val="525258E7"/>
    <w:rsid w:val="52632A6F"/>
    <w:rsid w:val="52BF1A18"/>
    <w:rsid w:val="52D44BAD"/>
    <w:rsid w:val="52E03ACB"/>
    <w:rsid w:val="532C0A2A"/>
    <w:rsid w:val="53542C10"/>
    <w:rsid w:val="537058CB"/>
    <w:rsid w:val="5381005C"/>
    <w:rsid w:val="540762D3"/>
    <w:rsid w:val="54127E80"/>
    <w:rsid w:val="542B1502"/>
    <w:rsid w:val="548E5CAE"/>
    <w:rsid w:val="549B5605"/>
    <w:rsid w:val="54C52B3F"/>
    <w:rsid w:val="54D062C6"/>
    <w:rsid w:val="54F32B70"/>
    <w:rsid w:val="550668E9"/>
    <w:rsid w:val="55605FB9"/>
    <w:rsid w:val="55632765"/>
    <w:rsid w:val="55731A5F"/>
    <w:rsid w:val="55986DE4"/>
    <w:rsid w:val="55A048FF"/>
    <w:rsid w:val="55AD5C21"/>
    <w:rsid w:val="55F24565"/>
    <w:rsid w:val="560E354A"/>
    <w:rsid w:val="56521D85"/>
    <w:rsid w:val="56F34844"/>
    <w:rsid w:val="56F82B05"/>
    <w:rsid w:val="570A1F63"/>
    <w:rsid w:val="57216514"/>
    <w:rsid w:val="577218B7"/>
    <w:rsid w:val="579C55B7"/>
    <w:rsid w:val="57B0151D"/>
    <w:rsid w:val="57E15CAF"/>
    <w:rsid w:val="57FD3876"/>
    <w:rsid w:val="5818420C"/>
    <w:rsid w:val="582C2AAF"/>
    <w:rsid w:val="58691B51"/>
    <w:rsid w:val="58C425E6"/>
    <w:rsid w:val="58DF3975"/>
    <w:rsid w:val="590649AC"/>
    <w:rsid w:val="595277A4"/>
    <w:rsid w:val="595742AF"/>
    <w:rsid w:val="597A49AA"/>
    <w:rsid w:val="599E1E35"/>
    <w:rsid w:val="5A156D2E"/>
    <w:rsid w:val="5A5F18BE"/>
    <w:rsid w:val="5A7645EF"/>
    <w:rsid w:val="5A9F6323"/>
    <w:rsid w:val="5AE66ECB"/>
    <w:rsid w:val="5B0D7428"/>
    <w:rsid w:val="5B2A2708"/>
    <w:rsid w:val="5B2B0DC8"/>
    <w:rsid w:val="5B397B5C"/>
    <w:rsid w:val="5B692B86"/>
    <w:rsid w:val="5B880C90"/>
    <w:rsid w:val="5B8F28B9"/>
    <w:rsid w:val="5BA94AA9"/>
    <w:rsid w:val="5BB618AA"/>
    <w:rsid w:val="5BC759F3"/>
    <w:rsid w:val="5BE15FFA"/>
    <w:rsid w:val="5BF14F23"/>
    <w:rsid w:val="5C096983"/>
    <w:rsid w:val="5C48623A"/>
    <w:rsid w:val="5C5679F9"/>
    <w:rsid w:val="5C8C1EC4"/>
    <w:rsid w:val="5CB254BB"/>
    <w:rsid w:val="5CB47304"/>
    <w:rsid w:val="5CFA4828"/>
    <w:rsid w:val="5D075BD5"/>
    <w:rsid w:val="5D280F9A"/>
    <w:rsid w:val="5D376110"/>
    <w:rsid w:val="5D904EAD"/>
    <w:rsid w:val="5DBC1ADE"/>
    <w:rsid w:val="5DC0103B"/>
    <w:rsid w:val="5DCA5FA9"/>
    <w:rsid w:val="5DD968D3"/>
    <w:rsid w:val="5DE56A08"/>
    <w:rsid w:val="5ECF13D3"/>
    <w:rsid w:val="5EDB5B32"/>
    <w:rsid w:val="5EE97CED"/>
    <w:rsid w:val="5F023ED5"/>
    <w:rsid w:val="5F062EDD"/>
    <w:rsid w:val="5F604A97"/>
    <w:rsid w:val="5F627AF4"/>
    <w:rsid w:val="5FAF18FA"/>
    <w:rsid w:val="5FEA4C56"/>
    <w:rsid w:val="60346845"/>
    <w:rsid w:val="6045400C"/>
    <w:rsid w:val="60514A9F"/>
    <w:rsid w:val="60A31665"/>
    <w:rsid w:val="60C50083"/>
    <w:rsid w:val="611416F9"/>
    <w:rsid w:val="61447E20"/>
    <w:rsid w:val="61670B6D"/>
    <w:rsid w:val="617073C1"/>
    <w:rsid w:val="6194524A"/>
    <w:rsid w:val="61985190"/>
    <w:rsid w:val="61B54307"/>
    <w:rsid w:val="61C67DC4"/>
    <w:rsid w:val="6220438D"/>
    <w:rsid w:val="62213E56"/>
    <w:rsid w:val="62491516"/>
    <w:rsid w:val="62634C1E"/>
    <w:rsid w:val="62D6016F"/>
    <w:rsid w:val="62D6719E"/>
    <w:rsid w:val="62FC4DE5"/>
    <w:rsid w:val="631B37A7"/>
    <w:rsid w:val="63473BF7"/>
    <w:rsid w:val="636E5628"/>
    <w:rsid w:val="63A0530F"/>
    <w:rsid w:val="64121239"/>
    <w:rsid w:val="64787FAB"/>
    <w:rsid w:val="647A1DAB"/>
    <w:rsid w:val="649B3E72"/>
    <w:rsid w:val="64CE360C"/>
    <w:rsid w:val="64D024FB"/>
    <w:rsid w:val="650E0E71"/>
    <w:rsid w:val="652B7B1D"/>
    <w:rsid w:val="65841133"/>
    <w:rsid w:val="659F5284"/>
    <w:rsid w:val="65B155D5"/>
    <w:rsid w:val="65D5373C"/>
    <w:rsid w:val="65D97D79"/>
    <w:rsid w:val="66147F8E"/>
    <w:rsid w:val="66284DA0"/>
    <w:rsid w:val="66322363"/>
    <w:rsid w:val="664300BC"/>
    <w:rsid w:val="66A23F66"/>
    <w:rsid w:val="66AF7533"/>
    <w:rsid w:val="66B27F22"/>
    <w:rsid w:val="6712547A"/>
    <w:rsid w:val="672B78DD"/>
    <w:rsid w:val="673B0EC9"/>
    <w:rsid w:val="6764499A"/>
    <w:rsid w:val="679C744A"/>
    <w:rsid w:val="67B73234"/>
    <w:rsid w:val="67C675CB"/>
    <w:rsid w:val="68624630"/>
    <w:rsid w:val="686F60CA"/>
    <w:rsid w:val="688B3E12"/>
    <w:rsid w:val="68A5389A"/>
    <w:rsid w:val="68AF4177"/>
    <w:rsid w:val="68D76CA7"/>
    <w:rsid w:val="69093C08"/>
    <w:rsid w:val="690B0568"/>
    <w:rsid w:val="693506A4"/>
    <w:rsid w:val="697802E1"/>
    <w:rsid w:val="69BF4BA7"/>
    <w:rsid w:val="6A1B36D4"/>
    <w:rsid w:val="6A4D1F07"/>
    <w:rsid w:val="6A5E63F6"/>
    <w:rsid w:val="6AA87B26"/>
    <w:rsid w:val="6AB03DB0"/>
    <w:rsid w:val="6AB21C80"/>
    <w:rsid w:val="6AD106FA"/>
    <w:rsid w:val="6B464FBE"/>
    <w:rsid w:val="6BE13217"/>
    <w:rsid w:val="6BEE3A70"/>
    <w:rsid w:val="6BFC3435"/>
    <w:rsid w:val="6BFF460F"/>
    <w:rsid w:val="6C383EEE"/>
    <w:rsid w:val="6CB206F3"/>
    <w:rsid w:val="6CD0292D"/>
    <w:rsid w:val="6D214DA2"/>
    <w:rsid w:val="6D290EC2"/>
    <w:rsid w:val="6D4E7064"/>
    <w:rsid w:val="6E222D92"/>
    <w:rsid w:val="6E351079"/>
    <w:rsid w:val="6E427DDD"/>
    <w:rsid w:val="6E5024FA"/>
    <w:rsid w:val="6E9C30AC"/>
    <w:rsid w:val="6EB47971"/>
    <w:rsid w:val="6EDC64AF"/>
    <w:rsid w:val="6F194C5F"/>
    <w:rsid w:val="6F4126F9"/>
    <w:rsid w:val="6F6D0E8A"/>
    <w:rsid w:val="6FAA19B8"/>
    <w:rsid w:val="6FAB6E59"/>
    <w:rsid w:val="701F058B"/>
    <w:rsid w:val="701F36AE"/>
    <w:rsid w:val="70302B20"/>
    <w:rsid w:val="70D25FAB"/>
    <w:rsid w:val="70E96CDA"/>
    <w:rsid w:val="70F03B20"/>
    <w:rsid w:val="71045B66"/>
    <w:rsid w:val="711041C2"/>
    <w:rsid w:val="71333A0D"/>
    <w:rsid w:val="71FD7C2B"/>
    <w:rsid w:val="725E2D0C"/>
    <w:rsid w:val="728704B4"/>
    <w:rsid w:val="728C1708"/>
    <w:rsid w:val="729E1A4F"/>
    <w:rsid w:val="731F4E63"/>
    <w:rsid w:val="733120F2"/>
    <w:rsid w:val="73341112"/>
    <w:rsid w:val="73721668"/>
    <w:rsid w:val="73A330CC"/>
    <w:rsid w:val="73C104FA"/>
    <w:rsid w:val="73D2750D"/>
    <w:rsid w:val="73ED07EB"/>
    <w:rsid w:val="73F02989"/>
    <w:rsid w:val="74381980"/>
    <w:rsid w:val="743A71D7"/>
    <w:rsid w:val="745B3089"/>
    <w:rsid w:val="74787EC2"/>
    <w:rsid w:val="749A377E"/>
    <w:rsid w:val="74A02C63"/>
    <w:rsid w:val="74B337B4"/>
    <w:rsid w:val="74E00C04"/>
    <w:rsid w:val="74E04CFB"/>
    <w:rsid w:val="74EA2395"/>
    <w:rsid w:val="75317D5F"/>
    <w:rsid w:val="75334E53"/>
    <w:rsid w:val="7548457F"/>
    <w:rsid w:val="757474D1"/>
    <w:rsid w:val="75753FF7"/>
    <w:rsid w:val="758B63C1"/>
    <w:rsid w:val="75F55735"/>
    <w:rsid w:val="76195A7C"/>
    <w:rsid w:val="76634D94"/>
    <w:rsid w:val="768C4A53"/>
    <w:rsid w:val="769D6AA6"/>
    <w:rsid w:val="76EF032E"/>
    <w:rsid w:val="772269FE"/>
    <w:rsid w:val="77286183"/>
    <w:rsid w:val="778552F9"/>
    <w:rsid w:val="778C3CA2"/>
    <w:rsid w:val="77971975"/>
    <w:rsid w:val="77E4242E"/>
    <w:rsid w:val="781F6A99"/>
    <w:rsid w:val="78302A9F"/>
    <w:rsid w:val="7846061D"/>
    <w:rsid w:val="78610262"/>
    <w:rsid w:val="787454B2"/>
    <w:rsid w:val="78C91297"/>
    <w:rsid w:val="790248D0"/>
    <w:rsid w:val="79576F32"/>
    <w:rsid w:val="795E48D2"/>
    <w:rsid w:val="796F2941"/>
    <w:rsid w:val="798224D7"/>
    <w:rsid w:val="79A22D5A"/>
    <w:rsid w:val="79B17BC5"/>
    <w:rsid w:val="79B4085F"/>
    <w:rsid w:val="79B561A9"/>
    <w:rsid w:val="79B7342D"/>
    <w:rsid w:val="79F4764C"/>
    <w:rsid w:val="7A000E9D"/>
    <w:rsid w:val="7A080EEE"/>
    <w:rsid w:val="7A5F0824"/>
    <w:rsid w:val="7AE73B67"/>
    <w:rsid w:val="7B0920BD"/>
    <w:rsid w:val="7B395A87"/>
    <w:rsid w:val="7B3B008E"/>
    <w:rsid w:val="7B3D18DB"/>
    <w:rsid w:val="7B552E79"/>
    <w:rsid w:val="7B895783"/>
    <w:rsid w:val="7B9265CA"/>
    <w:rsid w:val="7BAF10CA"/>
    <w:rsid w:val="7BAF1CF4"/>
    <w:rsid w:val="7BCB31C0"/>
    <w:rsid w:val="7C2973D4"/>
    <w:rsid w:val="7C5B585A"/>
    <w:rsid w:val="7C5D2102"/>
    <w:rsid w:val="7C6A55DE"/>
    <w:rsid w:val="7CA177FE"/>
    <w:rsid w:val="7CA3671D"/>
    <w:rsid w:val="7CCB18E8"/>
    <w:rsid w:val="7D140B97"/>
    <w:rsid w:val="7D151FD6"/>
    <w:rsid w:val="7D6F281E"/>
    <w:rsid w:val="7D784A08"/>
    <w:rsid w:val="7D7E25C4"/>
    <w:rsid w:val="7D992DB1"/>
    <w:rsid w:val="7DD65E29"/>
    <w:rsid w:val="7DEE3570"/>
    <w:rsid w:val="7E4523AF"/>
    <w:rsid w:val="7E83744C"/>
    <w:rsid w:val="7ED57521"/>
    <w:rsid w:val="7F54171E"/>
    <w:rsid w:val="7F5E434B"/>
    <w:rsid w:val="7FAE4005"/>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line="360" w:lineRule="auto"/>
      <w:jc w:val="center"/>
      <w:outlineLvl w:val="0"/>
    </w:pPr>
    <w:rPr>
      <w:rFonts w:eastAsia="黑体"/>
      <w:b/>
      <w:bCs/>
      <w:color w:val="000000"/>
      <w:kern w:val="44"/>
      <w:sz w:val="30"/>
      <w:szCs w:val="30"/>
    </w:rPr>
  </w:style>
  <w:style w:type="paragraph" w:styleId="3">
    <w:name w:val="heading 2"/>
    <w:basedOn w:val="1"/>
    <w:next w:val="1"/>
    <w:qFormat/>
    <w:uiPriority w:val="0"/>
    <w:pPr>
      <w:keepNext/>
      <w:keepLines/>
      <w:spacing w:before="260" w:after="260" w:line="416" w:lineRule="auto"/>
      <w:outlineLvl w:val="1"/>
    </w:pPr>
    <w:rPr>
      <w:rFonts w:ascii="宋体" w:hAnsi="宋体" w:cs="宋体"/>
      <w:b/>
      <w:bCs/>
      <w:sz w:val="24"/>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7"/>
    <w:basedOn w:val="1"/>
    <w:next w:val="1"/>
    <w:semiHidden/>
    <w:unhideWhenUsed/>
    <w:qFormat/>
    <w:uiPriority w:val="9"/>
    <w:pPr>
      <w:keepNext/>
      <w:keepLines/>
      <w:adjustRightInd w:val="0"/>
      <w:snapToGrid w:val="0"/>
      <w:spacing w:before="240" w:after="64" w:line="317" w:lineRule="auto"/>
      <w:ind w:left="1296"/>
      <w:jc w:val="left"/>
      <w:outlineLvl w:val="6"/>
    </w:pPr>
    <w:rPr>
      <w:b/>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unhideWhenUsed/>
    <w:qFormat/>
    <w:uiPriority w:val="99"/>
    <w:pPr>
      <w:adjustRightInd w:val="0"/>
      <w:ind w:firstLine="420"/>
      <w:jc w:val="left"/>
    </w:pPr>
    <w:rPr>
      <w:sz w:val="24"/>
      <w:szCs w:val="20"/>
    </w:rPr>
  </w:style>
  <w:style w:type="paragraph" w:customStyle="1" w:styleId="8">
    <w:name w:val="表头"/>
    <w:basedOn w:val="9"/>
    <w:next w:val="10"/>
    <w:qFormat/>
    <w:uiPriority w:val="0"/>
    <w:pPr>
      <w:adjustRightInd w:val="0"/>
      <w:spacing w:before="80" w:after="80"/>
      <w:ind w:firstLine="0"/>
      <w:jc w:val="center"/>
      <w:textAlignment w:val="baseline"/>
    </w:pPr>
    <w:rPr>
      <w:rFonts w:ascii="仿宋_GB2312" w:hAnsi="宋体" w:eastAsia="仿宋_GB2312"/>
      <w:kern w:val="0"/>
      <w:szCs w:val="20"/>
    </w:rPr>
  </w:style>
  <w:style w:type="paragraph" w:customStyle="1" w:styleId="9">
    <w:name w:val="内容"/>
    <w:basedOn w:val="1"/>
    <w:qFormat/>
    <w:uiPriority w:val="0"/>
    <w:pPr>
      <w:spacing w:line="360" w:lineRule="auto"/>
      <w:ind w:firstLine="454"/>
    </w:pPr>
    <w:rPr>
      <w:sz w:val="24"/>
    </w:rPr>
  </w:style>
  <w:style w:type="paragraph" w:styleId="10">
    <w:name w:val="footer"/>
    <w:basedOn w:val="1"/>
    <w:link w:val="69"/>
    <w:qFormat/>
    <w:uiPriority w:val="0"/>
    <w:pPr>
      <w:tabs>
        <w:tab w:val="center" w:pos="4153"/>
        <w:tab w:val="right" w:pos="8306"/>
      </w:tabs>
      <w:snapToGrid w:val="0"/>
      <w:jc w:val="left"/>
    </w:pPr>
    <w:rPr>
      <w:kern w:val="0"/>
      <w:sz w:val="18"/>
      <w:szCs w:val="20"/>
    </w:rPr>
  </w:style>
  <w:style w:type="paragraph" w:styleId="11">
    <w:name w:val="annotation text"/>
    <w:basedOn w:val="1"/>
    <w:link w:val="82"/>
    <w:qFormat/>
    <w:uiPriority w:val="0"/>
    <w:pPr>
      <w:jc w:val="left"/>
    </w:pPr>
    <w:rPr>
      <w:kern w:val="0"/>
      <w:sz w:val="24"/>
      <w:szCs w:val="20"/>
    </w:rPr>
  </w:style>
  <w:style w:type="paragraph" w:styleId="12">
    <w:name w:val="Body Text"/>
    <w:basedOn w:val="1"/>
    <w:next w:val="1"/>
    <w:qFormat/>
    <w:uiPriority w:val="0"/>
    <w:pPr>
      <w:widowControl/>
      <w:snapToGrid w:val="0"/>
      <w:spacing w:before="60" w:after="160" w:line="259" w:lineRule="auto"/>
      <w:ind w:right="113"/>
    </w:pPr>
    <w:rPr>
      <w:kern w:val="0"/>
      <w:sz w:val="18"/>
      <w:szCs w:val="20"/>
    </w:rPr>
  </w:style>
  <w:style w:type="paragraph" w:styleId="13">
    <w:name w:val="Body Text Indent"/>
    <w:basedOn w:val="1"/>
    <w:qFormat/>
    <w:uiPriority w:val="0"/>
    <w:pPr>
      <w:spacing w:after="120"/>
      <w:ind w:left="420" w:leftChars="200"/>
    </w:pPr>
    <w:rPr>
      <w:kern w:val="0"/>
      <w:sz w:val="24"/>
      <w:szCs w:val="20"/>
    </w:rPr>
  </w:style>
  <w:style w:type="paragraph" w:styleId="14">
    <w:name w:val="Plain Text"/>
    <w:basedOn w:val="1"/>
    <w:next w:val="15"/>
    <w:semiHidden/>
    <w:unhideWhenUsed/>
    <w:qFormat/>
    <w:uiPriority w:val="99"/>
    <w:rPr>
      <w:rFonts w:ascii="宋体" w:hAnsi="Courier New"/>
      <w:szCs w:val="21"/>
    </w:rPr>
  </w:style>
  <w:style w:type="paragraph" w:styleId="15">
    <w:name w:val="toc 1"/>
    <w:basedOn w:val="1"/>
    <w:next w:val="1"/>
    <w:qFormat/>
    <w:uiPriority w:val="0"/>
    <w:pPr>
      <w:jc w:val="center"/>
    </w:pPr>
  </w:style>
  <w:style w:type="paragraph" w:styleId="16">
    <w:name w:val="List Bullet 5"/>
    <w:basedOn w:val="1"/>
    <w:semiHidden/>
    <w:unhideWhenUsed/>
    <w:qFormat/>
    <w:uiPriority w:val="99"/>
    <w:pPr>
      <w:numPr>
        <w:ilvl w:val="0"/>
        <w:numId w:val="1"/>
      </w:numPr>
    </w:pPr>
  </w:style>
  <w:style w:type="paragraph" w:styleId="17">
    <w:name w:val="Date"/>
    <w:basedOn w:val="1"/>
    <w:next w:val="1"/>
    <w:semiHidden/>
    <w:unhideWhenUsed/>
    <w:qFormat/>
    <w:uiPriority w:val="99"/>
    <w:pPr>
      <w:ind w:left="100" w:leftChars="2500"/>
    </w:pPr>
    <w:rPr>
      <w:kern w:val="0"/>
      <w:sz w:val="24"/>
      <w:szCs w:val="20"/>
    </w:rPr>
  </w:style>
  <w:style w:type="paragraph" w:styleId="18">
    <w:name w:val="Body Text Indent 2"/>
    <w:basedOn w:val="1"/>
    <w:next w:val="1"/>
    <w:link w:val="68"/>
    <w:qFormat/>
    <w:uiPriority w:val="0"/>
    <w:pPr>
      <w:spacing w:after="120" w:line="480" w:lineRule="auto"/>
      <w:ind w:left="420" w:leftChars="200"/>
    </w:pPr>
  </w:style>
  <w:style w:type="paragraph" w:styleId="19">
    <w:name w:val="Balloon Text"/>
    <w:basedOn w:val="1"/>
    <w:semiHidden/>
    <w:unhideWhenUsed/>
    <w:qFormat/>
    <w:uiPriority w:val="99"/>
    <w:rPr>
      <w:kern w:val="0"/>
      <w:sz w:val="18"/>
      <w:szCs w:val="20"/>
    </w:rPr>
  </w:style>
  <w:style w:type="paragraph" w:styleId="20">
    <w:name w:val="header"/>
    <w:basedOn w:val="1"/>
    <w:link w:val="70"/>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List"/>
    <w:basedOn w:val="1"/>
    <w:qFormat/>
    <w:uiPriority w:val="0"/>
    <w:pPr>
      <w:ind w:left="200" w:hanging="200" w:hangingChars="200"/>
    </w:pPr>
  </w:style>
  <w:style w:type="paragraph" w:styleId="22">
    <w:name w:val="Body Text Indent 3"/>
    <w:basedOn w:val="1"/>
    <w:semiHidden/>
    <w:unhideWhenUsed/>
    <w:qFormat/>
    <w:uiPriority w:val="99"/>
    <w:pPr>
      <w:spacing w:after="120"/>
      <w:ind w:left="420" w:leftChars="200"/>
    </w:pPr>
    <w:rPr>
      <w:rFonts w:ascii="Calibri" w:hAnsi="Calibri" w:cs="Calibri"/>
      <w:sz w:val="16"/>
      <w:szCs w:val="16"/>
    </w:rPr>
  </w:style>
  <w:style w:type="paragraph" w:styleId="23">
    <w:name w:val="toc 2"/>
    <w:basedOn w:val="1"/>
    <w:next w:val="1"/>
    <w:unhideWhenUsed/>
    <w:qFormat/>
    <w:uiPriority w:val="39"/>
    <w:pPr>
      <w:ind w:left="200" w:leftChars="200"/>
    </w:pPr>
    <w:rPr>
      <w:b/>
    </w:rPr>
  </w:style>
  <w:style w:type="paragraph" w:styleId="24">
    <w:name w:val="Normal (Web)"/>
    <w:basedOn w:val="1"/>
    <w:next w:val="1"/>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11"/>
    <w:next w:val="11"/>
    <w:link w:val="83"/>
    <w:semiHidden/>
    <w:unhideWhenUsed/>
    <w:qFormat/>
    <w:uiPriority w:val="99"/>
    <w:rPr>
      <w:b/>
      <w:bCs/>
      <w:kern w:val="2"/>
      <w:sz w:val="21"/>
      <w:szCs w:val="24"/>
    </w:rPr>
  </w:style>
  <w:style w:type="paragraph" w:styleId="26">
    <w:name w:val="Body Text First Indent"/>
    <w:basedOn w:val="12"/>
    <w:qFormat/>
    <w:uiPriority w:val="0"/>
    <w:pPr>
      <w:ind w:firstLine="420" w:firstLineChars="100"/>
    </w:pPr>
  </w:style>
  <w:style w:type="paragraph" w:styleId="27">
    <w:name w:val="Body Text First Indent 2"/>
    <w:basedOn w:val="13"/>
    <w:next w:val="26"/>
    <w:semiHidden/>
    <w:unhideWhenUsed/>
    <w:qFormat/>
    <w:uiPriority w:val="99"/>
    <w:pPr>
      <w:ind w:firstLine="420"/>
    </w:pPr>
    <w:rPr>
      <w:sz w:val="21"/>
    </w:rPr>
  </w:style>
  <w:style w:type="table" w:styleId="29">
    <w:name w:val="Table Grid"/>
    <w:basedOn w:val="2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annotation reference"/>
    <w:qFormat/>
    <w:uiPriority w:val="0"/>
    <w:rPr>
      <w:rFonts w:ascii="Times New Roman" w:hAnsi="Times New Roman" w:eastAsia="宋体" w:cs="Times New Roman"/>
      <w:sz w:val="21"/>
      <w:szCs w:val="21"/>
    </w:rPr>
  </w:style>
  <w:style w:type="paragraph" w:customStyle="1" w:styleId="33">
    <w:name w:val="样式 正文11 + 首行缩进:  2 字符"/>
    <w:basedOn w:val="34"/>
    <w:qFormat/>
    <w:uiPriority w:val="0"/>
    <w:pPr>
      <w:spacing w:line="500" w:lineRule="exact"/>
      <w:ind w:firstLine="560"/>
    </w:pPr>
    <w:rPr>
      <w:color w:val="FF0000"/>
      <w:sz w:val="28"/>
      <w:szCs w:val="20"/>
    </w:rPr>
  </w:style>
  <w:style w:type="paragraph" w:customStyle="1" w:styleId="34">
    <w:name w:val="O.K.1"/>
    <w:basedOn w:val="3"/>
    <w:qFormat/>
    <w:uiPriority w:val="0"/>
    <w:pPr>
      <w:ind w:firstLine="482"/>
    </w:pPr>
  </w:style>
  <w:style w:type="paragraph" w:customStyle="1" w:styleId="35">
    <w:name w:val="样式5"/>
    <w:basedOn w:val="7"/>
    <w:qFormat/>
    <w:uiPriority w:val="0"/>
    <w:pPr>
      <w:snapToGrid w:val="0"/>
      <w:spacing w:line="360" w:lineRule="auto"/>
      <w:ind w:firstLine="510"/>
    </w:pPr>
  </w:style>
  <w:style w:type="paragraph" w:customStyle="1" w:styleId="36">
    <w:name w:val="Default"/>
    <w:basedOn w:val="37"/>
    <w:next w:val="1"/>
    <w:qFormat/>
    <w:uiPriority w:val="0"/>
    <w:pPr>
      <w:autoSpaceDE w:val="0"/>
      <w:autoSpaceDN w:val="0"/>
      <w:adjustRightInd w:val="0"/>
    </w:pPr>
    <w:rPr>
      <w:rFonts w:hint="eastAsia" w:ascii="宋体"/>
      <w:szCs w:val="22"/>
    </w:rPr>
  </w:style>
  <w:style w:type="paragraph" w:customStyle="1" w:styleId="37">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纯文本1"/>
    <w:basedOn w:val="1"/>
    <w:qFormat/>
    <w:uiPriority w:val="0"/>
    <w:pPr>
      <w:adjustRightInd w:val="0"/>
    </w:pPr>
    <w:rPr>
      <w:rFonts w:ascii="宋体" w:hAnsi="Courier New"/>
      <w:szCs w:val="20"/>
    </w:rPr>
  </w:style>
  <w:style w:type="paragraph" w:customStyle="1" w:styleId="39">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0">
    <w:name w:val="列出段落1"/>
    <w:basedOn w:val="1"/>
    <w:qFormat/>
    <w:uiPriority w:val="34"/>
    <w:pPr>
      <w:ind w:firstLine="420" w:firstLineChars="200"/>
    </w:pPr>
  </w:style>
  <w:style w:type="paragraph" w:customStyle="1" w:styleId="41">
    <w:name w:val="环评正文"/>
    <w:basedOn w:val="1"/>
    <w:qFormat/>
    <w:uiPriority w:val="0"/>
    <w:pPr>
      <w:spacing w:line="360" w:lineRule="auto"/>
      <w:ind w:firstLine="425" w:firstLineChars="177"/>
    </w:pPr>
    <w:rPr>
      <w:rFonts w:ascii="宋体" w:hAnsi="宋体"/>
      <w:kern w:val="0"/>
      <w:sz w:val="24"/>
    </w:rPr>
  </w:style>
  <w:style w:type="paragraph" w:customStyle="1" w:styleId="42">
    <w:name w:val="正文1"/>
    <w:basedOn w:val="1"/>
    <w:next w:val="1"/>
    <w:qFormat/>
    <w:uiPriority w:val="0"/>
    <w:pPr>
      <w:snapToGrid w:val="0"/>
      <w:spacing w:line="270" w:lineRule="exact"/>
      <w:jc w:val="center"/>
    </w:pPr>
    <w:rPr>
      <w:spacing w:val="8"/>
      <w:kern w:val="21"/>
      <w:szCs w:val="20"/>
    </w:rPr>
  </w:style>
  <w:style w:type="paragraph" w:customStyle="1" w:styleId="43">
    <w:name w:val="晓丹"/>
    <w:basedOn w:val="19"/>
    <w:qFormat/>
    <w:uiPriority w:val="99"/>
  </w:style>
  <w:style w:type="paragraph" w:customStyle="1" w:styleId="44">
    <w:name w:val="表字"/>
    <w:basedOn w:val="1"/>
    <w:qFormat/>
    <w:uiPriority w:val="0"/>
    <w:pPr>
      <w:jc w:val="center"/>
    </w:pPr>
    <w:rPr>
      <w:rFonts w:ascii="宋体"/>
    </w:rPr>
  </w:style>
  <w:style w:type="paragraph" w:customStyle="1" w:styleId="45">
    <w:name w:val="我的正文"/>
    <w:basedOn w:val="1"/>
    <w:qFormat/>
    <w:uiPriority w:val="0"/>
    <w:pPr>
      <w:spacing w:line="360" w:lineRule="auto"/>
      <w:ind w:firstLine="200" w:firstLineChars="200"/>
    </w:pPr>
    <w:rPr>
      <w:kern w:val="0"/>
      <w:sz w:val="24"/>
    </w:rPr>
  </w:style>
  <w:style w:type="character" w:customStyle="1" w:styleId="46">
    <w:name w:val="1兴业正文 Char"/>
    <w:link w:val="47"/>
    <w:qFormat/>
    <w:uiPriority w:val="0"/>
    <w:rPr>
      <w:rFonts w:eastAsia="仿宋"/>
      <w:sz w:val="24"/>
      <w:szCs w:val="28"/>
    </w:rPr>
  </w:style>
  <w:style w:type="paragraph" w:customStyle="1" w:styleId="47">
    <w:name w:val="1兴业正文"/>
    <w:basedOn w:val="1"/>
    <w:link w:val="46"/>
    <w:qFormat/>
    <w:uiPriority w:val="0"/>
    <w:pPr>
      <w:adjustRightInd w:val="0"/>
      <w:snapToGrid w:val="0"/>
      <w:spacing w:line="360" w:lineRule="auto"/>
      <w:ind w:firstLine="562" w:firstLineChars="200"/>
    </w:pPr>
    <w:rPr>
      <w:rFonts w:eastAsia="仿宋"/>
      <w:sz w:val="24"/>
      <w:szCs w:val="28"/>
    </w:rPr>
  </w:style>
  <w:style w:type="paragraph" w:customStyle="1" w:styleId="48">
    <w:name w:val="[1]正文"/>
    <w:basedOn w:val="1"/>
    <w:qFormat/>
    <w:uiPriority w:val="0"/>
    <w:pPr>
      <w:tabs>
        <w:tab w:val="left" w:pos="8773"/>
      </w:tabs>
      <w:autoSpaceDE w:val="0"/>
      <w:autoSpaceDN w:val="0"/>
      <w:adjustRightInd w:val="0"/>
      <w:snapToGrid w:val="0"/>
      <w:spacing w:line="500" w:lineRule="exact"/>
      <w:ind w:firstLine="200" w:firstLineChars="200"/>
    </w:pPr>
    <w:rPr>
      <w:rFonts w:eastAsia="Times New Roman"/>
      <w:sz w:val="28"/>
      <w:szCs w:val="28"/>
      <w:lang w:val="en-GB"/>
    </w:rPr>
  </w:style>
  <w:style w:type="character" w:customStyle="1" w:styleId="49">
    <w:name w:val="标题 3 Char Char Char"/>
    <w:qFormat/>
    <w:uiPriority w:val="0"/>
    <w:rPr>
      <w:rFonts w:ascii="宋体" w:hAnsi="宋体" w:cs="Arial"/>
      <w:sz w:val="24"/>
      <w:szCs w:val="32"/>
    </w:rPr>
  </w:style>
  <w:style w:type="paragraph" w:customStyle="1" w:styleId="50">
    <w:name w:val="报告表格"/>
    <w:basedOn w:val="1"/>
    <w:next w:val="1"/>
    <w:qFormat/>
    <w:uiPriority w:val="0"/>
    <w:pPr>
      <w:autoSpaceDE w:val="0"/>
      <w:autoSpaceDN w:val="0"/>
      <w:adjustRightInd w:val="0"/>
      <w:spacing w:line="318" w:lineRule="atLeast"/>
      <w:jc w:val="center"/>
      <w:textAlignment w:val="bottom"/>
    </w:pPr>
    <w:rPr>
      <w:kern w:val="0"/>
      <w:sz w:val="24"/>
      <w:szCs w:val="20"/>
    </w:rPr>
  </w:style>
  <w:style w:type="paragraph" w:customStyle="1" w:styleId="51">
    <w:name w:val="正文内容（环科院报告书）"/>
    <w:basedOn w:val="1"/>
    <w:qFormat/>
    <w:uiPriority w:val="0"/>
    <w:pPr>
      <w:spacing w:line="360" w:lineRule="auto"/>
      <w:ind w:firstLine="480" w:firstLineChars="200"/>
    </w:pPr>
    <w:rPr>
      <w:sz w:val="24"/>
      <w:szCs w:val="20"/>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表格"/>
    <w:basedOn w:val="54"/>
    <w:qFormat/>
    <w:uiPriority w:val="0"/>
    <w:pPr>
      <w:adjustRightInd w:val="0"/>
      <w:snapToGrid w:val="0"/>
      <w:spacing w:beforeLines="10" w:afterLines="10" w:line="259" w:lineRule="auto"/>
      <w:jc w:val="center"/>
    </w:pPr>
    <w:rPr>
      <w:rFonts w:ascii="宋体"/>
      <w:kern w:val="0"/>
      <w:szCs w:val="20"/>
    </w:rPr>
  </w:style>
  <w:style w:type="paragraph" w:customStyle="1" w:styleId="54">
    <w:name w:val="表格格式"/>
    <w:basedOn w:val="1"/>
    <w:qFormat/>
    <w:uiPriority w:val="99"/>
    <w:rPr>
      <w:rFonts w:ascii="仿宋_GB2312" w:eastAsia="仿宋_GB2312"/>
      <w:bCs/>
      <w:color w:val="000000"/>
      <w:szCs w:val="21"/>
    </w:rPr>
  </w:style>
  <w:style w:type="paragraph" w:customStyle="1" w:styleId="55">
    <w:name w:val="文字居中"/>
    <w:basedOn w:val="1"/>
    <w:qFormat/>
    <w:uiPriority w:val="0"/>
    <w:pPr>
      <w:jc w:val="center"/>
    </w:pPr>
  </w:style>
  <w:style w:type="paragraph" w:customStyle="1" w:styleId="56">
    <w:name w:val="表内正文"/>
    <w:qFormat/>
    <w:uiPriority w:val="0"/>
    <w:pPr>
      <w:widowControl w:val="0"/>
      <w:autoSpaceDE w:val="0"/>
      <w:autoSpaceDN w:val="0"/>
      <w:adjustRightInd w:val="0"/>
      <w:snapToGrid w:val="0"/>
      <w:jc w:val="center"/>
      <w:textAlignment w:val="center"/>
    </w:pPr>
    <w:rPr>
      <w:rFonts w:ascii="Times New Roman" w:hAnsi="Times New Roman" w:eastAsia="宋体" w:cs="Times New Roman"/>
      <w:kern w:val="2"/>
      <w:sz w:val="24"/>
      <w:szCs w:val="21"/>
      <w:lang w:val="en-US" w:eastAsia="zh-CN" w:bidi="ar-SA"/>
    </w:rPr>
  </w:style>
  <w:style w:type="character" w:customStyle="1" w:styleId="57">
    <w:name w:val="font21"/>
    <w:basedOn w:val="30"/>
    <w:qFormat/>
    <w:uiPriority w:val="0"/>
    <w:rPr>
      <w:rFonts w:ascii="宋体" w:hAnsi="宋体" w:eastAsia="宋体" w:cs="宋体"/>
      <w:color w:val="000000"/>
      <w:sz w:val="38"/>
      <w:szCs w:val="38"/>
      <w:u w:val="none"/>
    </w:rPr>
  </w:style>
  <w:style w:type="paragraph" w:customStyle="1" w:styleId="58">
    <w:name w:val="bgb表头"/>
    <w:basedOn w:val="1"/>
    <w:next w:val="1"/>
    <w:qFormat/>
    <w:uiPriority w:val="0"/>
    <w:pPr>
      <w:numPr>
        <w:ilvl w:val="0"/>
        <w:numId w:val="2"/>
      </w:numPr>
      <w:adjustRightInd w:val="0"/>
      <w:snapToGrid w:val="0"/>
      <w:spacing w:line="480" w:lineRule="exact"/>
      <w:contextualSpacing/>
      <w:jc w:val="center"/>
    </w:pPr>
    <w:rPr>
      <w:color w:val="000000"/>
      <w:kern w:val="0"/>
      <w:sz w:val="24"/>
      <w:szCs w:val="21"/>
    </w:rPr>
  </w:style>
  <w:style w:type="paragraph" w:customStyle="1" w:styleId="59">
    <w:name w:val="表格标题"/>
    <w:basedOn w:val="1"/>
    <w:qFormat/>
    <w:uiPriority w:val="0"/>
    <w:pPr>
      <w:spacing w:beforeLines="50" w:afterLines="50" w:line="440" w:lineRule="exact"/>
      <w:jc w:val="left"/>
    </w:pPr>
    <w:rPr>
      <w:rFonts w:eastAsia="黑体"/>
      <w:sz w:val="24"/>
    </w:rPr>
  </w:style>
  <w:style w:type="paragraph" w:customStyle="1" w:styleId="60">
    <w:name w:val="车正文"/>
    <w:basedOn w:val="1"/>
    <w:qFormat/>
    <w:uiPriority w:val="0"/>
    <w:pPr>
      <w:adjustRightInd w:val="0"/>
      <w:snapToGrid w:val="0"/>
      <w:spacing w:line="360" w:lineRule="auto"/>
      <w:ind w:firstLine="480" w:firstLineChars="200"/>
    </w:pPr>
    <w:rPr>
      <w:sz w:val="24"/>
    </w:rPr>
  </w:style>
  <w:style w:type="paragraph" w:customStyle="1" w:styleId="61">
    <w:name w:val="标准正文"/>
    <w:basedOn w:val="1"/>
    <w:qFormat/>
    <w:uiPriority w:val="0"/>
    <w:pPr>
      <w:ind w:firstLine="600"/>
    </w:pPr>
    <w:rPr>
      <w:rFonts w:ascii="Calibri" w:hAnsi="Calibri"/>
      <w:spacing w:val="10"/>
      <w:kern w:val="0"/>
      <w:szCs w:val="28"/>
    </w:rPr>
  </w:style>
  <w:style w:type="paragraph" w:customStyle="1" w:styleId="62">
    <w:name w:val="报告书正文"/>
    <w:basedOn w:val="1"/>
    <w:qFormat/>
    <w:uiPriority w:val="0"/>
    <w:pPr>
      <w:ind w:firstLine="480"/>
    </w:pPr>
    <w:rPr>
      <w:color w:val="000000"/>
      <w:kern w:val="0"/>
      <w:sz w:val="24"/>
      <w:lang w:val="zh-CN"/>
    </w:rPr>
  </w:style>
  <w:style w:type="paragraph" w:customStyle="1" w:styleId="63">
    <w:name w:val="03表格正文"/>
    <w:basedOn w:val="1"/>
    <w:autoRedefine/>
    <w:qFormat/>
    <w:uiPriority w:val="0"/>
    <w:pPr>
      <w:adjustRightInd w:val="0"/>
      <w:snapToGrid w:val="0"/>
      <w:jc w:val="center"/>
    </w:pPr>
    <w:rPr>
      <w:b/>
      <w:color w:val="3333FF"/>
    </w:rPr>
  </w:style>
  <w:style w:type="paragraph" w:customStyle="1" w:styleId="64">
    <w:name w:val="表格样式"/>
    <w:next w:val="1"/>
    <w:qFormat/>
    <w:uiPriority w:val="0"/>
    <w:rPr>
      <w:rFonts w:ascii="Times New Roman" w:hAnsi="Times New Roman" w:eastAsia="宋体" w:cs="Times New Roman"/>
      <w:bCs/>
      <w:kern w:val="44"/>
      <w:sz w:val="21"/>
      <w:szCs w:val="44"/>
      <w:lang w:val="en-US" w:eastAsia="zh-CN" w:bidi="ar-SA"/>
    </w:rPr>
  </w:style>
  <w:style w:type="paragraph" w:customStyle="1" w:styleId="65">
    <w:name w:val="表内"/>
    <w:basedOn w:val="1"/>
    <w:qFormat/>
    <w:uiPriority w:val="0"/>
    <w:pPr>
      <w:adjustRightInd w:val="0"/>
      <w:spacing w:before="100" w:beforeAutospacing="1" w:after="100" w:afterAutospacing="1" w:line="300" w:lineRule="exact"/>
      <w:ind w:left="-80" w:leftChars="-39" w:right="-80" w:rightChars="-38" w:hanging="2" w:hangingChars="1"/>
      <w:jc w:val="center"/>
    </w:pPr>
    <w:rPr>
      <w:rFonts w:ascii="宋体" w:hAnsi="宋体" w:cs="宋体"/>
      <w:color w:val="FF0000"/>
      <w:kern w:val="0"/>
      <w:sz w:val="28"/>
      <w:szCs w:val="28"/>
    </w:rPr>
  </w:style>
  <w:style w:type="paragraph" w:customStyle="1" w:styleId="66">
    <w:name w:val="报告表表格格式"/>
    <w:basedOn w:val="1"/>
    <w:qFormat/>
    <w:uiPriority w:val="0"/>
    <w:pPr>
      <w:jc w:val="center"/>
    </w:pPr>
    <w:rPr>
      <w:rFonts w:hint="eastAsia" w:ascii="宋体" w:hAnsi="宋体" w:cs="宋体"/>
    </w:rPr>
  </w:style>
  <w:style w:type="paragraph" w:customStyle="1" w:styleId="67">
    <w:name w:val="+正文"/>
    <w:basedOn w:val="1"/>
    <w:qFormat/>
    <w:uiPriority w:val="99"/>
    <w:pPr>
      <w:spacing w:line="360" w:lineRule="auto"/>
      <w:ind w:firstLine="200" w:firstLineChars="200"/>
    </w:pPr>
    <w:rPr>
      <w:sz w:val="28"/>
      <w:szCs w:val="28"/>
    </w:rPr>
  </w:style>
  <w:style w:type="character" w:customStyle="1" w:styleId="68">
    <w:name w:val="正文文本缩进 2 字符"/>
    <w:link w:val="18"/>
    <w:qFormat/>
    <w:uiPriority w:val="0"/>
    <w:rPr>
      <w:rFonts w:ascii="Times New Roman" w:hAnsi="Times New Roman" w:eastAsia="宋体" w:cs="Times New Roman"/>
    </w:rPr>
  </w:style>
  <w:style w:type="character" w:customStyle="1" w:styleId="69">
    <w:name w:val="页脚 字符"/>
    <w:link w:val="10"/>
    <w:qFormat/>
    <w:uiPriority w:val="0"/>
    <w:rPr>
      <w:rFonts w:ascii="Times New Roman" w:hAnsi="Times New Roman" w:eastAsia="宋体" w:cs="Times New Roman"/>
      <w:kern w:val="0"/>
      <w:sz w:val="18"/>
      <w:szCs w:val="20"/>
    </w:rPr>
  </w:style>
  <w:style w:type="character" w:customStyle="1" w:styleId="70">
    <w:name w:val="页眉 字符"/>
    <w:link w:val="20"/>
    <w:qFormat/>
    <w:uiPriority w:val="0"/>
    <w:rPr>
      <w:rFonts w:ascii="Times New Roman" w:hAnsi="Times New Roman" w:eastAsia="宋体" w:cs="Times New Roman"/>
      <w:kern w:val="0"/>
      <w:sz w:val="18"/>
      <w:szCs w:val="20"/>
    </w:rPr>
  </w:style>
  <w:style w:type="character" w:customStyle="1" w:styleId="71">
    <w:name w:val="兴业表格 Char"/>
    <w:link w:val="72"/>
    <w:qFormat/>
    <w:uiPriority w:val="0"/>
    <w:rPr>
      <w:rFonts w:ascii="Times New Roman" w:hAnsi="Times New Roman" w:eastAsia="宋体" w:cs="Times New Roman"/>
      <w:szCs w:val="21"/>
    </w:rPr>
  </w:style>
  <w:style w:type="paragraph" w:customStyle="1" w:styleId="72">
    <w:name w:val="兴业表格"/>
    <w:basedOn w:val="1"/>
    <w:link w:val="71"/>
    <w:qFormat/>
    <w:uiPriority w:val="0"/>
    <w:pPr>
      <w:adjustRightInd w:val="0"/>
      <w:snapToGrid w:val="0"/>
      <w:jc w:val="center"/>
    </w:pPr>
    <w:rPr>
      <w:szCs w:val="21"/>
    </w:rPr>
  </w:style>
  <w:style w:type="paragraph" w:customStyle="1" w:styleId="73">
    <w:name w:val="东宝正文"/>
    <w:basedOn w:val="1"/>
    <w:qFormat/>
    <w:uiPriority w:val="0"/>
    <w:pPr>
      <w:adjustRightInd w:val="0"/>
      <w:snapToGrid w:val="0"/>
      <w:spacing w:line="360" w:lineRule="auto"/>
      <w:ind w:firstLine="420" w:firstLineChars="200"/>
    </w:pPr>
    <w:rPr>
      <w:rFonts w:ascii="Calibri" w:hAnsi="Calibri"/>
      <w:kern w:val="0"/>
      <w:sz w:val="24"/>
      <w:szCs w:val="20"/>
    </w:rPr>
  </w:style>
  <w:style w:type="paragraph" w:customStyle="1" w:styleId="74">
    <w:name w:val="正文文本1"/>
    <w:basedOn w:val="1"/>
    <w:qFormat/>
    <w:uiPriority w:val="0"/>
    <w:pPr>
      <w:spacing w:line="500" w:lineRule="exact"/>
    </w:pPr>
    <w:rPr>
      <w:rFonts w:ascii="宋体" w:hAnsi="宋体"/>
      <w:sz w:val="28"/>
    </w:rPr>
  </w:style>
  <w:style w:type="paragraph" w:customStyle="1" w:styleId="75">
    <w:name w:val="表格居中"/>
    <w:next w:val="1"/>
    <w:qFormat/>
    <w:uiPriority w:val="0"/>
    <w:pPr>
      <w:jc w:val="center"/>
    </w:pPr>
    <w:rPr>
      <w:rFonts w:ascii="Arial" w:hAnsi="Arial" w:eastAsia="宋体" w:cs="Times New Roman"/>
      <w:kern w:val="2"/>
      <w:sz w:val="21"/>
      <w:lang w:val="en-US" w:eastAsia="zh-CN" w:bidi="ar-SA"/>
    </w:rPr>
  </w:style>
  <w:style w:type="paragraph" w:customStyle="1" w:styleId="76">
    <w:name w:val="报告正文"/>
    <w:basedOn w:val="1"/>
    <w:qFormat/>
    <w:uiPriority w:val="0"/>
    <w:pPr>
      <w:tabs>
        <w:tab w:val="left" w:pos="0"/>
      </w:tabs>
      <w:spacing w:line="360" w:lineRule="auto"/>
      <w:ind w:firstLine="200" w:firstLineChars="200"/>
    </w:pPr>
    <w:rPr>
      <w:rFonts w:ascii="Calibri" w:hAnsi="Calibri"/>
      <w:color w:val="000000"/>
      <w:kern w:val="0"/>
      <w:sz w:val="24"/>
    </w:rPr>
  </w:style>
  <w:style w:type="paragraph" w:customStyle="1" w:styleId="77">
    <w:name w:val="表头r"/>
    <w:basedOn w:val="1"/>
    <w:qFormat/>
    <w:uiPriority w:val="0"/>
    <w:pPr>
      <w:jc w:val="center"/>
    </w:pPr>
    <w:rPr>
      <w:rFonts w:ascii="宋体" w:hAnsi="宋体"/>
      <w:b/>
      <w:szCs w:val="21"/>
    </w:rPr>
  </w:style>
  <w:style w:type="paragraph" w:customStyle="1" w:styleId="78">
    <w:name w:val="环保-正文内容"/>
    <w:basedOn w:val="1"/>
    <w:next w:val="1"/>
    <w:qFormat/>
    <w:uiPriority w:val="0"/>
    <w:pPr>
      <w:adjustRightInd w:val="0"/>
      <w:snapToGrid w:val="0"/>
      <w:spacing w:line="360" w:lineRule="auto"/>
      <w:ind w:firstLine="200" w:firstLineChars="200"/>
      <w:jc w:val="left"/>
    </w:pPr>
    <w:rPr>
      <w:rFonts w:cs="宋体"/>
      <w:sz w:val="24"/>
    </w:rPr>
  </w:style>
  <w:style w:type="paragraph" w:customStyle="1" w:styleId="79">
    <w:name w:val="p0"/>
    <w:basedOn w:val="1"/>
    <w:autoRedefine/>
    <w:qFormat/>
    <w:uiPriority w:val="0"/>
    <w:pPr>
      <w:widowControl/>
    </w:pPr>
    <w:rPr>
      <w:kern w:val="0"/>
      <w:szCs w:val="21"/>
    </w:rPr>
  </w:style>
  <w:style w:type="paragraph" w:customStyle="1" w:styleId="80">
    <w:name w:val="2-标准-表格1-小五"/>
    <w:basedOn w:val="1"/>
    <w:qFormat/>
    <w:uiPriority w:val="0"/>
    <w:pPr>
      <w:snapToGrid w:val="0"/>
      <w:spacing w:line="240" w:lineRule="atLeast"/>
      <w:jc w:val="center"/>
    </w:pPr>
    <w:rPr>
      <w:sz w:val="18"/>
      <w:szCs w:val="22"/>
    </w:rPr>
  </w:style>
  <w:style w:type="paragraph" w:customStyle="1" w:styleId="81">
    <w:name w:val="表内容"/>
    <w:basedOn w:val="1"/>
    <w:next w:val="1"/>
    <w:qFormat/>
    <w:uiPriority w:val="0"/>
    <w:pPr>
      <w:spacing w:line="320" w:lineRule="exact"/>
      <w:jc w:val="center"/>
    </w:pPr>
    <w:rPr>
      <w:szCs w:val="20"/>
    </w:rPr>
  </w:style>
  <w:style w:type="character" w:customStyle="1" w:styleId="82">
    <w:name w:val="批注文字 字符"/>
    <w:basedOn w:val="30"/>
    <w:link w:val="11"/>
    <w:qFormat/>
    <w:uiPriority w:val="0"/>
    <w:rPr>
      <w:sz w:val="24"/>
    </w:rPr>
  </w:style>
  <w:style w:type="character" w:customStyle="1" w:styleId="83">
    <w:name w:val="批注主题 字符"/>
    <w:basedOn w:val="82"/>
    <w:link w:val="25"/>
    <w:semiHidden/>
    <w:qFormat/>
    <w:uiPriority w:val="99"/>
    <w:rPr>
      <w:b/>
      <w:bCs/>
      <w:kern w:val="2"/>
      <w:sz w:val="21"/>
      <w:szCs w:val="24"/>
    </w:rPr>
  </w:style>
  <w:style w:type="paragraph" w:customStyle="1" w:styleId="84">
    <w:name w:val="环评正文2"/>
    <w:basedOn w:val="1"/>
    <w:qFormat/>
    <w:uiPriority w:val="0"/>
    <w:pPr>
      <w:ind w:firstLine="1680" w:firstLineChars="200"/>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"/>
    </extobj>
    <extobj name="ECB019B1-382A-4266-B25C-5B523AA43C14-2">
      <extobjdata type="ECB019B1-382A-4266-B25C-5B523AA43C14" data="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198</Words>
  <Characters>204</Characters>
  <Lines>312</Lines>
  <Paragraphs>87</Paragraphs>
  <TotalTime>46</TotalTime>
  <ScaleCrop>false</ScaleCrop>
  <LinksUpToDate>false</LinksUpToDate>
  <CharactersWithSpaces>238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2023-05-17T02:23:00Z</dcterms:created>
  <dc:creator>Reluc~tant</dc:creator>
  <cp:lastModifiedBy>王彦超</cp:lastModifiedBy>
  <cp:lastPrinted>2023-06-21T07:00:00Z</cp:lastPrinted>
  <dcterms:modified xsi:type="dcterms:W3CDTF">2024-11-29T07:31:26Z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DBA64C6BD81D42AF9B55D22A34BB0EAB_13</vt:lpwstr>
  </property>
</Properties>
</file>