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长春新区本级民办非企业单位2025年度检查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事项须知</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一、年检范围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凡在202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月3</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eastAsia="zh-CN"/>
        </w:rPr>
        <w:t>日前经新区社会事业局成立登记的民办非企业单位均应参加年检。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二、年检</w:t>
      </w:r>
      <w:r>
        <w:rPr>
          <w:rFonts w:hint="eastAsia" w:ascii="黑体" w:hAnsi="黑体" w:eastAsia="黑体" w:cs="黑体"/>
          <w:b w:val="0"/>
          <w:bCs w:val="0"/>
          <w:sz w:val="32"/>
          <w:szCs w:val="32"/>
          <w:lang w:val="en-US" w:eastAsia="zh-CN"/>
        </w:rPr>
        <w:t>程序和时间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长春新区本级民办非企业单位应当于</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31</w:t>
      </w:r>
      <w:r>
        <w:rPr>
          <w:rFonts w:hint="eastAsia" w:ascii="仿宋_GB2312" w:hAnsi="仿宋_GB2312" w:eastAsia="仿宋_GB2312" w:cs="仿宋_GB2312"/>
          <w:b w:val="0"/>
          <w:bCs w:val="0"/>
          <w:sz w:val="32"/>
          <w:szCs w:val="32"/>
          <w:lang w:eastAsia="zh-CN"/>
        </w:rPr>
        <w:t>日前按照以下程序和要求完成年检材料的填写和报送。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（一）网络填报。</w:t>
      </w:r>
      <w:r>
        <w:rPr>
          <w:rFonts w:hint="eastAsia" w:ascii="仿宋_GB2312" w:hAnsi="仿宋_GB2312" w:eastAsia="仿宋_GB2312" w:cs="仿宋_GB2312"/>
          <w:b w:val="0"/>
          <w:bCs w:val="0"/>
          <w:sz w:val="32"/>
          <w:szCs w:val="32"/>
          <w:lang w:val="en-US" w:eastAsia="zh-CN"/>
        </w:rPr>
        <w:t>通过民政一体化政务服务平台（以下简称平台）（https://zwfw.mca.gov.cn/），在首页选择“登录”，输入本单位用户名、密码登录后，依次点击“法人服务—县级民办非企业单位—民办非企业单位年检年报—在线办理”，填写2025年度工作报告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（二）财务资料。</w:t>
      </w:r>
      <w:r>
        <w:rPr>
          <w:rFonts w:hint="eastAsia" w:ascii="仿宋_GB2312" w:hAnsi="仿宋_GB2312" w:eastAsia="仿宋_GB2312" w:cs="仿宋_GB2312"/>
          <w:b w:val="0"/>
          <w:bCs w:val="0"/>
          <w:sz w:val="32"/>
          <w:szCs w:val="32"/>
          <w:lang w:val="en-US" w:eastAsia="zh-CN"/>
        </w:rPr>
        <w:t>新区本级民办非企业单位均须按照财政部《民间非营利组织会计制度》编制2025年度财务会计报告，并委托有资质的会计师事务所进行年度财务审计，形成2025年度财务审计报告（4A、5A评估等级在有效期前三年内的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（三）业务主管单位初审。</w:t>
      </w:r>
      <w:r>
        <w:rPr>
          <w:rFonts w:hint="eastAsia" w:ascii="仿宋_GB2312" w:hAnsi="仿宋_GB2312" w:eastAsia="仿宋_GB2312" w:cs="仿宋_GB2312"/>
          <w:b w:val="0"/>
          <w:bCs w:val="0"/>
          <w:sz w:val="32"/>
          <w:szCs w:val="32"/>
          <w:lang w:val="en-US" w:eastAsia="zh-CN"/>
        </w:rPr>
        <w:t>完成平台信息填报后，将《年度工作报告书》连同其他相关年检材料，报业务主管单位审查同意并加盖印章。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（四）提交审查。</w:t>
      </w:r>
      <w:r>
        <w:rPr>
          <w:rFonts w:hint="eastAsia" w:ascii="仿宋_GB2312" w:hAnsi="仿宋_GB2312" w:eastAsia="仿宋_GB2312" w:cs="仿宋_GB2312"/>
          <w:b w:val="0"/>
          <w:bCs w:val="0"/>
          <w:sz w:val="32"/>
          <w:szCs w:val="32"/>
          <w:lang w:val="en-US" w:eastAsia="zh-CN"/>
        </w:rPr>
        <w:t>2026年7月31日前，将以下材料通过平台“其他材料上传”模块上传（多个文件的须合并为PDF文档，或打包为RAR/ZIP压缩文件）并提交审查。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1.党建材料。</w:t>
      </w:r>
      <w:r>
        <w:rPr>
          <w:rFonts w:hint="eastAsia" w:ascii="仿宋_GB2312" w:hAnsi="仿宋_GB2312" w:eastAsia="仿宋_GB2312" w:cs="仿宋_GB2312"/>
          <w:b w:val="0"/>
          <w:bCs w:val="0"/>
          <w:sz w:val="32"/>
          <w:szCs w:val="32"/>
          <w:lang w:val="en-US" w:eastAsia="zh-CN"/>
        </w:rPr>
        <w:t>已成立党组织的上传成立批复文件，未成立党组织的上传派出单位选派党建工作指导员相关文件。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2.年度工作报告书首页。</w:t>
      </w:r>
      <w:r>
        <w:rPr>
          <w:rFonts w:hint="eastAsia" w:ascii="仿宋_GB2312" w:hAnsi="仿宋_GB2312" w:eastAsia="仿宋_GB2312" w:cs="仿宋_GB2312"/>
          <w:b w:val="0"/>
          <w:bCs w:val="0"/>
          <w:sz w:val="32"/>
          <w:szCs w:val="32"/>
          <w:lang w:val="en-US" w:eastAsia="zh-CN"/>
        </w:rPr>
        <w:t>由法定代表人签字并加盖新区本级民办非企业单位印章。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3.财务资料。</w:t>
      </w:r>
      <w:r>
        <w:rPr>
          <w:rFonts w:hint="eastAsia" w:ascii="仿宋_GB2312" w:hAnsi="仿宋_GB2312" w:eastAsia="仿宋_GB2312" w:cs="仿宋_GB2312"/>
          <w:b w:val="0"/>
          <w:bCs w:val="0"/>
          <w:sz w:val="32"/>
          <w:szCs w:val="32"/>
          <w:lang w:val="en-US" w:eastAsia="zh-CN"/>
        </w:rPr>
        <w:t>4A、5A评估等级在有效期前三年内的新区本级民办非企业单位上传财务负责人签字并加盖新区本级民办非企业单位印章的2025年度财务会计报告，其他民办非企业单位上传2025年度财务审计报告。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4.党政机关领导干部兼职材料。</w:t>
      </w:r>
      <w:r>
        <w:rPr>
          <w:rFonts w:hint="eastAsia" w:ascii="仿宋_GB2312" w:hAnsi="仿宋_GB2312" w:eastAsia="仿宋_GB2312" w:cs="仿宋_GB2312"/>
          <w:b w:val="0"/>
          <w:bCs w:val="0"/>
          <w:sz w:val="32"/>
          <w:szCs w:val="32"/>
          <w:lang w:val="en-US" w:eastAsia="zh-CN"/>
        </w:rPr>
        <w:t>涉及党政机关领导干部兼职情况的上传相关审批文件。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5.业务主管单位初审意见。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（五）年检结论。</w:t>
      </w:r>
      <w:r>
        <w:rPr>
          <w:rFonts w:hint="eastAsia" w:ascii="仿宋_GB2312" w:hAnsi="仿宋_GB2312" w:eastAsia="仿宋_GB2312" w:cs="仿宋_GB2312"/>
          <w:b w:val="0"/>
          <w:bCs w:val="0"/>
          <w:sz w:val="32"/>
          <w:szCs w:val="32"/>
          <w:lang w:val="en-US" w:eastAsia="zh-CN"/>
        </w:rPr>
        <w:t>年检结论将在长春管委会网站进行公告，接受社会监督。需在《登记证书（副本）》加盖年检结论戳记的民办非企业单位，自年检结论公告发布之日起至2026年12月31日前，可持证书原件到</w:t>
      </w:r>
      <w:r>
        <w:rPr>
          <w:rFonts w:hint="eastAsia" w:ascii="仿宋_GB2312" w:hAnsi="仿宋_GB2312" w:eastAsia="仿宋_GB2312" w:cs="仿宋_GB2312"/>
          <w:b w:val="0"/>
          <w:bCs w:val="0"/>
          <w:sz w:val="32"/>
          <w:szCs w:val="32"/>
          <w:highlight w:val="none"/>
          <w:lang w:val="en-US" w:eastAsia="zh-CN"/>
        </w:rPr>
        <w:t>长春新区管理委员会B409室（联系电话：0431-81335614）办</w:t>
      </w:r>
      <w:r>
        <w:rPr>
          <w:rFonts w:hint="eastAsia" w:ascii="仿宋_GB2312" w:hAnsi="仿宋_GB2312" w:eastAsia="仿宋_GB2312" w:cs="仿宋_GB2312"/>
          <w:b w:val="0"/>
          <w:bCs w:val="0"/>
          <w:sz w:val="32"/>
          <w:szCs w:val="32"/>
          <w:lang w:val="en-US" w:eastAsia="zh-CN"/>
        </w:rPr>
        <w:t>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三、年检审查标准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度民办非企业单位年检结论区分为“合格”“基本合格”“不合格”。新区社会事业局依据《民办非企业单位登记管理暂行条例》《民办非企业单位年度检查办法》等法规政策，对民办非企业单位提交的年检材料进行审核，并结合抽查审计、实地检查和其他问题线索核实情况，综合研究确定2025年度检查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（一）新区本级民办非企业单位内部管理规范，严格按照章程进行内部治理和开展活动，未发现存在违反民办非企业单位登记管理有关法规政策规定的行为，年检结论确定为合格。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（二）新区本级民办非企业单位有下列情形，由登记管理机关责令改正，情节轻微的，确定为年检基本合格；情节严重的，年检结论确</w:t>
      </w:r>
      <w:r>
        <w:rPr>
          <w:rFonts w:hint="eastAsia" w:ascii="仿宋_GB2312" w:hAnsi="仿宋_GB2312" w:eastAsia="仿宋_GB2312" w:cs="仿宋_GB2312"/>
          <w:b w:val="0"/>
          <w:bCs w:val="0"/>
          <w:color w:val="auto"/>
          <w:sz w:val="32"/>
          <w:szCs w:val="32"/>
          <w:lang w:val="en-US" w:eastAsia="zh-CN"/>
        </w:rPr>
        <w:t>定为不合格。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1.违反国家法律、法规和有关政策规定的；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2.违反规定使用登记证书、印章或者财务凭证的；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3.2025年度未开展业务活动，或者不按照章程的规定进行活动的；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4.无固定住所或必要的活动场所的；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5.内部管理混乱，不能正常开展活动的；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6.拒不接受或者不按照规定接受登记管理机关监督检查或年检的；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7.不按照规定办理变更登记，修改章程未按规定核准备案的；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8.设立分支机构的；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9.财务制度不健全，资金来源和使用违反有关规定的；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10.现有净资产低于国家有关行业主管部门规定的最低标准的；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11.侵占、私分、挪用民办非企业单位的资产或者所接受的捐赠、资助的；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12.违反国家有关规定收取费用、筹集资金或者接受使用捐赠、资助的；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13.年检中隐瞒真实情况，弄虚作假的。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新区本级民办非企业单位对存在的违规事项及时完成整改的，年检时可以视情节从轻或者免予处理。新区本级民办非企业单位年检结论公布后，如发现存在影响当年年检结论情形的，年检结论将予以重新确定。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b w:val="0"/>
          <w:bCs w:val="0"/>
          <w:sz w:val="32"/>
          <w:szCs w:val="32"/>
          <w:lang w:val="en-US" w:eastAsia="zh-CN"/>
        </w:rPr>
        <w:t>（三）新区本级民办非企业单位年检涉及整改事项的，应当积极进行整改，未按要求完成整改、符合《社会组织信用信息管理办法》第十一条规定情形的，新区社会事业局将依法依规列入活动异常名录。</w:t>
      </w:r>
    </w:p>
    <w:p/>
    <w:sectPr>
      <w:footerReference r:id="rId3" w:type="default"/>
      <w:pgSz w:w="11906" w:h="16838"/>
      <w:pgMar w:top="2098" w:right="1474" w:bottom="1984" w:left="1587"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小标宋_GBK"/>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楷体_GBK" w:hAnsi="方正楷体_GBK" w:eastAsia="方正楷体_GBK" w:cs="方正楷体_GBK"/>
                              <w:sz w:val="24"/>
                              <w:szCs w:val="24"/>
                            </w:rPr>
                          </w:pPr>
                          <w:r>
                            <w:rPr>
                              <w:rFonts w:hint="default" w:eastAsia="方正楷体_GBK" w:cs="方正楷体_GBK" w:asciiTheme="minorAscii" w:hAnsiTheme="minorAscii"/>
                              <w:sz w:val="21"/>
                              <w:szCs w:val="21"/>
                            </w:rPr>
                            <w:fldChar w:fldCharType="begin"/>
                          </w:r>
                          <w:r>
                            <w:rPr>
                              <w:rFonts w:hint="default" w:eastAsia="方正楷体_GBK" w:cs="方正楷体_GBK" w:asciiTheme="minorAscii" w:hAnsiTheme="minorAscii"/>
                              <w:sz w:val="21"/>
                              <w:szCs w:val="21"/>
                            </w:rPr>
                            <w:instrText xml:space="preserve"> PAGE  \* MERGEFORMAT </w:instrText>
                          </w:r>
                          <w:r>
                            <w:rPr>
                              <w:rFonts w:hint="default" w:eastAsia="方正楷体_GBK" w:cs="方正楷体_GBK" w:asciiTheme="minorAscii" w:hAnsiTheme="minorAscii"/>
                              <w:sz w:val="21"/>
                              <w:szCs w:val="21"/>
                            </w:rPr>
                            <w:fldChar w:fldCharType="separate"/>
                          </w:r>
                          <w:r>
                            <w:rPr>
                              <w:rFonts w:hint="default" w:eastAsia="方正楷体_GBK" w:cs="方正楷体_GBK" w:asciiTheme="minorAscii" w:hAnsiTheme="minorAscii"/>
                              <w:sz w:val="21"/>
                              <w:szCs w:val="21"/>
                            </w:rPr>
                            <w:t>1</w:t>
                          </w:r>
                          <w:r>
                            <w:rPr>
                              <w:rFonts w:hint="default" w:eastAsia="方正楷体_GBK" w:cs="方正楷体_GBK" w:asciiTheme="minorAscii" w:hAnsiTheme="minorAscii"/>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rPr>
                        <w:rFonts w:hint="eastAsia" w:ascii="方正楷体_GBK" w:hAnsi="方正楷体_GBK" w:eastAsia="方正楷体_GBK" w:cs="方正楷体_GBK"/>
                        <w:sz w:val="24"/>
                        <w:szCs w:val="24"/>
                      </w:rPr>
                    </w:pPr>
                    <w:r>
                      <w:rPr>
                        <w:rFonts w:hint="default" w:eastAsia="方正楷体_GBK" w:cs="方正楷体_GBK" w:asciiTheme="minorAscii" w:hAnsiTheme="minorAscii"/>
                        <w:sz w:val="21"/>
                        <w:szCs w:val="21"/>
                      </w:rPr>
                      <w:fldChar w:fldCharType="begin"/>
                    </w:r>
                    <w:r>
                      <w:rPr>
                        <w:rFonts w:hint="default" w:eastAsia="方正楷体_GBK" w:cs="方正楷体_GBK" w:asciiTheme="minorAscii" w:hAnsiTheme="minorAscii"/>
                        <w:sz w:val="21"/>
                        <w:szCs w:val="21"/>
                      </w:rPr>
                      <w:instrText xml:space="preserve"> PAGE  \* MERGEFORMAT </w:instrText>
                    </w:r>
                    <w:r>
                      <w:rPr>
                        <w:rFonts w:hint="default" w:eastAsia="方正楷体_GBK" w:cs="方正楷体_GBK" w:asciiTheme="minorAscii" w:hAnsiTheme="minorAscii"/>
                        <w:sz w:val="21"/>
                        <w:szCs w:val="21"/>
                      </w:rPr>
                      <w:fldChar w:fldCharType="separate"/>
                    </w:r>
                    <w:r>
                      <w:rPr>
                        <w:rFonts w:hint="default" w:eastAsia="方正楷体_GBK" w:cs="方正楷体_GBK" w:asciiTheme="minorAscii" w:hAnsiTheme="minorAscii"/>
                        <w:sz w:val="21"/>
                        <w:szCs w:val="21"/>
                      </w:rPr>
                      <w:t>1</w:t>
                    </w:r>
                    <w:r>
                      <w:rPr>
                        <w:rFonts w:hint="default" w:eastAsia="方正楷体_GBK" w:cs="方正楷体_GBK" w:asciiTheme="minorAscii" w:hAnsiTheme="minorAscii"/>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DDFAA6E"/>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a258</cp:lastModifiedBy>
  <dcterms:modified xsi:type="dcterms:W3CDTF">2026-06-04T15:01:32Z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